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_rels/document.xml.rels" ContentType="application/vnd.openxmlformats-package.relationships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bookmarkStart w:id="0" w:name="_Toc137554584"/>
      <w:bookmarkStart w:id="1" w:name="_Toc141696704"/>
      <w:bookmarkStart w:id="2" w:name="_Toc139856287"/>
      <w:r>
        <w:rPr>
          <w:rFonts w:eastAsia="Calibri"/>
          <w:b/>
          <w:color w:val="000000"/>
          <w:szCs w:val="24"/>
        </w:rPr>
        <w:t>Технические требования</w:t>
      </w:r>
      <w:bookmarkEnd w:id="0"/>
      <w:bookmarkEnd w:id="1"/>
      <w:bookmarkEnd w:id="2"/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color w:val="000000"/>
        </w:rPr>
      </w:pPr>
      <w:r>
        <w:rPr>
          <w:b/>
        </w:rPr>
        <w:t>«</w:t>
      </w:r>
      <w:r>
        <w:rPr>
          <w:b/>
        </w:rPr>
        <w:t xml:space="preserve">ОКПД2 </w:t>
      </w:r>
      <w:r>
        <w:rPr>
          <w:b/>
        </w:rPr>
        <w:t>26.51.52.110 Приобретение запасных частей для газового хроматографа</w:t>
      </w:r>
    </w:p>
    <w:p>
      <w:pPr>
        <w:pStyle w:val="Normal"/>
        <w:jc w:val="center"/>
        <w:rPr>
          <w:color w:val="000000"/>
        </w:rPr>
      </w:pPr>
      <w:r>
        <w:rPr>
          <w:b/>
        </w:rPr>
        <w:t xml:space="preserve"> </w:t>
      </w:r>
      <w:r>
        <w:rPr>
          <w:rFonts w:eastAsia="Calibri"/>
          <w:b/>
          <w:bCs/>
          <w:i w:val="false"/>
          <w:iCs w:val="false"/>
          <w:caps w:val="false"/>
          <w:smallCaps w:val="false"/>
          <w:color w:val="000000"/>
          <w:spacing w:val="0"/>
          <w:sz w:val="26"/>
          <w:szCs w:val="26"/>
          <w:shd w:fill="FFFFFF" w:val="clear"/>
        </w:rPr>
        <w:t>Филиала ПАО «РусГидро» - «Бурейская ГЭС</w:t>
      </w:r>
      <w:r>
        <w:rPr>
          <w:rStyle w:val="Style11"/>
          <w:rFonts w:eastAsia="Calibri"/>
          <w:b/>
          <w:bCs/>
          <w:i w:val="false"/>
          <w:iCs w:val="false"/>
          <w:caps w:val="false"/>
          <w:smallCaps w:val="false"/>
          <w:color w:val="000000"/>
          <w:spacing w:val="0"/>
          <w:sz w:val="26"/>
          <w:szCs w:val="26"/>
          <w:shd w:fill="FFFFFF" w:val="clear"/>
        </w:rPr>
        <w:t>»</w:t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>
        <w:br w:type="page"/>
      </w:r>
    </w:p>
    <w:p>
      <w:pPr>
        <w:pStyle w:val="Normal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Normal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СОДЕРЖАНИЕ</w:t>
      </w:r>
    </w:p>
    <w:p>
      <w:pPr>
        <w:pStyle w:val="Normal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Normal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Содержание</w:t>
      </w:r>
      <w:r>
        <w:rPr>
          <w:color w:val="000000"/>
          <w:sz w:val="24"/>
          <w:szCs w:val="24"/>
          <w:u w:val="dotted"/>
        </w:rPr>
        <w:tab/>
        <w:tab/>
        <w:tab/>
        <w:tab/>
        <w:tab/>
        <w:tab/>
        <w:tab/>
        <w:tab/>
        <w:tab/>
        <w:tab/>
        <w:tab/>
      </w:r>
      <w:r>
        <w:rPr>
          <w:color w:val="000000"/>
          <w:sz w:val="24"/>
          <w:szCs w:val="24"/>
        </w:rPr>
        <w:t>2</w:t>
      </w:r>
    </w:p>
    <w:p>
      <w:pPr>
        <w:pStyle w:val="Normal"/>
        <w:rPr>
          <w:color w:val="000000"/>
          <w:sz w:val="24"/>
          <w:szCs w:val="24"/>
          <w:u w:val="dotted"/>
        </w:rPr>
      </w:pPr>
      <w:r>
        <w:rPr>
          <w:color w:val="000000"/>
          <w:sz w:val="24"/>
          <w:szCs w:val="24"/>
        </w:rPr>
        <w:t>1. Наименование закупаемой продукции (товаров, работ, услуг)</w:t>
      </w:r>
      <w:r>
        <w:rPr>
          <w:color w:val="000000"/>
          <w:sz w:val="24"/>
          <w:szCs w:val="24"/>
          <w:u w:val="dotted"/>
        </w:rPr>
        <w:t xml:space="preserve"> </w:t>
        <w:tab/>
        <w:tab/>
        <w:tab/>
        <w:t>3</w:t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Заказчик (подразделение Заказчика)</w:t>
      </w:r>
      <w:r>
        <w:rPr>
          <w:color w:val="000000"/>
          <w:sz w:val="24"/>
          <w:szCs w:val="24"/>
          <w:u w:val="dotted"/>
        </w:rPr>
        <w:t xml:space="preserve"> </w:t>
        <w:tab/>
        <w:tab/>
        <w:tab/>
        <w:tab/>
        <w:tab/>
        <w:tab/>
        <w:tab/>
        <w:t>3</w:t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 Цели и задачи. Существующее положение</w:t>
      </w:r>
      <w:r>
        <w:rPr>
          <w:color w:val="000000"/>
          <w:sz w:val="24"/>
          <w:szCs w:val="24"/>
          <w:u w:val="dotted"/>
        </w:rPr>
        <w:tab/>
        <w:tab/>
        <w:tab/>
        <w:tab/>
        <w:tab/>
        <w:tab/>
        <w:t>3</w:t>
      </w:r>
    </w:p>
    <w:p>
      <w:pPr>
        <w:pStyle w:val="Normal"/>
        <w:ind w:hanging="238" w:left="238" w:right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4. Требования к закупаемой продукции </w:t>
        <w:br/>
        <w:t>(технические и иные характеристики)</w:t>
      </w:r>
      <w:r>
        <w:rPr>
          <w:color w:val="000000"/>
          <w:sz w:val="24"/>
          <w:szCs w:val="24"/>
          <w:u w:val="dotted"/>
        </w:rPr>
        <w:t xml:space="preserve"> </w:t>
        <w:tab/>
        <w:tab/>
        <w:tab/>
        <w:tab/>
        <w:tab/>
        <w:tab/>
        <w:tab/>
      </w:r>
      <w:r>
        <w:rPr>
          <w:color w:val="000000"/>
          <w:sz w:val="24"/>
          <w:szCs w:val="24"/>
        </w:rPr>
        <w:t>4</w:t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 Приложение 1</w:t>
        <w:tab/>
        <w:tab/>
      </w:r>
      <w:r>
        <w:rPr>
          <w:color w:val="000000"/>
          <w:sz w:val="24"/>
          <w:szCs w:val="24"/>
          <w:u w:val="dotted"/>
        </w:rPr>
        <w:tab/>
        <w:tab/>
        <w:tab/>
        <w:tab/>
        <w:tab/>
        <w:tab/>
        <w:tab/>
        <w:tab/>
      </w:r>
      <w:r>
        <w:rPr>
          <w:color w:val="000000"/>
          <w:sz w:val="24"/>
          <w:szCs w:val="24"/>
        </w:rPr>
        <w:t>5</w:t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  <w:r>
        <w:br w:type="page"/>
      </w:r>
    </w:p>
    <w:p>
      <w:pPr>
        <w:pStyle w:val="Normal"/>
        <w:numPr>
          <w:ilvl w:val="0"/>
          <w:numId w:val="2"/>
        </w:numPr>
        <w:ind w:hanging="0" w:left="284" w:right="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Наименование закупаемой продукции (товаров, работ, услуг).</w:t>
      </w:r>
    </w:p>
    <w:p>
      <w:pPr>
        <w:pStyle w:val="Normal"/>
        <w:ind w:hanging="0" w:left="284" w:right="0"/>
        <w:jc w:val="both"/>
        <w:rPr>
          <w:b/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      </w:t>
      </w:r>
      <w:r>
        <w:rPr>
          <w:b w:val="false"/>
          <w:bCs w:val="false"/>
          <w:sz w:val="24"/>
          <w:szCs w:val="24"/>
        </w:rPr>
        <w:t xml:space="preserve"> </w:t>
      </w:r>
      <w:r>
        <w:rPr>
          <w:b w:val="false"/>
          <w:bCs w:val="false"/>
          <w:sz w:val="24"/>
          <w:szCs w:val="24"/>
        </w:rPr>
        <w:t>Приобретение запасных частей для газового хроматографа  Бурейской ГЭС.</w:t>
      </w:r>
    </w:p>
    <w:p>
      <w:pPr>
        <w:pStyle w:val="Normal"/>
        <w:numPr>
          <w:ilvl w:val="0"/>
          <w:numId w:val="2"/>
        </w:numPr>
        <w:ind w:hanging="0" w:left="284" w:right="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Заказчик (подразделение Заказчика). </w:t>
      </w:r>
    </w:p>
    <w:p>
      <w:pPr>
        <w:pStyle w:val="ListParagraph"/>
        <w:tabs>
          <w:tab w:val="clear" w:pos="708"/>
          <w:tab w:val="left" w:pos="1047" w:leader="none"/>
        </w:tabs>
        <w:spacing w:before="120" w:after="120"/>
        <w:ind w:firstLine="436" w:left="284" w:right="-2"/>
        <w:contextualSpacing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Филиал ПАО «РусГидро» - «Бурейская ГЭС» Амурская область, Бурейский район, п. Талакан, 676730.</w:t>
      </w:r>
    </w:p>
    <w:p>
      <w:pPr>
        <w:pStyle w:val="Normal"/>
        <w:numPr>
          <w:ilvl w:val="0"/>
          <w:numId w:val="2"/>
        </w:numPr>
        <w:ind w:hanging="0" w:left="284" w:right="0"/>
        <w:jc w:val="both"/>
        <w:rPr>
          <w:rFonts w:eastAsia="Calibri"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Цели и задачи. Существующее положение</w:t>
      </w:r>
    </w:p>
    <w:p>
      <w:pPr>
        <w:pStyle w:val="Normal"/>
        <w:ind w:firstLine="424" w:left="284" w:right="-2"/>
        <w:jc w:val="both"/>
        <w:rPr>
          <w:bCs/>
          <w:color w:val="000000"/>
          <w:sz w:val="24"/>
          <w:szCs w:val="24"/>
        </w:rPr>
      </w:pPr>
      <w:r>
        <w:rPr>
          <w:b w:val="false"/>
          <w:bCs w:val="false"/>
          <w:color w:val="000000"/>
          <w:sz w:val="24"/>
          <w:szCs w:val="24"/>
        </w:rPr>
        <w:t>Приобретение запасных частей для газового хроматографа</w:t>
      </w:r>
      <w:r>
        <w:rPr>
          <w:bCs/>
          <w:color w:val="000000"/>
          <w:sz w:val="24"/>
          <w:szCs w:val="24"/>
        </w:rPr>
        <w:t>.</w:t>
      </w:r>
    </w:p>
    <w:p>
      <w:pPr>
        <w:pStyle w:val="Normal"/>
        <w:ind w:hanging="0" w:left="284" w:right="-2"/>
        <w:jc w:val="both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</w:r>
    </w:p>
    <w:p>
      <w:pPr>
        <w:pStyle w:val="Normal"/>
        <w:ind w:hanging="0" w:left="720" w:right="0"/>
        <w:jc w:val="righ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Таблица 1</w:t>
      </w:r>
    </w:p>
    <w:tbl>
      <w:tblPr>
        <w:tblW w:w="986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2083"/>
        <w:gridCol w:w="6958"/>
      </w:tblGrid>
      <w:tr>
        <w:trPr>
          <w:trHeight w:val="20" w:hRule="atLeast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Наименование параметра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Требование заказчика</w:t>
            </w:r>
          </w:p>
        </w:tc>
      </w:tr>
      <w:tr>
        <w:trPr>
          <w:trHeight w:val="20" w:hRule="atLeast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</w:tr>
      <w:tr>
        <w:trPr>
          <w:trHeight w:val="827" w:hRule="atLeast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20"/>
              <w:ind w:hanging="0" w:left="166" w:right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Объём изготовления и поставки продукции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 w:righ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Изготовление и поставка должна быть выполнена в соответствии с Приложением №1 к настоящим Техническим требованиям. </w:t>
            </w:r>
          </w:p>
        </w:tc>
      </w:tr>
      <w:tr>
        <w:trPr>
          <w:trHeight w:val="827" w:hRule="atLeast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20"/>
              <w:ind w:hanging="0" w:left="166" w:right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Требования к изготовлению продукции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Все оборудование и материалы должны быть новыми и не использованными ранее;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Изменения в номенклатуре, марках, поставляемых материалов и допускается при условии письменного согласования с Заказчиком;</w:t>
            </w:r>
          </w:p>
          <w:p>
            <w:pPr>
              <w:pStyle w:val="ListParagraph"/>
              <w:widowControl w:val="false"/>
              <w:ind w:hanging="0" w:left="0" w:righ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- На все поставляемое оборудование и материалы должны быть предоставлены заводские паспорта, сертификаты качества, техническая документация в полном объеме на бумажном носителе (2 экземпляра).</w:t>
            </w:r>
          </w:p>
        </w:tc>
      </w:tr>
      <w:tr>
        <w:trPr>
          <w:trHeight w:val="1821" w:hRule="atLeast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20"/>
              <w:ind w:hanging="0" w:left="166" w:right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Требования к поставке продукции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 w:righ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Продукция должна  быть новой, ранее не использованной, не бывшей в употреблении, не восстановленной после ремонта, не выставочным экземпляром, технически исправной.</w:t>
            </w:r>
          </w:p>
          <w:p>
            <w:pPr>
              <w:pStyle w:val="ListParagraph"/>
              <w:widowControl w:val="false"/>
              <w:ind w:hanging="0" w:left="0" w:righ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По качеству и комплектности должна соответствовать действующим на момент поставки ТУ или ГОСТ, указанным в соответствующих сертификатах.</w:t>
            </w:r>
          </w:p>
        </w:tc>
      </w:tr>
      <w:tr>
        <w:trPr>
          <w:trHeight w:val="752" w:hRule="atLeast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20"/>
              <w:ind w:hanging="0" w:left="166" w:right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numPr>
                <w:ilvl w:val="0"/>
              </w:numPr>
              <w:spacing w:before="0" w:after="0"/>
              <w:ind w:hanging="0" w:left="0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false"/>
                <w:color w:val="000000"/>
                <w:sz w:val="24"/>
                <w:szCs w:val="24"/>
                <w:lang w:eastAsia="ru-RU"/>
              </w:rPr>
              <w:t xml:space="preserve">Место поставки продукции 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 w:righ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676730, Амурская область, Бурейский район, п. Талакан, склад ТМЦ</w:t>
            </w:r>
          </w:p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1257" w:hRule="atLeast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166" w:right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1"/>
              <w:widowControl w:val="false"/>
              <w:numPr>
                <w:ilvl w:val="0"/>
              </w:numPr>
              <w:spacing w:lineRule="auto" w:line="240" w:before="480" w:after="0"/>
              <w:ind w:hanging="0" w:left="0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false"/>
                <w:color w:val="000000"/>
                <w:sz w:val="24"/>
                <w:szCs w:val="24"/>
                <w:lang w:eastAsia="ru-RU"/>
              </w:rPr>
              <w:t>Условия поставки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 w:righ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Доставка продукции производится Поставщиком (транспортом поставщика, за его счет) на склад Заказчика.</w:t>
            </w:r>
          </w:p>
          <w:p>
            <w:pPr>
              <w:pStyle w:val="ListParagraph"/>
              <w:widowControl w:val="false"/>
              <w:ind w:hanging="0" w:left="0" w:righ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2542" w:hRule="atLeast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20"/>
              <w:ind w:hanging="0" w:left="166" w:right="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numPr>
                <w:ilvl w:val="0"/>
              </w:numPr>
              <w:spacing w:before="480" w:after="0"/>
              <w:ind w:hanging="0" w:left="0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false"/>
                <w:color w:val="000000"/>
                <w:sz w:val="24"/>
                <w:szCs w:val="24"/>
                <w:lang w:eastAsia="ru-RU"/>
              </w:rPr>
              <w:t>Гарантийный срок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firstLine="347" w:left="0" w:righ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Поставщик гарантирует соответствие продукции требованиям нормативно-технической документации (конструкторской документации) в течение гарантийного срока, установленного заводом изготовителем, исчисляемого с даты подписания соответствующих акт</w:t>
            </w:r>
            <w:bookmarkStart w:id="3" w:name="_GoBack"/>
            <w:bookmarkEnd w:id="3"/>
            <w:r>
              <w:rPr>
                <w:color w:val="000000"/>
                <w:sz w:val="24"/>
                <w:szCs w:val="24"/>
              </w:rPr>
              <w:t xml:space="preserve">ов, товарных накладных (ТОРГ-12), при соблюдении условий транспортирования, правил хранения на складе. </w:t>
            </w:r>
          </w:p>
        </w:tc>
      </w:tr>
    </w:tbl>
    <w:p>
      <w:pPr>
        <w:sectPr>
          <w:footerReference w:type="default" r:id="rId2"/>
          <w:type w:val="nextPage"/>
          <w:pgSz w:w="11906" w:h="16838"/>
          <w:pgMar w:left="1304" w:right="924" w:gutter="0" w:header="0" w:top="709" w:footer="709" w:bottom="766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Default"/>
        <w:jc w:val="right"/>
        <w:rPr>
          <w:bCs/>
          <w:color w:val="000000"/>
        </w:rPr>
      </w:pPr>
      <w:bookmarkStart w:id="4" w:name="RANGE!A1%25252525252525253AJ66_Копия_1_К"/>
      <w:bookmarkStart w:id="5" w:name="RANGE!A1%25252525252525253AJ66_Копия_1_К"/>
      <w:bookmarkStart w:id="6" w:name="RANGE!A1%25252525252525253AJ66_Копия_1"/>
      <w:bookmarkStart w:id="7" w:name="RANGE!A1%25252525252525253AJ66_Копия_1_К"/>
      <w:bookmarkEnd w:id="4"/>
      <w:bookmarkEnd w:id="5"/>
      <w:bookmarkEnd w:id="6"/>
      <w:bookmarkEnd w:id="7"/>
      <w:r>
        <w:rPr>
          <w:bCs/>
          <w:color w:val="000000"/>
        </w:rPr>
        <w:t>Приложение №1 к Техническим требованиям</w:t>
      </w:r>
    </w:p>
    <w:p>
      <w:pPr>
        <w:pStyle w:val="Default"/>
        <w:jc w:val="right"/>
        <w:rPr>
          <w:bCs/>
          <w:color w:val="000000"/>
          <w:sz w:val="22"/>
        </w:rPr>
      </w:pPr>
      <w:r>
        <w:rPr>
          <w:bCs/>
          <w:color w:val="000000"/>
          <w:sz w:val="22"/>
        </w:rPr>
      </w:r>
    </w:p>
    <w:p>
      <w:pPr>
        <w:pStyle w:val="Normal"/>
        <w:jc w:val="center"/>
        <w:rPr>
          <w:rFonts w:eastAsia="Calibri"/>
          <w:b/>
          <w:bCs/>
          <w:color w:val="000000"/>
          <w:sz w:val="23"/>
          <w:szCs w:val="23"/>
        </w:rPr>
      </w:pPr>
      <w:r>
        <w:rPr>
          <w:rFonts w:eastAsia="Calibri"/>
          <w:b/>
          <w:bCs/>
          <w:color w:val="000000"/>
          <w:sz w:val="23"/>
          <w:szCs w:val="23"/>
        </w:rPr>
        <w:t xml:space="preserve">Перечень закупаемой продукции </w:t>
      </w:r>
    </w:p>
    <w:p>
      <w:pPr>
        <w:pStyle w:val="ListParagraph"/>
        <w:ind w:hanging="0" w:left="0" w:right="0"/>
        <w:rPr>
          <w:bCs/>
          <w:color w:val="000000"/>
        </w:rPr>
      </w:pPr>
      <w:r>
        <w:rPr>
          <w:bCs/>
          <w:color w:val="000000"/>
        </w:rPr>
      </w:r>
    </w:p>
    <w:tbl>
      <w:tblPr>
        <w:tblW w:w="14771" w:type="dxa"/>
        <w:jc w:val="left"/>
        <w:tblInd w:w="3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5275"/>
        <w:gridCol w:w="991"/>
        <w:gridCol w:w="994"/>
        <w:gridCol w:w="6804"/>
      </w:tblGrid>
      <w:tr>
        <w:trPr>
          <w:tblHeader w:val="true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center"/>
              <w:rPr>
                <w:b/>
                <w:bCs/>
                <w:color w:val="000000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lang w:val="ru-RU" w:bidi="ar-SA"/>
              </w:rPr>
              <w:t xml:space="preserve">№ </w:t>
            </w:r>
            <w:r>
              <w:rPr>
                <w:rFonts w:cs="Times New Roman"/>
                <w:b/>
                <w:bCs/>
                <w:color w:val="000000"/>
                <w:kern w:val="0"/>
                <w:lang w:val="ru-RU" w:bidi="ar-SA"/>
              </w:rPr>
              <w:t>п/п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center"/>
              <w:rPr>
                <w:b/>
                <w:bCs/>
                <w:color w:val="000000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lang w:val="ru-RU" w:bidi="ar-SA"/>
              </w:rPr>
              <w:t>Наименование параметра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center"/>
              <w:rPr>
                <w:b/>
                <w:bCs/>
                <w:color w:val="000000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lang w:val="ru-RU" w:bidi="ar-SA"/>
              </w:rPr>
              <w:t>Ед. изм.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center"/>
              <w:rPr>
                <w:b/>
                <w:bCs/>
                <w:color w:val="000000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lang w:val="ru-RU" w:bidi="ar-SA"/>
              </w:rPr>
              <w:t>Кол-во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center"/>
              <w:rPr>
                <w:b/>
                <w:bCs/>
                <w:color w:val="000000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lang w:val="ru-RU" w:bidi="ar-SA"/>
              </w:rPr>
              <w:t>Технические характеристики</w:t>
            </w:r>
          </w:p>
        </w:tc>
      </w:tr>
      <w:tr>
        <w:trPr>
          <w:trHeight w:val="644" w:hRule="atLeast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true"/>
              <w:spacing w:before="0" w:after="0"/>
              <w:ind w:hanging="425" w:left="459" w:right="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bidi="ar-SA"/>
              </w:rPr>
              <w:t>Регулятор расхода РРГ 10-02 (214.5.002.032)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bidi="ar-SA"/>
              </w:rPr>
              <w:t>шт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center"/>
              <w:rPr>
                <w:bCs/>
                <w:color w:val="000000"/>
              </w:rPr>
            </w:pPr>
            <w:r>
              <w:rPr>
                <w:rFonts w:cs="Times New Roman"/>
                <w:bCs/>
                <w:color w:val="000000"/>
                <w:kern w:val="0"/>
                <w:lang w:val="ru-RU" w:bidi="ar-SA"/>
              </w:rPr>
              <w:t>3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left"/>
              <w:rPr>
                <w:color w:val="000000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bidi="ar-SA"/>
              </w:rPr>
              <w:t>Совместимость с хроматографами: Хроматэк-Кристалл 5000, Кристал 2000М, Хроматэк-Газохром 2000, Хроматэк-Кристал 7000 промышленный;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left"/>
              <w:rPr>
                <w:color w:val="000000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bidi="ar-SA"/>
              </w:rPr>
              <w:t xml:space="preserve">Рабочие газы: </w:t>
              <w:tab/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left"/>
              <w:rPr>
                <w:color w:val="000000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bidi="ar-SA"/>
              </w:rPr>
              <w:t>азот (N₂), гелий (He), водород (H₂), аргон (Ar), воздух;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left"/>
              <w:rPr>
                <w:color w:val="000000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bidi="ar-SA"/>
              </w:rPr>
              <w:t>Максимальное входное давление: 0,6МПа;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left"/>
              <w:rPr>
                <w:color w:val="000000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bidi="ar-SA"/>
              </w:rPr>
              <w:t>Погрешность регулирования расхода:</w:t>
            </w:r>
            <w:r>
              <w:rPr>
                <w:rFonts w:cs="Times New Roman" w:ascii="Opensans;Arial;Helvetica;sans-serif" w:hAnsi="Opensans;Arial;Helvetica;sans-serif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не более ±1% от верхнего предела измерений;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Время установления заданного расхода: менее 2 сек;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Интерфейс управления: цифровой;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Присоединительная трубка: 3 мм (или 1/8").</w:t>
            </w:r>
          </w:p>
        </w:tc>
      </w:tr>
      <w:tr>
        <w:trPr>
          <w:trHeight w:val="644" w:hRule="atLeast"/>
        </w:trPr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true"/>
              <w:spacing w:before="0" w:after="0"/>
              <w:ind w:hanging="425" w:left="459" w:right="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5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Регулятор давления баллонный РДБ-2-0,6 (214.5.882.003)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</w:p>
        </w:tc>
        <w:tc>
          <w:tcPr>
            <w:tcW w:w="6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left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Количество ступеней регулирования:2;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left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Условная пропускная способность, куб.м./час: не менее 0,6 (600) л/час;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left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Зона пропорциональности выходного давления: 0,1-0,6 мПа;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left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Наименьшее давление газа на входе: 1,2 (12);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left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Диапазон температур: -30 … +50 °С;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left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Входной штуцер: G 3/4";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left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Присоединительная трубка: 3 мм (или 1/8")</w:t>
            </w:r>
          </w:p>
        </w:tc>
      </w:tr>
      <w:tr>
        <w:trPr>
          <w:trHeight w:val="644" w:hRule="atLeast"/>
        </w:trPr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true"/>
              <w:spacing w:before="0" w:after="0"/>
              <w:ind w:hanging="425" w:left="459" w:right="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5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Регулятор расхода РРГ 11-02 (214.5.002.032-02)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</w:p>
        </w:tc>
        <w:tc>
          <w:tcPr>
            <w:tcW w:w="6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left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РРГ в узком корпусе, используется взамен широких РРГ11, 5.002.014-01. 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left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Включает универсальный комплект для установки в хроматографы серии Кристалл 2000М (с 2000 г.в.), Хроматэк-Кристалл 5000. </w:t>
            </w:r>
          </w:p>
        </w:tc>
      </w:tr>
      <w:tr>
        <w:trPr>
          <w:trHeight w:val="644" w:hRule="atLeast"/>
        </w:trPr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true"/>
              <w:spacing w:before="0" w:after="0"/>
              <w:ind w:hanging="425" w:left="459" w:right="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5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Трубка фторопластовая Ф-4МБ (3x1x1мм)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</w:p>
        </w:tc>
        <w:tc>
          <w:tcPr>
            <w:tcW w:w="6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left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Внутренний диаметр: 1 мм;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left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Наружный диаметр: 3 мм;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0"/>
              <w:contextualSpacing/>
              <w:jc w:val="left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Материал: фторопласт Ф-4МБ.</w:t>
            </w:r>
          </w:p>
        </w:tc>
      </w:tr>
    </w:tbl>
    <w:p>
      <w:pPr>
        <w:pStyle w:val="Normal"/>
        <w:jc w:val="right"/>
        <w:rPr>
          <w:color w:val="000000"/>
        </w:rPr>
      </w:pPr>
      <w:r>
        <w:rPr>
          <w:color w:val="000000"/>
        </w:rPr>
        <w:tab/>
      </w:r>
    </w:p>
    <w:p>
      <w:pPr>
        <w:pStyle w:val="Normal"/>
        <w:rPr/>
      </w:pPr>
      <w:r>
        <w:rPr/>
      </w:r>
    </w:p>
    <w:sectPr>
      <w:footerReference w:type="default" r:id="rId3"/>
      <w:footerReference w:type="first" r:id="rId4"/>
      <w:type w:val="nextPage"/>
      <w:pgSz w:orient="landscape" w:w="16838" w:h="11906"/>
      <w:pgMar w:left="851" w:right="851" w:gutter="0" w:header="0" w:top="568" w:footer="709" w:bottom="766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Segoe UI">
    <w:charset w:val="01"/>
    <w:family w:val="roman"/>
    <w:pitch w:val="variable"/>
  </w:font>
  <w:font w:name="Open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numPr>
        <w:ilvl w:val="0"/>
        <w:numId w:val="0"/>
      </w:numPr>
      <w:spacing w:lineRule="auto" w:line="276" w:before="480" w:after="0"/>
      <w:outlineLvl w:val="0"/>
    </w:pPr>
    <w:rPr>
      <w:rFonts w:ascii="Cambria" w:hAnsi="Cambria"/>
      <w:b/>
      <w:bCs/>
      <w:color w:val="365F91"/>
      <w:lang w:eastAsia="en-US"/>
    </w:rPr>
  </w:style>
  <w:style w:type="paragraph" w:styleId="Heading2">
    <w:name w:val="Heading 2"/>
    <w:basedOn w:val="Normal"/>
    <w:next w:val="Normal"/>
    <w:link w:val="2"/>
    <w:qFormat/>
    <w:pPr>
      <w:keepNext w:val="true"/>
      <w:keepLines/>
      <w:numPr>
        <w:ilvl w:val="0"/>
        <w:numId w:val="0"/>
      </w:numPr>
      <w:spacing w:lineRule="auto" w:line="276" w:before="200" w:after="0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Heading3">
    <w:name w:val="Heading 3"/>
    <w:basedOn w:val="Normal"/>
    <w:next w:val="Normal"/>
    <w:link w:val="31"/>
    <w:qFormat/>
    <w:pPr>
      <w:keepNext w:val="true"/>
      <w:keepLines/>
      <w:numPr>
        <w:ilvl w:val="0"/>
        <w:numId w:val="0"/>
      </w:numPr>
      <w:spacing w:before="40" w:after="0"/>
      <w:outlineLvl w:val="2"/>
    </w:pPr>
    <w:rPr>
      <w:rFonts w:ascii="Cambria" w:hAnsi="Cambria" w:eastAsia="Calibri" w:cs="Times New Roman"/>
      <w:color w:val="243F60"/>
      <w:sz w:val="24"/>
      <w:szCs w:val="24"/>
    </w:rPr>
  </w:style>
  <w:style w:type="character" w:styleId="DefaultParagraphFont">
    <w:name w:val="Default Paragraph Font"/>
    <w:qFormat/>
    <w:rPr/>
  </w:style>
  <w:style w:type="character" w:styleId="1">
    <w:name w:val="Заголовок 1 Знак"/>
    <w:basedOn w:val="DefaultParagraphFont"/>
    <w:qFormat/>
    <w:rPr>
      <w:rFonts w:ascii="Cambria" w:hAnsi="Cambria" w:eastAsia="Times New Roman"/>
      <w:b/>
      <w:bCs/>
      <w:color w:val="365F91"/>
      <w:sz w:val="28"/>
      <w:szCs w:val="28"/>
    </w:rPr>
  </w:style>
  <w:style w:type="character" w:styleId="2">
    <w:name w:val="Заголовок 2 Знак"/>
    <w:basedOn w:val="DefaultParagraphFont"/>
    <w:qFormat/>
    <w:rPr>
      <w:rFonts w:ascii="Cambria" w:hAnsi="Cambria" w:eastAsia="Times New Roman"/>
      <w:b/>
      <w:bCs/>
      <w:color w:val="4F81BD"/>
      <w:sz w:val="26"/>
      <w:szCs w:val="26"/>
    </w:rPr>
  </w:style>
  <w:style w:type="character" w:styleId="Style6">
    <w:name w:val="Нижний колонтитул Знак"/>
    <w:basedOn w:val="DefaultParagraphFont"/>
    <w:qFormat/>
    <w:rPr>
      <w:rFonts w:ascii="Times New Roman" w:hAnsi="Times New Roman" w:eastAsia="Times New Roman"/>
      <w:sz w:val="28"/>
      <w:szCs w:val="28"/>
      <w:lang w:eastAsia="ru-RU"/>
    </w:rPr>
  </w:style>
  <w:style w:type="character" w:styleId="Style7">
    <w:name w:val="Основной текст Знак"/>
    <w:basedOn w:val="DefaultParagraphFont"/>
    <w:qFormat/>
    <w:rPr>
      <w:rFonts w:ascii="Times New Roman" w:hAnsi="Times New Roman" w:eastAsia="Times New Roman"/>
      <w:sz w:val="28"/>
      <w:szCs w:val="28"/>
      <w:lang w:eastAsia="ru-RU"/>
    </w:rPr>
  </w:style>
  <w:style w:type="character" w:styleId="3">
    <w:name w:val="Основной текст с отступом 3 Знак"/>
    <w:basedOn w:val="DefaultParagraphFont"/>
    <w:link w:val="BodyTextIndent3"/>
    <w:qFormat/>
    <w:rPr>
      <w:rFonts w:ascii="Times New Roman" w:hAnsi="Times New Roman" w:eastAsia="Times New Roman"/>
      <w:sz w:val="16"/>
      <w:szCs w:val="16"/>
      <w:lang w:eastAsia="ru-RU"/>
    </w:rPr>
  </w:style>
  <w:style w:type="character" w:styleId="Style8">
    <w:name w:val="Текст примечания Знак"/>
    <w:basedOn w:val="DefaultParagraphFont"/>
    <w:link w:val="Annotationtext"/>
    <w:qFormat/>
    <w:rPr>
      <w:rFonts w:ascii="Times New Roman" w:hAnsi="Times New Roman" w:eastAsia="Times New Roman"/>
      <w:lang w:eastAsia="ru-RU"/>
    </w:rPr>
  </w:style>
  <w:style w:type="character" w:styleId="Style9">
    <w:name w:val="Текст выноски Знак"/>
    <w:basedOn w:val="DefaultParagraphFont"/>
    <w:link w:val="BalloonText"/>
    <w:qFormat/>
    <w:rPr>
      <w:rFonts w:ascii="Segoe UI" w:hAnsi="Segoe UI" w:eastAsia="Times New Roman" w:cs="Segoe UI"/>
      <w:sz w:val="18"/>
      <w:szCs w:val="18"/>
      <w:lang w:eastAsia="ru-RU"/>
    </w:rPr>
  </w:style>
  <w:style w:type="character" w:styleId="31">
    <w:name w:val="Заголовок 3 Знак"/>
    <w:basedOn w:val="DefaultParagraphFont"/>
    <w:qFormat/>
    <w:rPr>
      <w:rFonts w:ascii="Cambria" w:hAnsi="Cambria" w:eastAsia="Calibri" w:cs="Times New Roman"/>
      <w:color w:val="243F60"/>
      <w:sz w:val="24"/>
      <w:szCs w:val="24"/>
      <w:lang w:eastAsia="ru-RU"/>
    </w:rPr>
  </w:style>
  <w:style w:type="character" w:styleId="Style10">
    <w:name w:val="Символ сноски"/>
    <w:qFormat/>
    <w:rPr/>
  </w:style>
  <w:style w:type="character" w:styleId="LineNumber">
    <w:name w:val="Line Number"/>
    <w:rPr/>
  </w:style>
  <w:style w:type="character" w:styleId="Style11">
    <w:name w:val="комментарий"/>
    <w:qFormat/>
    <w:rPr>
      <w:b/>
      <w:i/>
      <w:shd w:fill="FFFF99" w:val="clear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7"/>
    <w:pPr>
      <w:spacing w:before="0" w:after="12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qFormat/>
    <w:pPr>
      <w:spacing w:before="0" w:after="0"/>
      <w:ind w:hanging="0" w:left="720" w:right="0"/>
      <w:contextualSpacing/>
    </w:pPr>
    <w:rPr/>
  </w:style>
  <w:style w:type="paragraph" w:styleId="Style14">
    <w:name w:val="Колонтитул"/>
    <w:basedOn w:val="Normal"/>
    <w:qFormat/>
    <w:pPr/>
    <w:rPr/>
  </w:style>
  <w:style w:type="paragraph" w:styleId="Footer">
    <w:name w:val="Footer"/>
    <w:basedOn w:val="Normal"/>
    <w:link w:val="Style6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3">
    <w:name w:val="Body Text Indent 3"/>
    <w:basedOn w:val="Normal"/>
    <w:link w:val="3"/>
    <w:qFormat/>
    <w:pPr>
      <w:spacing w:before="0" w:after="120"/>
      <w:ind w:hanging="0" w:left="283" w:right="0"/>
    </w:pPr>
    <w:rPr>
      <w:sz w:val="16"/>
      <w:szCs w:val="16"/>
    </w:rPr>
  </w:style>
  <w:style w:type="paragraph" w:styleId="Annotationtext">
    <w:name w:val="annotation text"/>
    <w:basedOn w:val="Normal"/>
    <w:link w:val="Style8"/>
    <w:qFormat/>
    <w:pPr/>
    <w:rPr>
      <w:sz w:val="20"/>
      <w:szCs w:val="20"/>
    </w:rPr>
  </w:style>
  <w:style w:type="paragraph" w:styleId="Default">
    <w:name w:val="Default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ru-RU" w:bidi="ar-SA"/>
    </w:rPr>
  </w:style>
  <w:style w:type="paragraph" w:styleId="BalloonText">
    <w:name w:val="Balloon Text"/>
    <w:basedOn w:val="Normal"/>
    <w:link w:val="Style9"/>
    <w:qFormat/>
    <w:pPr/>
    <w:rPr>
      <w:rFonts w:ascii="Segoe UI" w:hAnsi="Segoe UI" w:cs="Segoe UI"/>
      <w:sz w:val="18"/>
      <w:szCs w:val="18"/>
    </w:rPr>
  </w:style>
  <w:style w:type="paragraph" w:styleId="NoSpacing">
    <w:name w:val="No Spacing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Style15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Application>AlterOffice/2026.2.1.1$Linux_X86_64 LibreOffice_project/6d96de8aff889cb0e33766577a7a2a9f4fe0f9d5</Application>
  <AppVersion>15.0000</AppVersion>
  <Pages>4</Pages>
  <Words>476</Words>
  <Characters>3253</Characters>
  <CharactersWithSpaces>3694</CharactersWithSpaces>
  <Paragraphs>91</Paragraphs>
  <Company>RusHydro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2022-06-16T02:12:00Z</dcterms:created>
  <dc:creator>Степанова Юлия Владимировна</dc:creator>
  <dc:description/>
  <dc:language>ru-RU</dc:language>
  <cp:lastModifiedBy>lysenkoea@corp.gidroogk.com</cp:lastModifiedBy>
  <cp:lastPrinted>2022-08-19T01:41:00Z</cp:lastPrinted>
  <dcterms:modified xsi:type="dcterms:W3CDTF">2026-10-29T11:37:31Z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