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426" w:leader="none"/>
        </w:tabs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  <w:bookmarkStart w:id="0" w:name="_GoBack"/>
      <w:bookmarkStart w:id="1" w:name="_GoBack"/>
      <w:bookmarkEnd w:id="1"/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Times" w:hAnsi="Times" w:eastAsia="Times" w:cs="Times"/>
          <w:b/>
          <w:sz w:val="26"/>
          <w:szCs w:val="26"/>
        </w:rPr>
      </w:pPr>
      <w:r>
        <w:rPr>
          <w:b/>
          <w:sz w:val="26"/>
          <w:szCs w:val="26"/>
        </w:rPr>
        <w:t>Технические требования на поставку лицензий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  <w:sz w:val="26"/>
          <w:szCs w:val="26"/>
        </w:rPr>
      </w:pPr>
      <w:r>
        <w:rPr>
          <w:b/>
          <w:i/>
          <w:sz w:val="26"/>
          <w:szCs w:val="26"/>
        </w:rPr>
        <w:t>ОКПД2 58.29.50 Приобретение лицензий 1С для нужд ПАО "РусГидро".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Лот № 2-ЭКСП-ДИТ-2026-ИА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tabs>
              <w:tab w:val="clear" w:pos="708"/>
              <w:tab w:val="left" w:pos="560" w:leader="none"/>
              <w:tab w:val="right" w:pos="9911" w:leader="none"/>
            </w:tabs>
            <w:spacing w:before="120" w:after="0"/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8"/>
              <w:sz w:val="24"/>
              <w:b/>
              <w:szCs w:val="24"/>
              <w:vanish w:val="false"/>
              <w:color w:val="000000"/>
            </w:rPr>
            <w:instrText xml:space="preserve"> TOC \z \o "1-9" \u \t "Heading 1,1,Heading 2,2,Heading 3,3,Heading 4,4" \h</w:instrText>
          </w:r>
          <w:r>
            <w:rPr>
              <w:webHidden/>
              <w:rStyle w:val="Style8"/>
              <w:sz w:val="24"/>
              <w:b/>
              <w:szCs w:val="24"/>
              <w:vanish w:val="false"/>
              <w:color w:val="000000"/>
            </w:rPr>
            <w:fldChar w:fldCharType="separate"/>
          </w:r>
          <w:hyperlink w:anchor="_30j0zll">
            <w:r>
              <w:rPr>
                <w:webHidden/>
                <w:rStyle w:val="Style8"/>
                <w:b/>
                <w:vanish w:val="false"/>
                <w:color w:val="000000"/>
                <w:sz w:val="24"/>
                <w:szCs w:val="24"/>
              </w:rPr>
              <w:t>1.</w:t>
            </w:r>
          </w:hyperlink>
          <w:hyperlink w:anchor="_30j0zll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b/>
              <w:color w:val="000000"/>
              <w:sz w:val="24"/>
              <w:szCs w:val="24"/>
            </w:rPr>
            <w:t>Общие сведения</w:t>
            <w:tab/>
            <w:t>3</w:t>
          </w:r>
        </w:p>
        <w:p>
          <w:pPr>
            <w:pStyle w:val="Normal"/>
            <w:tabs>
              <w:tab w:val="clear" w:pos="708"/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hyperlink w:anchor="_1fob9te">
            <w:r>
              <w:rPr>
                <w:webHidden/>
                <w:rStyle w:val="Style8"/>
                <w:vanish w:val="false"/>
                <w:color w:val="000000"/>
                <w:sz w:val="20"/>
                <w:szCs w:val="20"/>
              </w:rPr>
              <w:t>1.1.</w:t>
            </w:r>
          </w:hyperlink>
          <w:hyperlink w:anchor="_1fob9te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color w:val="000000"/>
              <w:sz w:val="20"/>
              <w:szCs w:val="20"/>
            </w:rPr>
            <w:t>Наименование закупаемой продукции</w:t>
            <w:tab/>
            <w:t>3</w:t>
          </w:r>
        </w:p>
        <w:p>
          <w:pPr>
            <w:pStyle w:val="Normal"/>
            <w:tabs>
              <w:tab w:val="clear" w:pos="708"/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hyperlink w:anchor="_3znysh7">
            <w:r>
              <w:rPr>
                <w:webHidden/>
                <w:rStyle w:val="Style8"/>
                <w:vanish w:val="false"/>
                <w:color w:val="000000"/>
                <w:sz w:val="20"/>
                <w:szCs w:val="20"/>
              </w:rPr>
              <w:t>1.2.</w:t>
            </w:r>
          </w:hyperlink>
          <w:hyperlink w:anchor="_3znysh7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color w:val="000000"/>
              <w:sz w:val="20"/>
              <w:szCs w:val="20"/>
            </w:rPr>
            <w:t>Цель использования закупаемой продукции</w:t>
            <w:tab/>
            <w:t>3</w:t>
          </w:r>
        </w:p>
        <w:p>
          <w:pPr>
            <w:pStyle w:val="Normal"/>
            <w:tabs>
              <w:tab w:val="clear" w:pos="708"/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hyperlink w:anchor="_2et92p0">
            <w:r>
              <w:rPr>
                <w:webHidden/>
                <w:rStyle w:val="Style8"/>
                <w:vanish w:val="false"/>
                <w:color w:val="000000"/>
                <w:sz w:val="20"/>
                <w:szCs w:val="20"/>
              </w:rPr>
              <w:t>1.3.</w:t>
            </w:r>
          </w:hyperlink>
          <w:hyperlink w:anchor="_2et92p0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color w:val="000000"/>
              <w:sz w:val="20"/>
              <w:szCs w:val="20"/>
            </w:rPr>
            <w:t>Существующее положение</w:t>
            <w:tab/>
            <w:t>3</w:t>
          </w:r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none"/>
            </w:tabs>
            <w:spacing w:before="120" w:after="0"/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hyperlink w:anchor="_3dy6vkm">
            <w:r>
              <w:rPr>
                <w:webHidden/>
                <w:rStyle w:val="Style8"/>
                <w:b/>
                <w:vanish w:val="false"/>
                <w:color w:val="000000"/>
                <w:sz w:val="24"/>
                <w:szCs w:val="24"/>
              </w:rPr>
              <w:t>2.</w:t>
            </w:r>
          </w:hyperlink>
          <w:hyperlink w:anchor="_3dy6vkm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b/>
              <w:color w:val="000000"/>
              <w:sz w:val="24"/>
              <w:szCs w:val="24"/>
            </w:rPr>
            <w:t>Требования к продукции</w:t>
            <w:tab/>
            <w:t>3</w:t>
          </w:r>
        </w:p>
        <w:p>
          <w:pPr>
            <w:pStyle w:val="Normal"/>
            <w:tabs>
              <w:tab w:val="clear" w:pos="708"/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hyperlink w:anchor="_1t3h5sf">
            <w:r>
              <w:rPr>
                <w:webHidden/>
                <w:rStyle w:val="Style8"/>
                <w:vanish w:val="false"/>
                <w:color w:val="000000"/>
                <w:sz w:val="20"/>
                <w:szCs w:val="20"/>
              </w:rPr>
              <w:t>2.1.</w:t>
            </w:r>
          </w:hyperlink>
          <w:hyperlink w:anchor="_1t3h5sf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color w:val="000000"/>
              <w:sz w:val="20"/>
              <w:szCs w:val="20"/>
            </w:rPr>
            <w:t>Требования к объемам и срокам поставки</w:t>
            <w:tab/>
            <w:t>3</w:t>
          </w:r>
        </w:p>
        <w:p>
          <w:pPr>
            <w:pStyle w:val="Normal"/>
            <w:tabs>
              <w:tab w:val="clear" w:pos="708"/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hyperlink w:anchor="_4d34og8">
            <w:r>
              <w:rPr>
                <w:webHidden/>
                <w:rStyle w:val="Style8"/>
                <w:vanish w:val="false"/>
                <w:color w:val="000000"/>
                <w:sz w:val="20"/>
                <w:szCs w:val="20"/>
              </w:rPr>
              <w:t>2.1.1.</w:t>
            </w:r>
          </w:hyperlink>
          <w:hyperlink w:anchor="_4d34og8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color w:val="000000"/>
              <w:sz w:val="20"/>
              <w:szCs w:val="20"/>
            </w:rPr>
            <w:t>Перечень и объем закупаемой продукции</w:t>
            <w:tab/>
            <w:t>3</w:t>
          </w:r>
        </w:p>
        <w:p>
          <w:pPr>
            <w:pStyle w:val="Normal"/>
            <w:tabs>
              <w:tab w:val="clear" w:pos="708"/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hyperlink w:anchor="_17dp8vu">
            <w:r>
              <w:rPr>
                <w:webHidden/>
                <w:rStyle w:val="Style8"/>
                <w:vanish w:val="false"/>
                <w:color w:val="000000"/>
                <w:sz w:val="20"/>
                <w:szCs w:val="20"/>
              </w:rPr>
              <w:t>2.1.2.</w:t>
            </w:r>
          </w:hyperlink>
          <w:hyperlink w:anchor="_17dp8vu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color w:val="000000"/>
              <w:sz w:val="20"/>
              <w:szCs w:val="20"/>
            </w:rPr>
            <w:t>Требования к срокам поставки продукции и оказания сопутствующих услуг</w:t>
            <w:tab/>
            <w:t>3</w:t>
          </w:r>
        </w:p>
        <w:p>
          <w:pPr>
            <w:pStyle w:val="Normal"/>
            <w:tabs>
              <w:tab w:val="clear" w:pos="708"/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hyperlink w:anchor="_26in1rg">
            <w:r>
              <w:rPr>
                <w:webHidden/>
                <w:rStyle w:val="Style8"/>
                <w:vanish w:val="false"/>
                <w:color w:val="000000"/>
                <w:sz w:val="20"/>
                <w:szCs w:val="20"/>
              </w:rPr>
              <w:t>2.2.</w:t>
            </w:r>
          </w:hyperlink>
          <w:hyperlink w:anchor="_26in1rg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color w:val="000000"/>
              <w:sz w:val="20"/>
              <w:szCs w:val="20"/>
            </w:rPr>
            <w:t>Требования к качеству продукции</w:t>
            <w:tab/>
            <w:t>5</w:t>
          </w:r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none"/>
            </w:tabs>
            <w:spacing w:before="120" w:after="0"/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hyperlink w:anchor="_35nkun2">
            <w:r>
              <w:rPr>
                <w:webHidden/>
                <w:rStyle w:val="Style8"/>
                <w:b/>
                <w:vanish w:val="false"/>
                <w:color w:val="000000"/>
                <w:sz w:val="24"/>
                <w:szCs w:val="24"/>
              </w:rPr>
              <w:t>3.</w:t>
            </w:r>
          </w:hyperlink>
          <w:hyperlink w:anchor="_35nkun2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b/>
              <w:color w:val="000000"/>
              <w:sz w:val="24"/>
              <w:szCs w:val="24"/>
            </w:rPr>
            <w:t>Требования к документации по ценообразованию на этапе закупки</w:t>
            <w:tab/>
            <w:t>7</w:t>
          </w:r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none"/>
            </w:tabs>
            <w:spacing w:before="120" w:after="0"/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hyperlink w:anchor="_2jxsxqh">
            <w:r>
              <w:rPr>
                <w:webHidden/>
                <w:rStyle w:val="Style8"/>
                <w:b/>
                <w:vanish w:val="false"/>
                <w:color w:val="000000"/>
                <w:sz w:val="24"/>
                <w:szCs w:val="24"/>
              </w:rPr>
              <w:t>4.</w:t>
            </w:r>
          </w:hyperlink>
          <w:hyperlink w:anchor="_2jxsxqh">
            <w:r>
              <w:rPr>
                <w:webHidden/>
                <w:rStyle w:val="Style8"/>
                <w:rFonts w:eastAsia="Calibri" w:cs="Calibri" w:ascii="Calibri" w:hAnsi="Calibri"/>
                <w:vanish w:val="false"/>
                <w:color w:val="000000"/>
                <w:sz w:val="22"/>
                <w:szCs w:val="22"/>
              </w:rPr>
              <w:tab/>
            </w:r>
          </w:hyperlink>
          <w:r>
            <w:rPr>
              <w:b/>
              <w:color w:val="000000"/>
              <w:sz w:val="24"/>
              <w:szCs w:val="24"/>
            </w:rPr>
            <w:t>Приложения</w:t>
            <w:tab/>
            <w:t>7</w:t>
          </w:r>
          <w:r>
            <w:rPr>
              <w:sz w:val="24"/>
              <w:b/>
              <w:szCs w:val="24"/>
              <w:color w:val="000000"/>
            </w:rPr>
            <w:fldChar w:fldCharType="end"/>
          </w:r>
        </w:p>
      </w:sdtContent>
    </w:sdt>
    <w:p>
      <w:pPr>
        <w:pStyle w:val="Heading2"/>
        <w:keepNext w:val="true"/>
        <w:spacing w:before="120" w:after="60"/>
        <w:ind w:hanging="426" w:left="426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1"/>
        </w:numPr>
        <w:rPr>
          <w:smallCaps/>
        </w:rPr>
      </w:pPr>
      <w:bookmarkStart w:id="2" w:name="_30j0zll"/>
      <w:bookmarkEnd w:id="2"/>
      <w:r>
        <w:rPr/>
        <w:t>Общие сведения</w:t>
      </w:r>
    </w:p>
    <w:p>
      <w:pPr>
        <w:pStyle w:val="Heading4"/>
        <w:numPr>
          <w:ilvl w:val="1"/>
          <w:numId w:val="1"/>
        </w:numPr>
        <w:rPr/>
      </w:pPr>
      <w:bookmarkStart w:id="3" w:name="_1fob9te"/>
      <w:bookmarkEnd w:id="3"/>
      <w:r>
        <w:rPr/>
        <w:t>Наименование закупаемой продукции</w:t>
      </w:r>
    </w:p>
    <w:p>
      <w:pPr>
        <w:pStyle w:val="Heading4"/>
        <w:rPr/>
      </w:pPr>
      <w:bookmarkStart w:id="4" w:name="_3znysh7"/>
      <w:bookmarkEnd w:id="4"/>
      <w:r>
        <w:rPr>
          <w:b w:val="false"/>
          <w:i/>
        </w:rPr>
        <w:t>ОКПД2 58.29.50 Приобретение лицензий 1С для нужд ПАО "РусГидро".</w:t>
      </w:r>
    </w:p>
    <w:p>
      <w:pPr>
        <w:pStyle w:val="Heading4"/>
        <w:numPr>
          <w:ilvl w:val="1"/>
          <w:numId w:val="1"/>
        </w:numPr>
        <w:rPr/>
      </w:pPr>
      <w:r>
        <w:rPr/>
        <w:t>Цель использования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426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Использование российского программного обеспечения</w:t>
      </w:r>
      <w:r>
        <w:rPr>
          <w:rStyle w:val="FootnoteReference"/>
          <w:i/>
          <w:sz w:val="24"/>
          <w:szCs w:val="24"/>
        </w:rPr>
        <w:footnoteReference w:id="2"/>
      </w:r>
      <w:r>
        <w:rPr>
          <w:i/>
          <w:sz w:val="24"/>
          <w:szCs w:val="24"/>
        </w:rPr>
        <w:t xml:space="preserve"> в соответствии с постановлениями Правительства РФ от 16.11.2015 №1236 и от 23.12.2024 №1875 в рамках выполнения директив </w:t>
      </w:r>
      <w:r>
        <w:rPr>
          <w:i/>
          <w:spacing w:val="-6"/>
          <w:sz w:val="24"/>
          <w:szCs w:val="24"/>
        </w:rPr>
        <w:t xml:space="preserve">Правительства РФ от 14.04.2021 №3438п-П13 и от 23.04.2021 №3853п-П7 согласно Дорожной карте реализации стратегии ИТ-проектов ПАО «РусГидро», разработанной в рамках осуществления Плана мероприятий и перехода на преимущественное использование отечественного программного обеспечения Стратегии цифровой трансформации Группы РусГидро на период 2022-2024 годы с перспективой до 2030 года (выписка из Протокола заседания совета директоров от 31.05.2024 </w:t>
      </w:r>
      <w:r>
        <w:rPr>
          <w:i/>
          <w:sz w:val="24"/>
          <w:szCs w:val="24"/>
        </w:rPr>
        <w:t>№ 374), для обеспечения стабильной и бесперебойной работы ИТ-инфраструктуры, в том числе информационных систем и комплексов, а также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автоматизированных рабочих мест пользователей ПАО «РусГидро», соответствия ИТ-инфраструктуры целевой архитектуре с учетом снижения общей стоимости владения.</w:t>
      </w:r>
    </w:p>
    <w:p>
      <w:pPr>
        <w:pStyle w:val="Heading4"/>
        <w:numPr>
          <w:ilvl w:val="1"/>
          <w:numId w:val="1"/>
        </w:numPr>
        <w:rPr/>
      </w:pPr>
      <w:bookmarkStart w:id="5" w:name="_2et92p0"/>
      <w:bookmarkEnd w:id="5"/>
      <w:r>
        <w:rPr/>
        <w:t>Существующее положение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425"/>
        <w:jc w:val="both"/>
        <w:rPr>
          <w:i/>
          <w:i/>
          <w:sz w:val="24"/>
          <w:szCs w:val="24"/>
        </w:rPr>
      </w:pPr>
      <w:bookmarkStart w:id="6" w:name="_tyjcwt"/>
      <w:bookmarkEnd w:id="6"/>
      <w:r>
        <w:rPr>
          <w:i/>
          <w:sz w:val="24"/>
          <w:szCs w:val="24"/>
        </w:rPr>
        <w:t xml:space="preserve">Имеющиеся права на использование ПО и активированные сервисы технической поддержки не позволяют обеспечивать стабильную и бесперебойную работу </w:t>
      </w:r>
      <w:r>
        <w:rPr>
          <w:i/>
          <w:spacing w:val="-2"/>
          <w:sz w:val="24"/>
          <w:szCs w:val="24"/>
        </w:rPr>
        <w:t xml:space="preserve">информационной системы  1С:ERP. Управление холдингом </w:t>
      </w:r>
      <w:r>
        <w:rPr>
          <w:i/>
          <w:sz w:val="24"/>
          <w:szCs w:val="24"/>
        </w:rPr>
        <w:t xml:space="preserve">2027-2028 гг. в связи с тем, что сроки лицензии истекают в 2026г.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426"/>
        <w:jc w:val="both"/>
        <w:rPr>
          <w:i/>
          <w:i/>
          <w:spacing w:val="-2"/>
          <w:sz w:val="24"/>
          <w:szCs w:val="24"/>
        </w:rPr>
      </w:pPr>
      <w:r>
        <w:rPr>
          <w:i/>
          <w:spacing w:val="-2"/>
          <w:sz w:val="24"/>
          <w:szCs w:val="24"/>
        </w:rPr>
        <w:t>Таким образом, требуется приобретение отсутствующих неисключительных прав тех же типов и правообладателей, которые уже используются в ПАО «РусГидро», с целью унификации и типизации элементов ИТ-инфраструктуры Группы РусГидро (для снижения общей стоимости владения) и обеспечения соответствия их целевой архитектуре.</w:t>
      </w:r>
    </w:p>
    <w:p>
      <w:pPr>
        <w:pStyle w:val="Heading1"/>
        <w:numPr>
          <w:ilvl w:val="0"/>
          <w:numId w:val="1"/>
        </w:numPr>
        <w:rPr>
          <w:smallCaps/>
        </w:rPr>
      </w:pPr>
      <w:bookmarkStart w:id="7" w:name="_3dy6vkm"/>
      <w:bookmarkEnd w:id="7"/>
      <w:r>
        <w:rPr/>
        <w:t>Требования к продукции</w:t>
      </w:r>
    </w:p>
    <w:p>
      <w:pPr>
        <w:pStyle w:val="Heading4"/>
        <w:numPr>
          <w:ilvl w:val="1"/>
          <w:numId w:val="1"/>
        </w:numPr>
        <w:rPr/>
      </w:pPr>
      <w:bookmarkStart w:id="8" w:name="_1t3h5sf"/>
      <w:bookmarkEnd w:id="8"/>
      <w:r>
        <w:rPr/>
        <w:t>Требования к объемам и срокам поставки</w:t>
      </w:r>
    </w:p>
    <w:p>
      <w:pPr>
        <w:pStyle w:val="Heading3"/>
        <w:numPr>
          <w:ilvl w:val="2"/>
          <w:numId w:val="1"/>
        </w:numPr>
        <w:rPr/>
      </w:pPr>
      <w:bookmarkStart w:id="9" w:name="_4d34og8"/>
      <w:bookmarkEnd w:id="9"/>
      <w:r>
        <w:rPr/>
        <w:t>Перечень и объем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425"/>
        <w:jc w:val="both"/>
        <w:rPr>
          <w:i/>
          <w:i/>
          <w:sz w:val="24"/>
          <w:szCs w:val="24"/>
        </w:rPr>
      </w:pPr>
      <w:bookmarkStart w:id="10" w:name="_2s8eyo1"/>
      <w:bookmarkEnd w:id="10"/>
      <w:r>
        <w:rPr>
          <w:i/>
          <w:sz w:val="24"/>
          <w:szCs w:val="24"/>
        </w:rPr>
        <w:t>Перечень и объем закупаемой продукции представлены в Спецификации согласно Приложению №1 к Техническим требованиям.</w:t>
      </w:r>
    </w:p>
    <w:p>
      <w:pPr>
        <w:pStyle w:val="Heading3"/>
        <w:numPr>
          <w:ilvl w:val="2"/>
          <w:numId w:val="1"/>
        </w:numPr>
        <w:rPr/>
      </w:pPr>
      <w:bookmarkStart w:id="11" w:name="_17dp8vu"/>
      <w:bookmarkEnd w:id="11"/>
      <w:r>
        <w:rPr/>
        <w:t>Требования к срокам поставки продукции и оказания сопутствующих услуг</w:t>
      </w:r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69"/>
        <w:gridCol w:w="3969"/>
        <w:gridCol w:w="2619"/>
        <w:gridCol w:w="2623"/>
      </w:tblGrid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продукции/ партии продукции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</w:t>
            </w:r>
            <w:r>
              <w:rPr>
                <w:spacing w:val="-16"/>
                <w:sz w:val="24"/>
                <w:szCs w:val="24"/>
              </w:rPr>
              <w:t>срока поставки продукции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pacing w:val="-8"/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Требования к окончанию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срока поставки продукции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3"/>
              </w:numPr>
              <w:jc w:val="center"/>
              <w:rPr/>
            </w:pPr>
            <w:r>
              <w:rPr/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i/>
                <w:spacing w:val="-8"/>
                <w:sz w:val="24"/>
                <w:szCs w:val="24"/>
              </w:rPr>
              <w:t>Продукция из спецификации согласно Приложению № 1</w:t>
            </w:r>
            <w:r>
              <w:rPr>
                <w:i/>
                <w:sz w:val="24"/>
                <w:szCs w:val="24"/>
              </w:rPr>
              <w:t xml:space="preserve"> к Техническим требованиям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 д</w:t>
            </w:r>
            <w:r>
              <w:rPr>
                <w:i/>
                <w:sz w:val="24"/>
                <w:szCs w:val="24"/>
                <w:lang w:val="en-US"/>
              </w:rPr>
              <w:t>аты</w:t>
            </w:r>
            <w:r>
              <w:rPr>
                <w:i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i/>
                <w:spacing w:val="-12"/>
                <w:sz w:val="24"/>
                <w:szCs w:val="24"/>
                <w:lang w:val="en-US"/>
              </w:rPr>
              <w:t>До 10.12.2026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notePr>
            <w:numFmt w:val="decimal"/>
          </w:footnotePr>
          <w:type w:val="nextPage"/>
          <w:pgSz w:w="11906" w:h="16838"/>
          <w:pgMar w:left="1134" w:right="851" w:gutter="0" w:header="680" w:top="1134" w:footer="0" w:bottom="992"/>
          <w:pgNumType w:start="1" w:fmt="decimal"/>
          <w:formProt w:val="false"/>
          <w:titlePg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1"/>
        </w:numPr>
        <w:rPr/>
      </w:pPr>
      <w:bookmarkStart w:id="12" w:name="_26in1rg"/>
      <w:bookmarkEnd w:id="12"/>
      <w:r>
        <w:rPr/>
        <w:t>Требования к качеству продукции</w:t>
      </w:r>
    </w:p>
    <w:p>
      <w:pPr>
        <w:pStyle w:val="Heading1"/>
        <w:rPr>
          <w:sz w:val="24"/>
          <w:szCs w:val="24"/>
        </w:rPr>
      </w:pPr>
      <w:bookmarkStart w:id="13" w:name="_lnxbz9"/>
      <w:bookmarkEnd w:id="13"/>
      <w:r>
        <w:rPr>
          <w:sz w:val="24"/>
          <w:szCs w:val="24"/>
        </w:rPr>
        <w:t xml:space="preserve">Таблица 3. Требования к продукции </w:t>
      </w:r>
    </w:p>
    <w:p>
      <w:pPr>
        <w:pStyle w:val="Normal"/>
        <w:rPr>
          <w:i/>
          <w:i/>
          <w:shd w:fill="FFFF99" w:val="clear"/>
        </w:rPr>
      </w:pPr>
      <w:r>
        <w:rPr>
          <w:i/>
          <w:shd w:fill="FFFF99" w:val="clear"/>
        </w:rPr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Наименование продукции:</w:t>
      </w:r>
      <w:r>
        <w:rPr>
          <w:i/>
          <w:sz w:val="24"/>
          <w:szCs w:val="24"/>
        </w:rPr>
        <w:t xml:space="preserve"> все позиции согласно Приложению № 1 к Техническим требованиям.</w:t>
      </w:r>
    </w:p>
    <w:tbl>
      <w:tblPr>
        <w:tblW w:w="1474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67"/>
        <w:gridCol w:w="2390"/>
        <w:gridCol w:w="19"/>
        <w:gridCol w:w="6378"/>
        <w:gridCol w:w="2552"/>
        <w:gridCol w:w="2837"/>
      </w:tblGrid>
      <w:tr>
        <w:trPr/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Times"/>
                <w:b/>
              </w:rPr>
              <w:t>Наименование</w:t>
            </w:r>
            <w:r>
              <w:rPr>
                <w:b/>
              </w:rPr>
              <w:t xml:space="preserve"> параметра</w:t>
            </w:r>
          </w:p>
        </w:tc>
        <w:tc>
          <w:tcPr>
            <w:tcW w:w="6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Требование заказчика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40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Согласие с требованием/ указание характеристик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16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1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60" w:after="60"/>
              <w:jc w:val="center"/>
              <w:rPr/>
            </w:pPr>
            <w:r>
              <w:rPr/>
            </w:r>
          </w:p>
        </w:tc>
        <w:tc>
          <w:tcPr>
            <w:tcW w:w="8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Times"/>
                <w:b/>
              </w:rPr>
            </w:pPr>
            <w:r>
              <w:rPr>
                <w:rFonts w:eastAsia="Times"/>
                <w:b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  <w:numId w:val="2"/>
              </w:numPr>
              <w:spacing w:before="60" w:after="60"/>
              <w:ind w:firstLine="142" w:left="-117"/>
              <w:jc w:val="center"/>
              <w:rPr/>
            </w:pPr>
            <w:r>
              <w:rPr/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6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Согласно технической документации на Продукцию, указанную в Приложении №1 к Техническим требованиям.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Согласие с требованием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  <w:numId w:val="2"/>
              </w:numPr>
              <w:spacing w:before="60" w:after="60"/>
              <w:ind w:firstLine="142" w:left="-117"/>
              <w:jc w:val="center"/>
              <w:rPr/>
            </w:pPr>
            <w:r>
              <w:rPr/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Требования к продукции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 xml:space="preserve">Использование эквивалентов других правообладателей </w:t>
            </w:r>
            <w:r>
              <w:rPr>
                <w:b/>
                <w:i/>
              </w:rPr>
              <w:t>невозможно,</w:t>
            </w:r>
            <w:r>
              <w:rPr>
                <w:i/>
              </w:rPr>
              <w:t xml:space="preserve"> т.к. это не соответствует целевой архитектуре ИТ-инфраструктуры. Из-за несовместимости существующих решений, на которых размещаются другие программные продукты, и необходимости обеспечения взаимодействия таких решений с программными продуктами, используемыми Заказчиком (п. 6.5.1.3. б) Единого Положения о закупке продукции для нужд Группы РусГидро).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Согласие с требованием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i/>
              </w:rPr>
              <w:t>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60" w:after="60"/>
              <w:jc w:val="center"/>
              <w:rPr/>
            </w:pPr>
            <w:r>
              <w:rPr/>
            </w:r>
          </w:p>
        </w:tc>
        <w:tc>
          <w:tcPr>
            <w:tcW w:w="8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Требования к безопасности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  <w:numId w:val="2"/>
              </w:numPr>
              <w:spacing w:before="60" w:after="60"/>
              <w:ind w:firstLine="142" w:left="-117"/>
              <w:jc w:val="center"/>
              <w:rPr/>
            </w:pPr>
            <w:r>
              <w:rPr/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Информационная безопасность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pacing w:val="-8"/>
              </w:rPr>
            </w:pPr>
            <w:r>
              <w:rPr>
                <w:i/>
                <w:spacing w:val="-8"/>
              </w:rPr>
              <w:t>Требования к информационной безопасности должны обеспечиваться на всех стадиях жизненного цикла систем, с учетом всех сторон, вовлеченных в процессы жизненного цикла.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i/>
              </w:rPr>
              <w:t>Согласие с требованием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i/>
              </w:rPr>
              <w:t>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60" w:after="60"/>
              <w:jc w:val="center"/>
              <w:rPr/>
            </w:pPr>
            <w:r>
              <w:rPr/>
            </w:r>
          </w:p>
        </w:tc>
        <w:tc>
          <w:tcPr>
            <w:tcW w:w="8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  <w:numId w:val="2"/>
              </w:numPr>
              <w:spacing w:before="60" w:after="60"/>
              <w:ind w:firstLine="142" w:left="-117"/>
              <w:jc w:val="center"/>
              <w:rPr/>
            </w:pPr>
            <w:r>
              <w:rPr/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Место поставки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  <w:spacing w:val="-8"/>
              </w:rPr>
              <w:t>Продукция должна быть доставлена Поставщиком по адресу:</w:t>
            </w:r>
            <w:r>
              <w:rPr>
                <w:i/>
              </w:rPr>
              <w:t xml:space="preserve"> </w:t>
            </w:r>
            <w:r>
              <w:rPr>
                <w:i/>
                <w:spacing w:val="-8"/>
              </w:rPr>
              <w:t>660049, Красноярский край, г. Красноярск, ул. Перенсона, д. 2а, помещ.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Согласие с требованием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60" w:after="60"/>
              <w:jc w:val="center"/>
              <w:rPr/>
            </w:pPr>
            <w:r>
              <w:rPr/>
            </w:r>
          </w:p>
        </w:tc>
        <w:tc>
          <w:tcPr>
            <w:tcW w:w="8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60" w:after="60"/>
              <w:rPr>
                <w:rFonts w:ascii="Times New Roman Полужирный" w:hAnsi="Times New Roman Полужирный"/>
                <w:spacing w:val="-6"/>
              </w:rPr>
            </w:pPr>
            <w:r>
              <w:rPr>
                <w:rFonts w:ascii="Times New Roman Полужирный" w:hAnsi="Times New Roman Полужирный"/>
                <w:b/>
                <w:spacing w:val="-6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b/>
              </w:rPr>
              <w:t>-//-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  <w:numId w:val="2"/>
              </w:numPr>
              <w:spacing w:before="60" w:after="60"/>
              <w:ind w:firstLine="142" w:left="-117"/>
              <w:jc w:val="center"/>
              <w:rPr/>
            </w:pPr>
            <w:r>
              <w:rPr/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Взаимодействие представителей Заказчика и Поставщика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Осуществляется через Комплекс средств автоматизации службы поддержки пользователей Заказчика, а также помимо этого может осуществляться лично, по телефону либо посредством электронной почты.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Согласие с требованием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  <w:numId w:val="2"/>
              </w:numPr>
              <w:spacing w:before="60" w:after="60"/>
              <w:ind w:firstLine="142" w:left="-117"/>
              <w:jc w:val="center"/>
              <w:rPr/>
            </w:pPr>
            <w:r>
              <w:rPr/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</w:rPr>
              <w:t>Способ поставки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Передача Лицензиаром неисключительного права на ПО осуществляется путем передачи Лицензиату одним из следующих способов: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 xml:space="preserve"> </w:t>
            </w:r>
            <w:r>
              <w:rPr>
                <w:i/>
              </w:rPr>
              <w:t>- посредством предоставления ключа доступа к ПО в сети Интернет/ в виде электронных экземпляров средствами электронной связи;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- путем направления уведомления о возможности самостоятельной загрузке установочных файлов ПО из сети Интернет, CD(DVD); 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- на материальном носителе (дистрибутиве);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сетевым способом доставки путем передачи Лицензиаром документации Лицензиату, содержащей информацию об условиях (программных ключах, кодах, паролях, сетевых путях)доступа к сетевому ресурсу правообладателя / производителя ПО.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i/>
              </w:rPr>
              <w:t>Согласие с требованием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  <w:numId w:val="2"/>
              </w:numPr>
              <w:spacing w:before="60" w:after="60"/>
              <w:ind w:firstLine="142" w:left="-117"/>
              <w:jc w:val="center"/>
              <w:rPr/>
            </w:pPr>
            <w:r>
              <w:rPr/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 xml:space="preserve">Подтверждение лицензиаром принадлежности исключительного/ неисключительного права на ПО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Лицензиар обязуется на этапе заключения договора предоставить подтверждение принадлежности исключительного /неисключительного права на ПО (копию свидетельства о государственной регистрации ПО, копию договора, на основании которого Лицензиар приобрел право на ПО или иное основание).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Согласие с требованием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  <w:numId w:val="2"/>
              </w:numPr>
              <w:spacing w:before="60" w:after="60"/>
              <w:ind w:firstLine="142" w:left="-117"/>
              <w:jc w:val="center"/>
              <w:rPr/>
            </w:pPr>
            <w:r>
              <w:rPr/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</w:rPr>
              <w:t>Иные требования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Поставщик своими силами осуществляет поставку ПО по адресу, указанному в п. 3.1. технических требований. Стоимость ПО должна включать все налоги, расходы по доставке, страховке и транспортировке до указанного адреса.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i/>
              </w:rPr>
              <w:t>Согласие с требованием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i/>
              </w:rPr>
              <w:t>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60" w:after="60"/>
              <w:jc w:val="center"/>
              <w:rPr/>
            </w:pPr>
            <w:r>
              <w:rPr/>
            </w:r>
          </w:p>
        </w:tc>
        <w:tc>
          <w:tcPr>
            <w:tcW w:w="8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60" w:after="60"/>
              <w:rPr/>
            </w:pPr>
            <w:r>
              <w:rPr>
                <w:b/>
              </w:rPr>
              <w:t>Прочие (дополнительные) требования к продукции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b/>
              </w:rPr>
              <w:t>-//-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  <w:numId w:val="2"/>
              </w:numPr>
              <w:spacing w:before="60" w:after="60"/>
              <w:ind w:firstLine="142" w:left="-117"/>
              <w:jc w:val="center"/>
              <w:rPr/>
            </w:pPr>
            <w:r>
              <w:rPr/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</w:rPr>
              <w:t>Требования к происхождению поставляемой продукции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ПО должно быть включено в «Единый реестр российских программ для электронных вычислительных машин и баз данных», предусмотренный постановлением Правительства РФ от 16.11.2015 №1236 «Об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Федерации»</w:t>
            </w:r>
            <w:r>
              <w:rPr/>
              <w:t xml:space="preserve"> </w:t>
            </w:r>
            <w:r>
              <w:rPr>
                <w:i/>
              </w:rPr>
              <w:t>Наименование изменено с 1 января 2025 г. - Постановление Правительства России от 23 декабря 2024 г. N 1875.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i/>
              </w:rPr>
              <w:t>Согласие с требованием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i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</w:tr>
    </w:tbl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2.2.1 Прочие (дополнительные) требования к продукции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В случае если какой-либо из указанных в настоящих Технических требованиях ГОСТ или нормативный документ был заменен/отменен в процессе проведения закупки в связи с выпуском новой редакции стандарта, то Участнику необходимо применять ГОСТ или нормативный документ, принятый в его развитие. </w:t>
      </w:r>
    </w:p>
    <w:p>
      <w:pPr>
        <w:sectPr>
          <w:headerReference w:type="default" r:id="rId5"/>
          <w:headerReference w:type="first" r:id="rId6"/>
          <w:footnotePr>
            <w:numFmt w:val="decimal"/>
          </w:footnotePr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100" w:charSpace="0"/>
        </w:sect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2) В составе заявки необходимо представить: 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ListParagraph"/>
        <w:numPr>
          <w:ilvl w:val="0"/>
          <w:numId w:val="4"/>
        </w:numPr>
        <w:jc w:val="center"/>
        <w:rPr>
          <w:b/>
        </w:rPr>
      </w:pPr>
      <w:bookmarkStart w:id="14" w:name="_35nkun2"/>
      <w:bookmarkEnd w:id="14"/>
      <w:r>
        <w:rPr>
          <w:b/>
        </w:rPr>
        <w:t>Требования к документации по ценообразованию на этапе закупки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1134" w:leader="none"/>
        </w:tabs>
        <w:spacing w:before="0" w:after="120"/>
        <w:ind w:firstLine="426" w:left="0"/>
        <w:jc w:val="both"/>
        <w:rPr>
          <w:i/>
          <w:i/>
          <w:sz w:val="24"/>
          <w:szCs w:val="24"/>
        </w:rPr>
      </w:pPr>
      <w:bookmarkStart w:id="15" w:name="_1ksv4uv"/>
      <w:bookmarkEnd w:id="15"/>
      <w:r>
        <w:rPr>
          <w:i/>
          <w:sz w:val="24"/>
          <w:szCs w:val="24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numPr>
          <w:ilvl w:val="1"/>
          <w:numId w:val="4"/>
        </w:numPr>
        <w:spacing w:before="0" w:after="120"/>
        <w:ind w:firstLine="420" w:left="0"/>
        <w:jc w:val="both"/>
        <w:rPr>
          <w:i/>
          <w:i/>
          <w:sz w:val="24"/>
          <w:szCs w:val="24"/>
        </w:rPr>
      </w:pPr>
      <w:r>
        <w:rPr>
          <w:i/>
          <w:color w:val="2C2D2E"/>
          <w:sz w:val="24"/>
          <w:szCs w:val="24"/>
          <w:shd w:fill="FFFFFF" w:val="clear"/>
        </w:rPr>
        <w:t>Вместе с Коммерческим предложением Участник должен предоставить в составе заявки спецификацию поставляемой продукции по форме, приведенной в Приложении №1 к настоящим Техническим требовани</w:t>
      </w:r>
      <w:r>
        <w:rPr>
          <w:i/>
          <w:sz w:val="24"/>
          <w:szCs w:val="24"/>
        </w:rPr>
        <w:t>ям</w:t>
      </w:r>
      <w:r>
        <w:rPr>
          <w:i/>
        </w:rPr>
        <w:t>.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1134" w:leader="none"/>
        </w:tabs>
        <w:spacing w:before="0" w:after="120"/>
        <w:ind w:firstLine="426" w:left="0"/>
        <w:jc w:val="both"/>
        <w:rPr>
          <w:i/>
          <w:i/>
          <w:sz w:val="24"/>
          <w:szCs w:val="24"/>
        </w:rPr>
      </w:pPr>
      <w:bookmarkStart w:id="16" w:name="_44sinio"/>
      <w:bookmarkEnd w:id="16"/>
      <w:r>
        <w:rPr>
          <w:i/>
          <w:sz w:val="24"/>
          <w:szCs w:val="24"/>
        </w:rPr>
        <w:t>Дополнительные документы по ценообразованию в состав заявки не включаются.</w:t>
      </w:r>
    </w:p>
    <w:p>
      <w:pPr>
        <w:pStyle w:val="Normal"/>
        <w:spacing w:before="0" w:after="12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4"/>
        </w:numPr>
        <w:jc w:val="center"/>
        <w:rPr/>
      </w:pPr>
      <w:r>
        <w:rPr>
          <w:b/>
        </w:rPr>
        <w:t>Приложения</w:t>
      </w:r>
    </w:p>
    <w:p>
      <w:pPr>
        <w:pStyle w:val="Normal"/>
        <w:tabs>
          <w:tab w:val="clear" w:pos="708"/>
          <w:tab w:val="left" w:pos="1134" w:leader="none"/>
        </w:tabs>
        <w:spacing w:before="0" w:after="120"/>
        <w:jc w:val="both"/>
        <w:rPr>
          <w:i/>
          <w:i/>
          <w:sz w:val="24"/>
          <w:szCs w:val="24"/>
        </w:rPr>
      </w:pPr>
      <w:bookmarkStart w:id="17" w:name="_z337ya"/>
      <w:bookmarkEnd w:id="17"/>
      <w:r>
        <w:rPr>
          <w:i/>
          <w:sz w:val="24"/>
          <w:szCs w:val="24"/>
        </w:rPr>
        <w:t>Приложение № 1: Спецификация.</w:t>
      </w:r>
    </w:p>
    <w:p>
      <w:pPr>
        <w:pStyle w:val="Normal"/>
        <w:tabs>
          <w:tab w:val="clear" w:pos="708"/>
          <w:tab w:val="left" w:pos="1134" w:leader="none"/>
        </w:tabs>
        <w:spacing w:before="0" w:after="120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spacing w:before="0" w:after="120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spacing w:before="0" w:after="120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/>
      </w:pPr>
      <w:r>
        <w:rPr/>
      </w:r>
    </w:p>
    <w:sectPr>
      <w:headerReference w:type="default" r:id="rId7"/>
      <w:headerReference w:type="first" r:id="rId8"/>
      <w:footnotePr>
        <w:numFmt w:val="decimal"/>
      </w:footnotePr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Times">
    <w:altName w:val="Times New Roman"/>
    <w:charset w:val="01"/>
    <w:family w:val="roman"/>
    <w:pitch w:val="variable"/>
  </w:font>
  <w:font w:name="Times New Roman Полужирный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rPr>
          <w:color w:val="000000"/>
          <w:sz w:val="20"/>
          <w:szCs w:val="20"/>
        </w:rPr>
      </w:pPr>
      <w:r>
        <w:rPr>
          <w:rStyle w:val="Style9"/>
        </w:rPr>
        <w:footnoteRef/>
      </w:r>
      <w:r>
        <w:rPr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Далее - ПО.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677" w:leader="none"/>
        <w:tab w:val="right" w:pos="9355" w:leader="none"/>
      </w:tabs>
      <w:jc w:val="center"/>
      <w:rPr>
        <w:color w:val="000000"/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Normal"/>
      <w:tabs>
        <w:tab w:val="clear" w:pos="708"/>
        <w:tab w:val="center" w:pos="4677" w:leader="none"/>
        <w:tab w:val="right" w:pos="9355" w:leader="none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677" w:leader="none"/>
        <w:tab w:val="right" w:pos="9355" w:leader="none"/>
      </w:tabs>
      <w:jc w:val="center"/>
      <w:rPr>
        <w:color w:val="000000"/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677" w:leader="none"/>
        <w:tab w:val="right" w:pos="9355" w:leader="none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677" w:leader="none"/>
        <w:tab w:val="right" w:pos="9355" w:leader="none"/>
      </w:tabs>
      <w:jc w:val="center"/>
      <w:rPr>
        <w:color w:val="000000"/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677" w:leader="none"/>
        <w:tab w:val="right" w:pos="9355" w:leader="none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677" w:leader="none"/>
        <w:tab w:val="right" w:pos="9355" w:leader="none"/>
      </w:tabs>
      <w:jc w:val="center"/>
      <w:rPr>
        <w:color w:val="000000"/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677" w:leader="none"/>
        <w:tab w:val="right" w:pos="9355" w:leader="none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i w:val="false"/>
        <w:u w:val="none"/>
        <w:b/>
        <w:szCs w:val="28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8"/>
  <w:trackRevisions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  <w:documentProtection w:edit="trackedChanges" w:enforcement="1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b70d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cb70dc"/>
    <w:pPr>
      <w:keepNext w:val="true"/>
      <w:spacing w:before="120" w:after="60"/>
      <w:ind w:hanging="426" w:left="426"/>
      <w:outlineLvl w:val="0"/>
    </w:pPr>
    <w:rPr>
      <w:b/>
    </w:rPr>
  </w:style>
  <w:style w:type="paragraph" w:styleId="Heading2">
    <w:name w:val="Heading 2"/>
    <w:basedOn w:val="Normal"/>
    <w:next w:val="Normal"/>
    <w:link w:val="2"/>
    <w:qFormat/>
    <w:rsid w:val="00cb70dc"/>
    <w:pPr>
      <w:keepNext w:val="true"/>
      <w:spacing w:before="120" w:after="60"/>
      <w:ind w:hanging="426" w:left="426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3"/>
    <w:qFormat/>
    <w:rsid w:val="00cb70dc"/>
    <w:pPr>
      <w:keepNext w:val="true"/>
      <w:spacing w:before="120" w:after="60"/>
      <w:ind w:hanging="426" w:left="426"/>
      <w:outlineLvl w:val="2"/>
    </w:pPr>
    <w:rPr>
      <w:b/>
      <w:sz w:val="24"/>
      <w:szCs w:val="24"/>
    </w:rPr>
  </w:style>
  <w:style w:type="paragraph" w:styleId="Heading4">
    <w:name w:val="Heading 4"/>
    <w:basedOn w:val="Normal"/>
    <w:next w:val="Normal"/>
    <w:link w:val="4"/>
    <w:qFormat/>
    <w:rsid w:val="00cb70dc"/>
    <w:pPr>
      <w:keepNext w:val="true"/>
      <w:spacing w:before="120" w:after="60"/>
      <w:ind w:hanging="426" w:left="426"/>
      <w:outlineLvl w:val="3"/>
    </w:pPr>
    <w:rPr>
      <w:b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cb70dc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qFormat/>
    <w:rsid w:val="00cb70dc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qFormat/>
    <w:rsid w:val="00cb70dc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4" w:customStyle="1">
    <w:name w:val="Заголовок 4 Знак"/>
    <w:basedOn w:val="DefaultParagraphFont"/>
    <w:qFormat/>
    <w:rsid w:val="00cb70dc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e25cb"/>
    <w:rPr>
      <w:sz w:val="16"/>
      <w:szCs w:val="16"/>
    </w:rPr>
  </w:style>
  <w:style w:type="character" w:styleId="Style5" w:customStyle="1">
    <w:name w:val="Текст примечания Знак"/>
    <w:basedOn w:val="DefaultParagraphFont"/>
    <w:link w:val="Annotationtext"/>
    <w:uiPriority w:val="99"/>
    <w:semiHidden/>
    <w:qFormat/>
    <w:rsid w:val="008e25c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6" w:customStyle="1">
    <w:name w:val="Тема примечания Знак"/>
    <w:basedOn w:val="Style5"/>
    <w:link w:val="Annotationsubject"/>
    <w:uiPriority w:val="99"/>
    <w:semiHidden/>
    <w:qFormat/>
    <w:rsid w:val="008e25cb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8e25cb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rPr>
      <w:color w:val="000080"/>
      <w:u w:val="single"/>
    </w:rPr>
  </w:style>
  <w:style w:type="character" w:styleId="Style8" w:customStyle="1">
    <w:name w:val="Ссылка указателя"/>
    <w:qFormat/>
    <w:rPr/>
  </w:style>
  <w:style w:type="character" w:styleId="Style9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Linenumber1" w:customStyle="1">
    <w:name w:val="line number1"/>
    <w:qFormat/>
    <w:rPr/>
  </w:style>
  <w:style w:type="character" w:styleId="Style10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2">
    <w:name w:val="line number2"/>
    <w:qFormat/>
    <w:rPr/>
  </w:style>
  <w:style w:type="character" w:styleId="LineNumber">
    <w:name w:val="Line Number"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cb70dc"/>
    <w:pPr>
      <w:spacing w:before="0" w:after="0"/>
      <w:ind w:left="720"/>
      <w:contextualSpacing/>
    </w:pPr>
    <w:rPr/>
  </w:style>
  <w:style w:type="paragraph" w:styleId="Annotationtext">
    <w:name w:val="annotation text"/>
    <w:basedOn w:val="Normal"/>
    <w:link w:val="Style5"/>
    <w:uiPriority w:val="99"/>
    <w:semiHidden/>
    <w:unhideWhenUsed/>
    <w:qFormat/>
    <w:rsid w:val="008e25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6"/>
    <w:uiPriority w:val="99"/>
    <w:semiHidden/>
    <w:unhideWhenUsed/>
    <w:qFormat/>
    <w:rsid w:val="008e25cb"/>
    <w:pPr/>
    <w:rPr>
      <w:b/>
      <w:bCs/>
    </w:rPr>
  </w:style>
  <w:style w:type="paragraph" w:styleId="BalloonText">
    <w:name w:val="Balloon Text"/>
    <w:basedOn w:val="Normal"/>
    <w:link w:val="Style7"/>
    <w:uiPriority w:val="99"/>
    <w:semiHidden/>
    <w:unhideWhenUsed/>
    <w:qFormat/>
    <w:rsid w:val="008e25cb"/>
    <w:pPr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pPr/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Style13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AlterOffice/2026.2.1.1$Linux_X86_64 LibreOffice_project/6d96de8aff889cb0e33766577a7a2a9f4fe0f9d5</Application>
  <AppVersion>15.0000</AppVersion>
  <Pages>8</Pages>
  <Words>1101</Words>
  <Characters>7594</Characters>
  <CharactersWithSpaces>8553</CharactersWithSpaces>
  <Paragraphs>138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2026-10-15T11:29:00Z</dcterms:created>
  <dc:creator>Ракутина Тамара Андреевна</dc:creator>
  <dc:description/>
  <dc:language>ru-RU</dc:language>
  <cp:lastModifiedBy>konyushokdo@corp.gidroogk.com</cp:lastModifiedBy>
  <dcterms:modified xsi:type="dcterms:W3CDTF">2026-10-19T11:05:57Z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