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ОКПД2: </w:t>
      </w:r>
      <w:r>
        <w:rPr>
          <w:rStyle w:val="Strong"/>
          <w:rFonts w:eastAsia="Calibri"/>
          <w:b w:val="false"/>
          <w:bCs w:val="false"/>
          <w:color w:val="000000"/>
          <w:sz w:val="24"/>
          <w:szCs w:val="24"/>
          <w:shd w:fill="FFFFFF" w:val="clear"/>
          <w:lang w:eastAsia="en-US"/>
        </w:rPr>
        <w:t xml:space="preserve">20.59.52.130 </w:t>
      </w:r>
      <w:r>
        <w:rPr>
          <w:rFonts w:eastAsia="Calibri"/>
          <w:b w:val="false"/>
          <w:bCs w:val="false"/>
          <w:color w:val="000000"/>
          <w:sz w:val="24"/>
          <w:szCs w:val="24"/>
          <w:shd w:fill="FFFFFF" w:val="clear"/>
          <w:lang w:eastAsia="en-US"/>
        </w:rPr>
        <w:t>По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ставка пенообразователя для выполнения работ на Саяно-Шушенской ГЭС</w:t>
      </w:r>
    </w:p>
    <w:p>
      <w:p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360" w:charSpace="0"/>
        </w:sectPr>
        <w:pStyle w:val="Normal"/>
        <w:jc w:val="center"/>
        <w:rPr/>
      </w:pPr>
      <w:r>
        <w:rPr>
          <w:rFonts w:eastAsia="Calibri"/>
          <w:sz w:val="24"/>
          <w:szCs w:val="24"/>
        </w:rPr>
        <w:t xml:space="preserve">(Лот № </w:t>
      </w:r>
      <w:r>
        <w:rPr>
          <w:rFonts w:eastAsia="Calibri"/>
          <w:sz w:val="24"/>
          <w:szCs w:val="24"/>
          <w:shd w:fill="FFFFFF" w:val="clear"/>
          <w:lang w:eastAsia="en-US"/>
        </w:rPr>
        <w:t>)</w:t>
      </w:r>
    </w:p>
    <w:p>
      <w:pPr>
        <w:pStyle w:val="Normal"/>
        <w:shd w:val="clear" w:fill="FFFFFF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390_370083385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2_3700833856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4_3700833856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396_3700833856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398_3700833856">
            <w:r>
              <w:rPr>
                <w:rStyle w:val="Style14"/>
              </w:rPr>
              <w:t xml:space="preserve">2. </w:t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rStyle w:val="Style14"/>
              </w:rPr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00_3700833856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2_3700833856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4_3700833856">
            <w:r>
              <w:rPr>
                <w:rStyle w:val="Style14"/>
              </w:rPr>
              <w:t>Таблица 2.1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708"/>
              <w:tab w:val="right" w:pos="9921" w:leader="dot"/>
            </w:tabs>
            <w:rPr/>
          </w:pPr>
          <w:hyperlink w:anchor="__RefHeading___Toc7406_3700833856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7408_3700833856">
            <w:r>
              <w:rPr>
                <w:rStyle w:val="Style14"/>
              </w:rPr>
              <w:t>Таблица 2.2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9921" w:leader="dot"/>
            </w:tabs>
            <w:rPr/>
          </w:pPr>
          <w:hyperlink w:anchor="__RefHeading___Toc7410_3700833856">
            <w:r>
              <w:rPr>
                <w:rStyle w:val="Style14"/>
              </w:rPr>
              <w:t>Таблица 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708"/>
              <w:tab w:val="right" w:pos="9921" w:leader="dot"/>
            </w:tabs>
            <w:rPr/>
          </w:pPr>
          <w:hyperlink w:anchor="__RefHeading___Toc11742_1843701557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5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0" w:name="__RefHeading___Toc7390_3700833856"/>
      <w:bookmarkStart w:id="1" w:name="_Toc75446566"/>
      <w:bookmarkStart w:id="2" w:name="_Toc51339692"/>
      <w:bookmarkEnd w:id="0"/>
      <w:r>
        <w:rPr>
          <w:sz w:val="24"/>
          <w:szCs w:val="24"/>
          <w:lang w:val="ru-RU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3" w:name="__RefHeading___Toc7392_3700833856"/>
      <w:bookmarkStart w:id="4" w:name="_Toc46743506"/>
      <w:bookmarkStart w:id="5" w:name="_Toc75446568"/>
      <w:bookmarkEnd w:id="3"/>
      <w:r>
        <w:rPr/>
        <w:t>О</w:t>
      </w:r>
      <w:bookmarkEnd w:id="4"/>
      <w:bookmarkEnd w:id="5"/>
      <w:r>
        <w:rPr/>
        <w:t>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ГЭС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ПАО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л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Литр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ЛВЖ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Легковоспламеняющаяся жидкость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i w:val="false"/>
                <w:iCs w:val="false"/>
                <w:sz w:val="24"/>
                <w:szCs w:val="24"/>
                <w:shd w:fill="auto" w:val="clear"/>
              </w:rPr>
              <w:t>ГЖ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pacing w:lineRule="auto" w:line="240"/>
              <w:jc w:val="both"/>
              <w:rPr>
                <w:b w:val="false"/>
                <w:bCs/>
                <w:i w:val="false"/>
                <w:i w:val="false"/>
                <w:iCs w:val="false"/>
                <w:sz w:val="24"/>
                <w:szCs w:val="24"/>
                <w:shd w:fill="auto" w:val="clear"/>
              </w:rPr>
            </w:pPr>
            <w:r>
              <w:rPr>
                <w:b w:val="false"/>
                <w:bCs/>
                <w:i w:val="false"/>
                <w:iCs w:val="false"/>
                <w:sz w:val="24"/>
                <w:szCs w:val="24"/>
                <w:shd w:fill="auto" w:val="clear"/>
              </w:rPr>
              <w:t>Горючая жидкость</w:t>
            </w:r>
          </w:p>
        </w:tc>
      </w:tr>
    </w:tbl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6" w:name="__RefHeading___Toc7394_3700833856"/>
      <w:bookmarkStart w:id="7" w:name="_Toc46743506_Копия_1"/>
      <w:bookmarkStart w:id="8" w:name="_Toc75446568_Копия_1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Normal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  <w:lang w:eastAsia="x-none"/>
        </w:rPr>
        <w:tab/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ОКПД2: </w:t>
      </w:r>
      <w:r>
        <w:rPr>
          <w:rStyle w:val="Strong"/>
          <w:rFonts w:eastAsia="Calibri"/>
          <w:b w:val="false"/>
          <w:bCs w:val="false"/>
          <w:color w:val="000000"/>
          <w:sz w:val="24"/>
          <w:szCs w:val="24"/>
          <w:shd w:fill="FFFFFF" w:val="clear"/>
          <w:lang w:eastAsia="en-US"/>
        </w:rPr>
        <w:t xml:space="preserve">20.59.52.130 </w:t>
      </w:r>
      <w:r>
        <w:rPr>
          <w:rFonts w:eastAsia="Calibri"/>
          <w:b w:val="false"/>
          <w:bCs w:val="false"/>
          <w:color w:val="000000"/>
          <w:sz w:val="24"/>
          <w:szCs w:val="24"/>
          <w:shd w:fill="FFFFFF" w:val="clear"/>
          <w:lang w:eastAsia="en-US"/>
        </w:rPr>
        <w:t>По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ставка пенообразователя для выполнения работ на Саяно-Шушенской ГЭС</w:t>
      </w:r>
      <w:r>
        <w:rPr>
          <w:rFonts w:eastAsia="Calibri"/>
          <w:sz w:val="24"/>
          <w:szCs w:val="24"/>
          <w:lang w:eastAsia="x-none"/>
        </w:rPr>
        <w:t xml:space="preserve">  (далее – продукция).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60"/>
        <w:ind w:hanging="431" w:left="431" w:right="0"/>
        <w:rPr/>
      </w:pPr>
      <w:bookmarkStart w:id="9" w:name="__RefHeading___Toc7396_3700833856"/>
      <w:bookmarkStart w:id="10" w:name="_Toc75446569"/>
      <w:bookmarkStart w:id="11" w:name="_Toc46743507"/>
      <w:bookmarkEnd w:id="9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10"/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 xml:space="preserve">Исполнение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 xml:space="preserve">обязательств 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договор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>а</w:t>
      </w:r>
      <w:r>
        <w:rPr>
          <w:rStyle w:val="Style8"/>
          <w:b w:val="false"/>
          <w:i w:val="false"/>
          <w:sz w:val="24"/>
          <w:szCs w:val="24"/>
          <w:shd w:fill="auto" w:val="clear"/>
        </w:rPr>
        <w:t xml:space="preserve"> подряда:</w:t>
      </w:r>
    </w:p>
    <w:p>
      <w:pPr>
        <w:pStyle w:val="Normal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>- № 1310-785-2023/513-11-1 от 03.11.2023. «Выполнение работ по капитальному и текущему ремонту оборудования, зданий, сооружений филиала ПАО «РусГидро»-«Саяно-Шушенская ГЭС имени П.С. Непорожнего»» (заключенный между ПАО «РусГидро» и АО «Гидроремонт-ВКК»).</w:t>
      </w:r>
    </w:p>
    <w:p>
      <w:pPr>
        <w:pStyle w:val="Normal"/>
        <w:jc w:val="both"/>
        <w:rPr>
          <w:rStyle w:val="Style8"/>
        </w:rPr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 w:right="0"/>
        <w:jc w:val="center"/>
        <w:rPr>
          <w:sz w:val="24"/>
          <w:szCs w:val="24"/>
        </w:rPr>
      </w:pPr>
      <w:bookmarkStart w:id="12" w:name="__RefHeading___Toc7398_3700833856"/>
      <w:bookmarkStart w:id="13" w:name="_Toc51339693"/>
      <w:bookmarkStart w:id="14" w:name="_Toc75446573"/>
      <w:bookmarkEnd w:id="12"/>
      <w:r>
        <w:rPr>
          <w:iCs/>
          <w:sz w:val="24"/>
          <w:szCs w:val="24"/>
        </w:rPr>
        <w:t>Требования к продукции</w:t>
      </w:r>
      <w:bookmarkEnd w:id="13"/>
      <w:bookmarkEnd w:id="14"/>
    </w:p>
    <w:p>
      <w:pPr>
        <w:pStyle w:val="Heading4"/>
        <w:numPr>
          <w:ilvl w:val="1"/>
          <w:numId w:val="3"/>
        </w:numPr>
        <w:ind w:hanging="432" w:left="432" w:right="0"/>
        <w:rPr/>
      </w:pPr>
      <w:bookmarkStart w:id="15" w:name="__RefHeading___Toc7400_3700833856"/>
      <w:bookmarkStart w:id="16" w:name="_Toc75446574"/>
      <w:bookmarkEnd w:id="1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17" w:name="__RefHeading___Toc7402_3700833856"/>
      <w:bookmarkStart w:id="18" w:name="_Toc75446575"/>
      <w:bookmarkEnd w:id="17"/>
      <w:r>
        <w:rPr>
          <w:lang w:val="ru-RU"/>
        </w:rPr>
        <w:t>Перечень и объем закупаемой продукции</w:t>
      </w:r>
      <w:bookmarkEnd w:id="1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19" w:name="__RefHeading___Toc7404_3700833856"/>
      <w:bookmarkStart w:id="20" w:name="_Toc75446576"/>
      <w:bookmarkStart w:id="21" w:name="_Toc51339695"/>
      <w:bookmarkEnd w:id="19"/>
      <w:r>
        <w:rPr>
          <w:sz w:val="24"/>
          <w:szCs w:val="24"/>
        </w:rPr>
        <w:t>Таблица 2</w:t>
      </w:r>
      <w:r>
        <w:rPr>
          <w:sz w:val="24"/>
          <w:szCs w:val="24"/>
          <w:lang w:val="ru-RU"/>
        </w:rPr>
        <w:t>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закупаемой продукции</w:t>
      </w:r>
      <w:bookmarkEnd w:id="20"/>
    </w:p>
    <w:tbl>
      <w:tblPr>
        <w:tblW w:w="9920" w:type="dxa"/>
        <w:jc w:val="left"/>
        <w:tblInd w:w="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7085"/>
        <w:gridCol w:w="1256"/>
        <w:gridCol w:w="1013"/>
      </w:tblGrid>
      <w:tr>
        <w:trPr>
          <w:trHeight w:val="675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36" w:hRule="atLeast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Пенообразователь синтетический ПО-РЗФ AFFF-6(6%) А В, бочка 208 л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бочка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24,0</w:t>
            </w:r>
          </w:p>
        </w:tc>
      </w:tr>
    </w:tbl>
    <w:p>
      <w:pPr>
        <w:pStyle w:val="Heading3"/>
        <w:numPr>
          <w:ilvl w:val="0"/>
          <w:numId w:val="0"/>
        </w:numPr>
        <w:ind w:hanging="0" w:left="1224" w:right="0"/>
        <w:rPr>
          <w:lang w:val="ru-RU"/>
        </w:rPr>
      </w:pPr>
      <w:r>
        <w:rPr>
          <w:lang w:val="ru-RU"/>
        </w:rPr>
      </w:r>
    </w:p>
    <w:p>
      <w:pPr>
        <w:pStyle w:val="Heading3"/>
        <w:numPr>
          <w:ilvl w:val="2"/>
          <w:numId w:val="3"/>
        </w:numPr>
        <w:rPr/>
      </w:pPr>
      <w:bookmarkStart w:id="22" w:name="__RefHeading___Toc7406_3700833856"/>
      <w:bookmarkStart w:id="23" w:name="_Toc75446578"/>
      <w:bookmarkStart w:id="24" w:name="_Toc51339696"/>
      <w:bookmarkEnd w:id="22"/>
      <w:r>
        <w:rPr>
          <w:lang w:val="ru-RU"/>
        </w:rPr>
        <w:t xml:space="preserve">Требования </w:t>
      </w:r>
      <w:bookmarkEnd w:id="24"/>
      <w:r>
        <w:rPr>
          <w:lang w:val="ru-RU"/>
        </w:rPr>
        <w:t>к срокам поставки продукции и оказания сопутствующих услуг</w:t>
      </w:r>
      <w:bookmarkEnd w:id="2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 w:right="0"/>
        <w:rPr>
          <w:sz w:val="24"/>
          <w:szCs w:val="24"/>
        </w:rPr>
      </w:pPr>
      <w:bookmarkStart w:id="25" w:name="__RefHeading___Toc7408_3700833856"/>
      <w:bookmarkStart w:id="26" w:name="_Toc75446579"/>
      <w:bookmarkStart w:id="27" w:name="_Toc51339697"/>
      <w:bookmarkStart w:id="28" w:name="_Toc5012512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  <w:bookmarkStart w:id="31" w:name="_Toc46743511"/>
      <w:bookmarkStart w:id="32" w:name="_Toc75446581"/>
      <w:bookmarkEnd w:id="31"/>
      <w:bookmarkEnd w:id="32"/>
    </w:p>
    <w:tbl>
      <w:tblPr>
        <w:tblW w:w="992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5558"/>
        <w:gridCol w:w="1747"/>
        <w:gridCol w:w="2049"/>
      </w:tblGrid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4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</w:pP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 xml:space="preserve">ОКПД2: </w:t>
            </w:r>
            <w:r>
              <w:rPr>
                <w:rStyle w:val="Strong"/>
                <w:rFonts w:eastAsia="Calibri"/>
                <w:b w:val="false"/>
                <w:bCs w:val="false"/>
                <w:color w:val="000000"/>
                <w:sz w:val="24"/>
                <w:szCs w:val="24"/>
                <w:shd w:fill="FFFFFF" w:val="clear"/>
                <w:lang w:eastAsia="en-US"/>
              </w:rPr>
              <w:t xml:space="preserve">20.59.52.130 </w:t>
            </w:r>
            <w:r>
              <w:rPr>
                <w:rFonts w:eastAsia="Calibri"/>
                <w:b w:val="false"/>
                <w:bCs w:val="false"/>
                <w:color w:val="000000"/>
                <w:sz w:val="24"/>
                <w:szCs w:val="24"/>
                <w:shd w:fill="FFFFFF" w:val="clear"/>
                <w:lang w:eastAsia="en-US"/>
              </w:rPr>
              <w:t>По</w:t>
            </w:r>
            <w:r>
              <w:rPr>
                <w:rFonts w:eastAsia="Calibri"/>
                <w:color w:val="000000"/>
                <w:sz w:val="24"/>
                <w:szCs w:val="24"/>
                <w:shd w:fill="FFFFFF" w:val="clear"/>
                <w:lang w:eastAsia="en-US"/>
              </w:rPr>
              <w:t>ставка пенообразователя для выполнения работ на Саяно-Шушенской ГЭС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>4 квартал 2026 г.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375" w:top="600" w:footer="0" w:bottom="992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0"/>
        </w:numPr>
        <w:tabs>
          <w:tab w:val="clear" w:pos="0"/>
        </w:tabs>
        <w:ind w:hanging="0" w:left="0" w:right="0"/>
        <w:rPr/>
      </w:pPr>
      <w:bookmarkStart w:id="33" w:name="__RefHeading___Toc7410_3700833856"/>
      <w:bookmarkStart w:id="34" w:name="_Toc51339698"/>
      <w:bookmarkStart w:id="35" w:name="_Toc75446582"/>
      <w:bookmarkEnd w:id="33"/>
      <w:r>
        <w:rPr/>
        <w:t xml:space="preserve">Таблица </w:t>
      </w:r>
      <w:r>
        <w:rPr>
          <w:lang w:val="ru-RU"/>
        </w:rPr>
        <w:t>3</w:t>
      </w:r>
      <w:r>
        <w:rPr/>
        <w:t xml:space="preserve">. Требования к </w:t>
      </w:r>
      <w:r>
        <w:rPr>
          <w:lang w:val="ru-RU"/>
        </w:rPr>
        <w:t>продукции</w:t>
      </w:r>
      <w:bookmarkEnd w:id="35"/>
      <w:r>
        <w:rPr/>
        <w:t xml:space="preserve"> </w:t>
      </w:r>
      <w:bookmarkEnd w:id="34"/>
    </w:p>
    <w:p>
      <w:pPr>
        <w:pStyle w:val="Normal"/>
        <w:tabs>
          <w:tab w:val="clear" w:pos="708"/>
        </w:tabs>
        <w:ind w:hanging="0" w:left="0" w:right="0"/>
        <w:rPr>
          <w:sz w:val="24"/>
          <w:szCs w:val="24"/>
        </w:rPr>
      </w:pPr>
      <w:r>
        <w:rPr>
          <w:sz w:val="24"/>
          <w:szCs w:val="24"/>
        </w:rPr>
        <w:t xml:space="preserve">Наименование продукции (Таблицы 2.1): 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 xml:space="preserve">ОКПД2: </w:t>
      </w:r>
      <w:r>
        <w:rPr>
          <w:rStyle w:val="Strong"/>
          <w:rFonts w:eastAsia="Calibri"/>
          <w:b w:val="false"/>
          <w:bCs w:val="false"/>
          <w:color w:val="000000"/>
          <w:sz w:val="24"/>
          <w:szCs w:val="24"/>
          <w:shd w:fill="FFFFFF" w:val="clear"/>
          <w:lang w:eastAsia="en-US"/>
        </w:rPr>
        <w:t xml:space="preserve">20.59.52.130 </w:t>
      </w:r>
      <w:r>
        <w:rPr>
          <w:rFonts w:eastAsia="Calibri"/>
          <w:b w:val="false"/>
          <w:bCs w:val="false"/>
          <w:color w:val="000000"/>
          <w:sz w:val="24"/>
          <w:szCs w:val="24"/>
          <w:shd w:fill="FFFFFF" w:val="clear"/>
          <w:lang w:eastAsia="en-US"/>
        </w:rPr>
        <w:t>По</w:t>
      </w:r>
      <w:r>
        <w:rPr>
          <w:rFonts w:eastAsia="Calibri"/>
          <w:color w:val="000000"/>
          <w:sz w:val="24"/>
          <w:szCs w:val="24"/>
          <w:shd w:fill="FFFFFF" w:val="clear"/>
          <w:lang w:eastAsia="en-US"/>
        </w:rPr>
        <w:t>ставка пенообразователя для выполнения работ на Саяно-Шушенской ГЭС</w:t>
      </w:r>
      <w:r>
        <w:rPr>
          <w:rFonts w:eastAsia="Calibri"/>
          <w:sz w:val="24"/>
          <w:szCs w:val="24"/>
          <w:lang w:eastAsia="x-none"/>
        </w:rPr>
        <w:t xml:space="preserve"> </w:t>
      </w:r>
    </w:p>
    <w:tbl>
      <w:tblPr>
        <w:tblW w:w="144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3010"/>
        <w:gridCol w:w="2883"/>
        <w:gridCol w:w="3284"/>
        <w:gridCol w:w="2399"/>
        <w:gridCol w:w="2138"/>
      </w:tblGrid>
      <w:tr>
        <w:trPr>
          <w:trHeight w:val="20" w:hRule="atLeast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28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3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  <w:tc>
          <w:tcPr>
            <w:tcW w:w="4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0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2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39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0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DotumChe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DotumChe" w:cs="Times New Roman"/>
                <w:b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20" w:hRule="atLeast"/>
        </w:trPr>
        <w:tc>
          <w:tcPr>
            <w:tcW w:w="1443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 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409" w:hRule="atLeast"/>
        </w:trPr>
        <w:tc>
          <w:tcPr>
            <w:tcW w:w="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30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Пенообразователь синтетический</w:t>
            </w:r>
          </w:p>
        </w:tc>
        <w:tc>
          <w:tcPr>
            <w:tcW w:w="2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AFFF-6(6%) А В</w:t>
            </w:r>
          </w:p>
        </w:tc>
        <w:tc>
          <w:tcPr>
            <w:tcW w:w="2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Производитель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ПО-РЗФ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Тушение пожаров класса В (нефтепродукты, спирты, другие ЛВЖ/ГЖ), иногда — совместно с водой для класса A 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Температурный диапазон хранения 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-5 до +40 °C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Бочка 208 л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09" w:hRule="atLeast"/>
        </w:trPr>
        <w:tc>
          <w:tcPr>
            <w:tcW w:w="72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01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8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bidi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9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13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</w:t>
            </w:r>
            <w:bookmarkStart w:id="36" w:name="_GoBack_Копия_1"/>
            <w:bookmarkEnd w:id="36"/>
            <w:r>
              <w:rPr>
                <w:b/>
                <w:bCs/>
                <w:sz w:val="24"/>
                <w:szCs w:val="24"/>
              </w:rPr>
              <w:t>тировке, перемещению, условиям хранения, приемке и испытаниям</w:t>
            </w:r>
          </w:p>
        </w:tc>
      </w:tr>
      <w:tr>
        <w:trPr>
          <w:trHeight w:val="603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Место поставки</w:t>
            </w:r>
          </w:p>
        </w:tc>
        <w:tc>
          <w:tcPr>
            <w:tcW w:w="10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Саяно-Шушенский филиал АО «Гидроремонт-ВКК» в п. Черёмушки, 655619, Российская Федерация, Республика Хакасия, г. Саяногорск, рп. Черемушки, дом 103.</w:t>
            </w:r>
          </w:p>
        </w:tc>
      </w:tr>
      <w:tr>
        <w:trPr>
          <w:trHeight w:val="340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Приемка продукции</w:t>
            </w:r>
          </w:p>
        </w:tc>
        <w:tc>
          <w:tcPr>
            <w:tcW w:w="10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eastAsia="Calibri"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>
          <w:trHeight w:val="560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-57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325" w:hRule="atLeast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714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b/>
                <w:i w:val="false"/>
                <w:i w:val="false"/>
                <w:iCs w:val="false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852" w:hRule="atLeast"/>
        </w:trPr>
        <w:tc>
          <w:tcPr>
            <w:tcW w:w="72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overflowPunct w:val="true"/>
              <w:bidi w:val="0"/>
              <w:spacing w:before="0" w:after="0"/>
              <w:ind w:hanging="0" w:left="170" w:right="0"/>
              <w:jc w:val="left"/>
              <w:rPr>
                <w:rFonts w:ascii="Times New Roman" w:hAnsi="Times New Roman"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color w:val="000000"/>
                <w:kern w:val="0"/>
                <w:sz w:val="24"/>
                <w:szCs w:val="24"/>
                <w:lang w:val="ru-RU" w:eastAsia="en-US" w:bidi="ar-SA"/>
              </w:rPr>
              <w:t>3.1</w:t>
            </w:r>
          </w:p>
        </w:tc>
        <w:tc>
          <w:tcPr>
            <w:tcW w:w="3010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Сроки гарантии</w:t>
            </w:r>
          </w:p>
        </w:tc>
        <w:tc>
          <w:tcPr>
            <w:tcW w:w="1070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1134" w:leader="none"/>
                <w:tab w:val="left" w:pos="1276" w:leader="none"/>
              </w:tabs>
              <w:suppressAutoHyphens w:val="true"/>
              <w:overflowPunct w:val="true"/>
              <w:bidi w:val="0"/>
              <w:spacing w:before="0" w:after="120"/>
              <w:ind w:hanging="0" w:left="0" w:right="0"/>
              <w:jc w:val="both"/>
              <w:rPr>
                <w:rFonts w:eastAsia="Times New Roman" w:cs="Times New Roman"/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rFonts w:eastAsia="Times New Roman" w:cs="Times New Roman"/>
                <w:i w:val="false"/>
                <w:iCs w:val="false"/>
                <w:sz w:val="24"/>
                <w:szCs w:val="24"/>
                <w:lang w:eastAsia="x-none"/>
              </w:rPr>
              <w:t>12 (двенадцать)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6"/>
              </w:numPr>
              <w:ind w:hanging="0" w:left="113" w:right="0"/>
              <w:jc w:val="center"/>
              <w:rPr/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val="ru-RU" w:eastAsia="ru-RU" w:bidi="ar-SA"/>
              </w:rPr>
              <w:t>4</w:t>
            </w:r>
            <w:r>
              <w:rPr>
                <w:b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Документы, передаваемые вместе с продукцией</w:t>
            </w:r>
          </w:p>
        </w:tc>
        <w:tc>
          <w:tcPr>
            <w:tcW w:w="10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(форма ТОРГ-12) или универсальный передаточный документ (УПД) на продукцию в 2-х экз.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b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113" w:right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137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rPr>
                <w:rFonts w:eastAsia="Calibri"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Продукция должна быть новой, ранее не использовавшейся.</w:t>
            </w:r>
          </w:p>
          <w:p>
            <w:pPr>
              <w:pStyle w:val="ListParagraph"/>
              <w:widowControl w:val="false"/>
              <w:ind w:hanging="0" w:left="0" w:right="0"/>
              <w:rPr>
                <w:rFonts w:eastAsia="Calibri"/>
                <w:bCs/>
                <w:i w:val="false"/>
                <w:i w:val="false"/>
                <w:iCs w:val="false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="Calibri"/>
                <w:bCs/>
                <w:i w:val="false"/>
                <w:iCs w:val="false"/>
                <w:color w:val="000000"/>
                <w:sz w:val="24"/>
                <w:szCs w:val="24"/>
                <w:lang w:eastAsia="en-US"/>
              </w:rPr>
              <w:t>Способ укладки и транспортировки продукции должен предотвратить его повреждение или порчу во время перевозки и погрузке/разгрузке, а также воздействие осадков во время перевозки и при открытом хранении.</w:t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Heading1"/>
        <w:numPr>
          <w:ilvl w:val="0"/>
          <w:numId w:val="3"/>
        </w:numPr>
        <w:ind w:hanging="360" w:left="1080" w:right="0"/>
        <w:jc w:val="center"/>
        <w:rPr>
          <w:rFonts w:ascii="Times New Roman" w:hAnsi="Times New Roman"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</w:pPr>
      <w:bookmarkStart w:id="37" w:name="__RefHeading___Toc11742_1843701557"/>
      <w:bookmarkEnd w:id="37"/>
      <w:r>
        <w:rPr>
          <w:rFonts w:eastAsia="Calibri" w:cs="Times New Roman"/>
          <w:b/>
          <w:iCs/>
          <w:color w:val="auto"/>
          <w:kern w:val="0"/>
          <w:sz w:val="24"/>
          <w:szCs w:val="24"/>
          <w:lang w:val="x-none" w:eastAsia="x-none" w:bidi="ar-SA"/>
        </w:rPr>
        <w:t>Требования к документации по ценообразованию на этапе закупки</w:t>
      </w:r>
    </w:p>
    <w:p>
      <w:pPr>
        <w:pStyle w:val="ListParagraph"/>
        <w:numPr>
          <w:ilvl w:val="1"/>
          <w:numId w:val="6"/>
        </w:numPr>
        <w:ind w:hanging="420" w:left="1140" w:right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  <w:lang w:eastAsia="x-none"/>
        </w:rPr>
        <w:t xml:space="preserve">3.1. В обоснование стоимости своей заявки Участник предоставляет Коммерческое предложение по форме </w:t>
      </w:r>
      <w:bookmarkStart w:id="38" w:name="_Hlk88325985"/>
      <w:r>
        <w:rPr>
          <w:i w:val="false"/>
          <w:iCs w:val="false"/>
          <w:color w:val="000000"/>
          <w:sz w:val="24"/>
          <w:szCs w:val="24"/>
          <w:lang w:eastAsia="x-none"/>
        </w:rPr>
        <w:t>(с учетом прилагаемой к ней инструкции по заполнению)</w:t>
      </w:r>
      <w:bookmarkEnd w:id="38"/>
      <w:r>
        <w:rPr>
          <w:i w:val="false"/>
          <w:iCs w:val="false"/>
          <w:color w:val="000000"/>
          <w:sz w:val="24"/>
          <w:szCs w:val="24"/>
          <w:lang w:eastAsia="x-none"/>
        </w:rPr>
        <w:t>, приведенной в Документации о закупке.</w:t>
      </w:r>
    </w:p>
    <w:p>
      <w:pPr>
        <w:pStyle w:val="ListParagraph"/>
        <w:numPr>
          <w:ilvl w:val="1"/>
          <w:numId w:val="6"/>
        </w:numPr>
        <w:ind w:hanging="420" w:left="1140" w:right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  <w:lang w:eastAsia="x-none"/>
        </w:rPr>
        <w:t xml:space="preserve">3.2. </w:t>
      </w:r>
      <w:bookmarkStart w:id="39" w:name="_Hlk88327292"/>
      <w:r>
        <w:rPr>
          <w:i w:val="false"/>
          <w:iCs w:val="false"/>
          <w:color w:val="000000"/>
          <w:sz w:val="24"/>
          <w:szCs w:val="24"/>
          <w:lang w:eastAsia="x-none"/>
        </w:rPr>
        <w:t>Дополнительные документы по ценообразованию</w:t>
      </w:r>
      <w:bookmarkEnd w:id="39"/>
      <w:r>
        <w:rPr>
          <w:i w:val="false"/>
          <w:iCs w:val="false"/>
          <w:color w:val="000000"/>
          <w:sz w:val="24"/>
          <w:szCs w:val="24"/>
          <w:lang w:eastAsia="x-none"/>
        </w:rPr>
        <w:t xml:space="preserve"> в состав заявки не включаются.</w:t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0" w:top="616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8"/>
        <w:szCs w:val="28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/>
    </w:r>
  </w:p>
  <w:p>
    <w:pPr>
      <w:pStyle w:val="Normal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3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tabs>
        <w:tab w:val="clear" w:pos="708"/>
        <w:tab w:val="left" w:pos="0" w:leader="none"/>
      </w:tabs>
      <w:ind w:hanging="432" w:left="432" w:right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5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1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29"/>
    <w:qFormat/>
    <w:rPr>
      <w:sz w:val="26"/>
      <w:szCs w:val="26"/>
    </w:rPr>
  </w:style>
  <w:style w:type="character" w:styleId="31">
    <w:name w:val="УРОВЕНЬ_Абзац_тип3 Знак"/>
    <w:link w:val="36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4"/>
    <w:qFormat/>
    <w:rPr>
      <w:b/>
      <w:sz w:val="28"/>
    </w:rPr>
  </w:style>
  <w:style w:type="character" w:styleId="12">
    <w:name w:val="УРОВЕНЬ_1. Знак"/>
    <w:link w:val="19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Ссылка указателя"/>
    <w:qFormat/>
    <w:rPr/>
  </w:style>
  <w:style w:type="character" w:styleId="Strong">
    <w:name w:val="Strong"/>
    <w:qFormat/>
    <w:rPr>
      <w:b/>
      <w:bCs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18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sz w:val="20"/>
      <w:szCs w:val="20"/>
    </w:rPr>
  </w:style>
  <w:style w:type="paragraph" w:styleId="14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>
    <w:name w:val="Название1"/>
    <w:basedOn w:val="Normal"/>
    <w:link w:val="Style1"/>
    <w:qFormat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hanging="0" w:left="360" w:right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hanging="0" w:left="283" w:right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 w:right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 w:right="0"/>
      <w:jc w:val="both"/>
    </w:pPr>
    <w:rPr>
      <w:szCs w:val="20"/>
      <w:lang w:val="x-none" w:eastAsia="x-none"/>
    </w:rPr>
  </w:style>
  <w:style w:type="paragraph" w:styleId="24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hanging="1134" w:left="1134" w:right="0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pPr>
      <w:shd w:val="clear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hanging="0" w:left="280" w:right="0"/>
    </w:pPr>
    <w:rPr>
      <w:rFonts w:cs="Calibri"/>
      <w:sz w:val="20"/>
      <w:szCs w:val="20"/>
    </w:rPr>
  </w:style>
  <w:style w:type="paragraph" w:styleId="Style22">
    <w:name w:val="Раздел регламента"/>
    <w:basedOn w:val="Normal"/>
    <w:qFormat/>
    <w:pPr/>
    <w:rPr/>
  </w:style>
  <w:style w:type="paragraph" w:styleId="Style23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 w:right="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 w:right="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 w:right="0"/>
    </w:pPr>
    <w:rPr>
      <w:rFonts w:cs="Calibri"/>
      <w:sz w:val="20"/>
      <w:szCs w:val="20"/>
    </w:rPr>
  </w:style>
  <w:style w:type="paragraph" w:styleId="25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4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">
    <w:name w:val="caption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firstLine="709" w:left="1066" w:right="0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ind w:hanging="0" w:left="708" w:right="0"/>
    </w:pPr>
    <w:rPr/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25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>
    <w:name w:val="List Bullet 4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>
    <w:name w:val="Абзац списка1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/>
      <w:sz w:val="22"/>
      <w:szCs w:val="22"/>
      <w:lang w:eastAsia="en-US"/>
    </w:rPr>
  </w:style>
  <w:style w:type="paragraph" w:styleId="Style27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>
    <w:name w:val="Подподпункт"/>
    <w:basedOn w:val="Style21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 w:right="0"/>
    </w:pPr>
    <w:rPr>
      <w:sz w:val="26"/>
      <w:szCs w:val="26"/>
      <w:lang w:val="ru-RU" w:eastAsia="ru-RU"/>
    </w:rPr>
  </w:style>
  <w:style w:type="paragraph" w:styleId="Style30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jc w:val="both"/>
      <w:outlineLvl w:val="3"/>
    </w:pPr>
    <w:rPr>
      <w:sz w:val="26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jc w:val="both"/>
      <w:outlineLvl w:val="4"/>
    </w:pPr>
    <w:rPr>
      <w:sz w:val="26"/>
      <w:lang w:eastAsia="en-US"/>
    </w:rPr>
  </w:style>
  <w:style w:type="paragraph" w:styleId="27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36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jc w:val="both"/>
    </w:pPr>
    <w:rPr>
      <w:sz w:val="26"/>
      <w:lang w:eastAsia="en-US"/>
    </w:rPr>
  </w:style>
  <w:style w:type="paragraph" w:styleId="Style3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jc w:val="right"/>
      <w:outlineLvl w:val="3"/>
    </w:pPr>
    <w:rPr>
      <w:sz w:val="26"/>
      <w:lang w:eastAsia="en-US"/>
    </w:rPr>
  </w:style>
  <w:style w:type="paragraph" w:styleId="18">
    <w:name w:val="Стиль Заголовок 1 + по ширине"/>
    <w:basedOn w:val="Heading1"/>
    <w:qFormat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hanging="567" w:left="567" w:right="0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>
      <w:sz w:val="20"/>
      <w:szCs w:val="20"/>
    </w:rPr>
  </w:style>
  <w:style w:type="paragraph" w:styleId="28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9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lineRule="auto" w:line="276" w:before="240" w:after="120"/>
      <w:ind w:hanging="0" w:left="0" w:right="0"/>
      <w:jc w:val="both"/>
      <w:outlineLvl w:val="0"/>
    </w:pPr>
    <w:rPr>
      <w:caps/>
      <w:lang w:eastAsia="en-US"/>
    </w:rPr>
  </w:style>
  <w:style w:type="paragraph" w:styleId="TOC6">
    <w:name w:val="TOC 6"/>
    <w:basedOn w:val="Normal"/>
    <w:next w:val="Normal"/>
    <w:autoRedefine/>
    <w:pPr>
      <w:ind w:hanging="0" w:left="1120" w:right="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 w:right="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 w:right="0"/>
    </w:pPr>
    <w:rPr>
      <w:rFonts w:ascii="Calibri" w:hAnsi="Calibri" w:cs="Calibr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jc w:val="center"/>
    </w:pPr>
    <w:rPr>
      <w:b/>
      <w:bCs/>
    </w:rPr>
  </w:style>
  <w:style w:type="numbering" w:styleId="110">
    <w:name w:val="Стиль1"/>
    <w:qFormat/>
  </w:style>
  <w:style w:type="numbering" w:styleId="29">
    <w:name w:val="Стиль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3546</TotalTime>
  <Application>AlterOffice/2026.2.0.0$Linux_X86_64 LibreOffice_project/bc4ef1adf80b36c7a6365f8ed6cbf29021361edd</Application>
  <AppVersion>15.0000</AppVersion>
  <Pages>5</Pages>
  <Words>655</Words>
  <Characters>4412</Characters>
  <CharactersWithSpaces>4940</CharactersWithSpaces>
  <Paragraphs>128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2026-10-26T16:21:43Z</dcterms:modified>
  <cp:revision>90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