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 w:left="1276"/>
        <w:rPr>
          <w:rFonts w:ascii="Times New Roman" w:hAnsi="Times New Roman"/>
          <w:b w:val="1"/>
          <w:color w:val="000000"/>
        </w:rPr>
      </w:pPr>
    </w:p>
    <w:p w14:paraId="02000000">
      <w:pPr>
        <w:widowControl w:val="0"/>
        <w:ind w:left="1276"/>
        <w:rPr>
          <w:rFonts w:ascii="Times New Roman" w:hAnsi="Times New Roman"/>
          <w:b w:val="1"/>
          <w:color w:val="000000"/>
        </w:rPr>
      </w:pPr>
    </w:p>
    <w:p w14:paraId="03000000">
      <w:pPr>
        <w:widowControl w:val="1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ТЕХНИЧЕСКИЕ ТРЕБОВАНИЯ</w:t>
      </w:r>
    </w:p>
    <w:p w14:paraId="04000000">
      <w:pPr>
        <w:widowControl w:val="1"/>
        <w:ind/>
        <w:jc w:val="center"/>
        <w:rPr>
          <w:rFonts w:ascii="Times New Roman" w:hAnsi="Times New Roman"/>
          <w:b w:val="1"/>
          <w:sz w:val="26"/>
        </w:rPr>
      </w:pPr>
    </w:p>
    <w:p w14:paraId="05000000">
      <w:pPr>
        <w:keepNext w:val="1"/>
        <w:keepLines w:val="1"/>
        <w:widowControl w:val="1"/>
        <w:numPr>
          <w:ilvl w:val="0"/>
          <w:numId w:val="1"/>
        </w:numPr>
        <w:tabs>
          <w:tab w:leader="none" w:pos="851" w:val="left"/>
        </w:tabs>
        <w:spacing w:line="274" w:lineRule="exact"/>
        <w:ind w:firstLine="360"/>
        <w:outlineLvl w:val="6"/>
        <w:rPr>
          <w:rFonts w:ascii="Times New Roman" w:hAnsi="Times New Roman"/>
          <w:b w:val="1"/>
        </w:rPr>
      </w:pPr>
      <w:bookmarkStart w:id="1" w:name="bookmark5"/>
      <w:r>
        <w:rPr>
          <w:rFonts w:ascii="Times New Roman" w:hAnsi="Times New Roman"/>
          <w:b w:val="1"/>
        </w:rPr>
        <w:t>Общие требования к Товару (далее -оборудование)</w:t>
      </w:r>
      <w:bookmarkEnd w:id="1"/>
    </w:p>
    <w:p w14:paraId="06000000">
      <w:pPr>
        <w:pStyle w:val="Style_1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Поставляемое оборудование должно быть новым оборудованием, не ранее 2025 г. выпуска, (оборудованием, которое не было в употреблении, в ремонте, в том числе, которое не было восстановлено, у которого не была осуществлена замена составных частей, не были восстановлены потребительские свойства), заводской сборки, серийным, свободно распространяться на территории Российской Федерации, в ненарушенной заводской упаковке.</w:t>
      </w:r>
    </w:p>
    <w:p w14:paraId="07000000">
      <w:pPr>
        <w:pStyle w:val="Style_1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Поставляемое оборудование должно быть российского происхождения и включено в единый реестр российской радиоэлектронной продукции (либо в реестр промышленной продукции, произведенной на территории РФ) в соответствии с постановлениями Правительства РФ».</w:t>
      </w:r>
    </w:p>
    <w:p w14:paraId="08000000">
      <w:pPr>
        <w:pStyle w:val="Style_1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Поставляемое оборудование должно быть укомплектовано драйверами, необходимыми для его эксплуатации.</w:t>
      </w:r>
    </w:p>
    <w:p w14:paraId="09000000">
      <w:pPr>
        <w:pStyle w:val="Style_1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Поставляемое оборудование должно быть обеспечено сервисным обслуживанием через соответствующие сервисные службы производителя оборудования.</w:t>
      </w:r>
    </w:p>
    <w:p w14:paraId="0A000000">
      <w:pPr>
        <w:pStyle w:val="Style_1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Технические характеристики предлагаемого оборудования должны соответствовать представленным в Таблице №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</w:t>
      </w:r>
    </w:p>
    <w:p w14:paraId="0B000000">
      <w:pPr>
        <w:pStyle w:val="Style_1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поставки: 60 календарных дней с момента подписания договора.</w:t>
      </w:r>
    </w:p>
    <w:p w14:paraId="0C000000">
      <w:pPr>
        <w:pStyle w:val="Style_1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поставки: г. Санкт-Петербург</w:t>
      </w:r>
    </w:p>
    <w:p w14:paraId="0D000000">
      <w:pPr>
        <w:keepNext w:val="1"/>
        <w:keepLines w:val="1"/>
        <w:widowControl w:val="1"/>
        <w:numPr>
          <w:ilvl w:val="0"/>
          <w:numId w:val="1"/>
        </w:numPr>
        <w:tabs>
          <w:tab w:leader="none" w:pos="709" w:val="left"/>
        </w:tabs>
        <w:spacing w:line="281" w:lineRule="exact"/>
        <w:ind w:firstLine="360"/>
        <w:jc w:val="both"/>
        <w:outlineLvl w:val="6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Перечень и количество поставляемого оборудования</w:t>
      </w:r>
    </w:p>
    <w:p w14:paraId="0E000000">
      <w:pPr>
        <w:widowControl w:val="1"/>
        <w:tabs>
          <w:tab w:leader="none" w:pos="1134" w:val="left"/>
        </w:tabs>
        <w:spacing w:line="276" w:lineRule="auto"/>
        <w:ind w:left="709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Таблица № 1 </w:t>
      </w:r>
    </w:p>
    <w:tbl>
      <w:tblPr>
        <w:tblStyle w:val="Style_2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37"/>
        <w:gridCol w:w="5585"/>
        <w:gridCol w:w="1931"/>
        <w:gridCol w:w="902"/>
      </w:tblGrid>
      <w:tr>
        <w:trPr>
          <w:trHeight w:hRule="atLeast" w:val="20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№ п/п </w:t>
            </w:r>
          </w:p>
        </w:tc>
        <w:tc>
          <w:tcPr>
            <w:tcW w:type="dxa" w:w="5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Наименование товара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Ед. изм.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Кол-во</w:t>
            </w:r>
          </w:p>
        </w:tc>
      </w:tr>
      <w:tr>
        <w:trPr>
          <w:trHeight w:hRule="atLeast" w:val="2397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widowControl w:val="1"/>
              <w:spacing w:line="254" w:lineRule="auto"/>
              <w:ind w:left="36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1</w:t>
            </w:r>
          </w:p>
        </w:tc>
        <w:tc>
          <w:tcPr>
            <w:tcW w:type="dxa" w:w="5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widowControl w:val="0"/>
              <w:tabs>
                <w:tab w:leader="none" w:pos="142" w:val="left"/>
                <w:tab w:leader="none" w:pos="284" w:val="left"/>
              </w:tabs>
              <w:ind w:left="360"/>
              <w:jc w:val="both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Шкаф климатический телекоммуникационный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</w:t>
            </w:r>
            <w:r>
              <w:rPr>
                <w:rFonts w:ascii="Times New Roman" w:hAnsi="Times New Roman"/>
                <w:color w:val="000000"/>
              </w:rPr>
              <w:t>на опоры)</w:t>
            </w:r>
          </w:p>
          <w:p w14:paraId="15000000">
            <w:pPr>
              <w:widowControl w:val="1"/>
              <w:spacing w:line="254" w:lineRule="auto"/>
              <w:ind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шт.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</w:tr>
    </w:tbl>
    <w:p w14:paraId="18000000">
      <w:pPr>
        <w:widowControl w:val="1"/>
        <w:ind w:firstLine="426"/>
        <w:jc w:val="both"/>
        <w:rPr>
          <w:rFonts w:ascii="Times New Roman" w:hAnsi="Times New Roman"/>
          <w:sz w:val="26"/>
        </w:rPr>
      </w:pPr>
    </w:p>
    <w:p w14:paraId="19000000">
      <w:pPr>
        <w:widowControl w:val="1"/>
        <w:ind w:firstLine="426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Требования к техническим и функциональным характеристикам товара установленными в т</w:t>
      </w:r>
      <w:r>
        <w:rPr>
          <w:rFonts w:ascii="Times New Roman" w:hAnsi="Times New Roman"/>
          <w:sz w:val="26"/>
        </w:rPr>
        <w:t>аблице №2</w:t>
      </w:r>
      <w:r>
        <w:rPr>
          <w:rFonts w:ascii="Times New Roman" w:hAnsi="Times New Roman"/>
          <w:sz w:val="26"/>
        </w:rPr>
        <w:t>.</w:t>
      </w:r>
    </w:p>
    <w:p w14:paraId="1A000000">
      <w:pPr>
        <w:widowControl w:val="1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Шкаф климатический телекоммуникационный, предназначен для размещения на улице</w:t>
      </w:r>
      <w:r>
        <w:rPr>
          <w:rFonts w:ascii="Times New Roman" w:hAnsi="Times New Roman"/>
          <w:color w:val="000000"/>
        </w:rPr>
        <w:t xml:space="preserve"> на опорах</w:t>
      </w:r>
      <w:r>
        <w:rPr>
          <w:rFonts w:ascii="Times New Roman" w:hAnsi="Times New Roman"/>
          <w:color w:val="000000"/>
        </w:rPr>
        <w:t xml:space="preserve"> без отопления. Имеет устойчивость к деформации и взлому. Изделие представляет собой подвесной климатический телекоммуникационный шкаф, предназначенный для размещения оборудования узлов доступа местных сетей связи, а также другого активного телекоммуникационного оборудования или внутридомовых технических средств систем безопасности, контроля и управления инженерным оборудованием и учета потребления ресурсов. </w:t>
      </w:r>
    </w:p>
    <w:p w14:paraId="1B000000">
      <w:pPr>
        <w:widowControl w:val="1"/>
        <w:ind w:firstLine="708"/>
        <w:jc w:val="both"/>
        <w:rPr>
          <w:rFonts w:ascii="Times New Roman" w:hAnsi="Times New Roman"/>
          <w:color w:val="000000"/>
        </w:rPr>
      </w:pPr>
    </w:p>
    <w:p w14:paraId="1C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b w:val="1"/>
        </w:rPr>
        <w:t>Технические характеристики</w:t>
      </w:r>
    </w:p>
    <w:p w14:paraId="1D000000">
      <w:pPr>
        <w:widowControl w:val="1"/>
        <w:ind/>
        <w:jc w:val="right"/>
        <w:rPr>
          <w:b w:val="1"/>
        </w:rPr>
      </w:pPr>
      <w:r>
        <w:rPr>
          <w:b w:val="1"/>
        </w:rPr>
        <w:t>Таблица №2</w:t>
      </w:r>
    </w:p>
    <w:p w14:paraId="1E000000">
      <w:pPr>
        <w:widowControl w:val="1"/>
        <w:ind w:firstLine="708"/>
        <w:jc w:val="both"/>
        <w:rPr>
          <w:rFonts w:ascii="Times New Roman" w:hAnsi="Times New Roman"/>
          <w:color w:val="000000"/>
        </w:rPr>
      </w:pPr>
    </w:p>
    <w:tbl>
      <w:tblPr>
        <w:tblStyle w:val="Style_2"/>
        <w:tblW w:type="auto" w:w="0"/>
        <w:tblInd w:type="dxa" w:w="-431"/>
        <w:tblLayout w:type="fixed"/>
      </w:tblPr>
      <w:tblGrid>
        <w:gridCol w:w="3026"/>
        <w:gridCol w:w="3975"/>
        <w:gridCol w:w="1524"/>
        <w:gridCol w:w="1251"/>
      </w:tblGrid>
      <w:tr>
        <w:trPr>
          <w:trHeight w:hRule="atLeast" w:val="315"/>
        </w:trPr>
        <w:tc>
          <w:tcPr>
            <w:tcW w:type="dxa" w:w="30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widowControl w:val="0"/>
              <w:tabs>
                <w:tab w:leader="none" w:pos="142" w:val="left"/>
                <w:tab w:leader="none" w:pos="284" w:val="left"/>
              </w:tabs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widowControl w:val="0"/>
              <w:tabs>
                <w:tab w:leader="none" w:pos="142" w:val="left"/>
                <w:tab w:leader="none" w:pos="284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параметра</w:t>
            </w:r>
          </w:p>
        </w:tc>
        <w:tc>
          <w:tcPr>
            <w:tcW w:type="dxa" w:w="152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21000000">
            <w:pPr>
              <w:widowControl w:val="0"/>
              <w:tabs>
                <w:tab w:leader="none" w:pos="142" w:val="left"/>
                <w:tab w:leader="none" w:pos="284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Размерность</w:t>
            </w:r>
          </w:p>
        </w:tc>
        <w:tc>
          <w:tcPr>
            <w:tcW w:type="dxa" w:w="125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22000000">
            <w:pPr>
              <w:widowControl w:val="0"/>
              <w:tabs>
                <w:tab w:leader="none" w:pos="142" w:val="left"/>
                <w:tab w:leader="none" w:pos="284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</w:tr>
      <w:tr>
        <w:trPr>
          <w:trHeight w:hRule="atLeast" w:val="315"/>
        </w:trPr>
        <w:tc>
          <w:tcPr>
            <w:tcW w:type="dxa" w:w="302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0"/>
              <w:tabs>
                <w:tab w:leader="none" w:pos="142" w:val="left"/>
                <w:tab w:leader="none" w:pos="284" w:val="left"/>
              </w:tabs>
              <w:ind w:left="360"/>
              <w:jc w:val="both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</w:rPr>
              <w:t>Шкаф климатический телекоммуникационный</w:t>
            </w:r>
            <w:r>
              <w:rPr>
                <w:rFonts w:ascii="Times New Roman" w:hAnsi="Times New Roman"/>
                <w:color w:val="000000"/>
              </w:rPr>
              <w:t xml:space="preserve"> (</w:t>
            </w:r>
            <w:r>
              <w:rPr>
                <w:rFonts w:ascii="Times New Roman" w:hAnsi="Times New Roman"/>
                <w:color w:val="000000"/>
              </w:rPr>
              <w:t>на опоры)</w:t>
            </w:r>
          </w:p>
          <w:p w14:paraId="2400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Размеры шкафа (без учета кабельных вводов) Ш*В*Г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6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405*587*260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Материал корпуса и двери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Композит SMC 400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A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Степень защиты от внешних воздействий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C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IP54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степень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Степень защиты от внешних механических ударов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IK10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0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Цвет RAL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2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7035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Минимальная рабочая температура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-35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6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Максимальная рабочая температура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8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+40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Замок под треугольный ключ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C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Ключ под треугольник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E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Пластиковая решётка с фильтром (IP54, G3) 150*150 мм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2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Ввод кабельный пластиковый PG 7 (</w:t>
            </w:r>
            <w:r>
              <w:rPr>
                <w:sz w:val="20"/>
              </w:rPr>
              <w:t>отверстия в шкафу сверлятся по месту при монтаже шкафа</w:t>
            </w:r>
            <w:r>
              <w:rPr>
                <w:sz w:val="20"/>
              </w:rPr>
              <w:t>)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4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Ввод кабельный пластиковый PG 16 (</w:t>
            </w:r>
            <w:r>
              <w:rPr>
                <w:sz w:val="20"/>
              </w:rPr>
              <w:t>отверстия в шкафу сверлятся по месту при монтаже шкафа</w:t>
            </w:r>
            <w:r>
              <w:rPr>
                <w:sz w:val="20"/>
              </w:rPr>
              <w:t>)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8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Датчик открытия двери ИО 102-2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4A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4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C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Выключатель автоматический </w:t>
            </w:r>
            <w:r>
              <w:rPr>
                <w:sz w:val="20"/>
              </w:rPr>
              <w:t>четырехполюсный</w:t>
            </w:r>
            <w:r>
              <w:rPr>
                <w:sz w:val="20"/>
              </w:rPr>
              <w:t xml:space="preserve"> 4P 10А (C) 4.5kA 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4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Выключатель автоматический однополюсный 3А С  4.5кА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50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5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2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Выключатель автоматический однополюсный 1А С  4.5кА 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5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54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Выключатель автоматический однополюсный 10А С  4.5кА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56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5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8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Выключатель дифференциальный АВДТ-32 1п+N 6А 30мА С(Электронный)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5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5A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Розетка на DIN-рейку с заземлением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5C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5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E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Шина PE земля на DIN-изоляторе, 12 </w:t>
            </w:r>
            <w:r>
              <w:rPr>
                <w:sz w:val="20"/>
              </w:rPr>
              <w:t>отв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5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60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Шина нулевая на DIN-изолятор, 12 </w:t>
            </w:r>
            <w:r>
              <w:rPr>
                <w:sz w:val="20"/>
              </w:rPr>
              <w:t>отв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62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6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4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Комплект адаптеров для крепления шкафа на опоре под бандажную ленту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6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66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DIN-рейка 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68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6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</w:tr>
      <w:tr>
        <w:trPr>
          <w:trHeight w:hRule="atLeast" w:val="315"/>
        </w:trPr>
        <w:tc>
          <w:tcPr>
            <w:tcW w:type="dxa" w:w="302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9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A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Утеплитель </w:t>
            </w:r>
            <w:r>
              <w:rPr>
                <w:sz w:val="20"/>
              </w:rPr>
              <w:t>Порилекс</w:t>
            </w:r>
            <w:r>
              <w:rPr>
                <w:sz w:val="20"/>
              </w:rPr>
              <w:t xml:space="preserve"> 10 мм</w:t>
            </w:r>
          </w:p>
        </w:tc>
        <w:tc>
          <w:tcPr>
            <w:tcW w:type="dxa" w:w="15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6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1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6C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14:paraId="6D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6E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6F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0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1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2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3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4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5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6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7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</w:p>
    <w:p w14:paraId="78000000">
      <w:pPr>
        <w:widowControl w:val="1"/>
        <w:ind w:left="127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Схема подключения к электропитанию</w:t>
      </w:r>
    </w:p>
    <w:p w14:paraId="79000000">
      <w:pPr>
        <w:widowControl w:val="1"/>
        <w:spacing w:after="160" w:line="259" w:lineRule="auto"/>
        <w:ind/>
        <w:rPr>
          <w:rFonts w:asciiTheme="minorAscii" w:hAnsiTheme="minorHAnsi"/>
          <w:sz w:val="22"/>
        </w:rPr>
      </w:pPr>
      <w:r>
        <w:rPr>
          <w:rFonts w:asciiTheme="minorAscii" w:hAnsiTheme="minorHAnsi"/>
          <w:sz w:val="22"/>
        </w:rPr>
        <w:drawing>
          <wp:inline>
            <wp:extent cx="5690235" cy="4269077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690235" cy="426907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A000000">
      <w:pPr>
        <w:widowControl w:val="1"/>
        <w:spacing w:after="160" w:line="259" w:lineRule="auto"/>
        <w:ind w:left="1276"/>
        <w:rPr>
          <w:rFonts w:asciiTheme="minorAscii" w:hAnsiTheme="minorHAnsi"/>
          <w:sz w:val="22"/>
        </w:rPr>
      </w:pPr>
      <w:r>
        <w:rPr>
          <w:rFonts w:asciiTheme="minorAscii" w:hAnsiTheme="minorHAnsi"/>
          <w:sz w:val="22"/>
        </w:rPr>
        <w:t xml:space="preserve">Чертеж расположение </w:t>
      </w:r>
      <w:r>
        <w:rPr>
          <w:rFonts w:asciiTheme="minorAscii" w:hAnsiTheme="minorHAnsi"/>
          <w:sz w:val="22"/>
        </w:rPr>
        <w:t>DNR</w:t>
      </w:r>
      <w:r>
        <w:rPr>
          <w:rFonts w:asciiTheme="minorAscii" w:hAnsiTheme="minorHAnsi"/>
          <w:sz w:val="22"/>
        </w:rPr>
        <w:t>- реек в шкафу.</w:t>
      </w:r>
    </w:p>
    <w:p w14:paraId="7B000000">
      <w:pPr>
        <w:widowControl w:val="1"/>
        <w:spacing w:after="160" w:line="259" w:lineRule="auto"/>
        <w:ind/>
        <w:rPr>
          <w:rFonts w:asciiTheme="minorAscii" w:hAnsiTheme="minorHAnsi"/>
          <w:sz w:val="22"/>
        </w:rPr>
      </w:pPr>
    </w:p>
    <w:p w14:paraId="7C000000">
      <w:pPr>
        <w:widowControl w:val="1"/>
        <w:spacing w:after="160" w:line="259" w:lineRule="auto"/>
        <w:ind/>
        <w:rPr>
          <w:rFonts w:asciiTheme="minorAscii" w:hAnsiTheme="minorHAnsi"/>
          <w:sz w:val="22"/>
        </w:rPr>
      </w:pPr>
      <w:r>
        <w:rPr>
          <w:rFonts w:asciiTheme="minorAscii" w:hAnsiTheme="minorHAnsi"/>
          <w:sz w:val="22"/>
        </w:rPr>
        <w:drawing>
          <wp:inline>
            <wp:extent cx="5690681" cy="4000229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690681" cy="400022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D000000">
      <w:pPr>
        <w:widowControl w:val="1"/>
        <w:spacing w:after="160" w:line="259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Все автоматы и шины крепятся на нижнюю DIN-рейку.</w:t>
      </w:r>
    </w:p>
    <w:p w14:paraId="7E000000">
      <w:pPr>
        <w:widowControl w:val="1"/>
        <w:spacing w:after="160" w:line="259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Все розетки крепятся на среднюю DIN-рейку.</w:t>
      </w:r>
    </w:p>
    <w:p w14:paraId="7F000000">
      <w:pPr>
        <w:widowControl w:val="1"/>
        <w:spacing w:after="160" w:line="259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Верхняя DIN-рейка зарезервирована для крепления коммутатора и блока питания. </w:t>
      </w:r>
    </w:p>
    <w:p w14:paraId="80000000">
      <w:pPr>
        <w:widowControl w:val="1"/>
        <w:spacing w:after="160" w:line="259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Дополнительные требования</w:t>
      </w:r>
    </w:p>
    <w:p w14:paraId="81000000">
      <w:pPr>
        <w:widowControl w:val="0"/>
        <w:tabs>
          <w:tab w:leader="none" w:pos="142" w:val="left"/>
          <w:tab w:leader="none" w:pos="284" w:val="left"/>
        </w:tabs>
        <w:ind/>
        <w:jc w:val="both"/>
        <w:rPr>
          <w:rFonts w:ascii="Times New Roman" w:hAnsi="Times New Roman"/>
          <w:b w:val="1"/>
          <w:color w:val="1A1A1A"/>
          <w:u w:val="single"/>
        </w:rPr>
      </w:pPr>
      <w:r>
        <w:rPr>
          <w:rFonts w:ascii="Times New Roman" w:hAnsi="Times New Roman"/>
          <w:b w:val="1"/>
          <w:u w:val="single"/>
        </w:rPr>
        <w:t>-</w:t>
      </w:r>
      <w:r>
        <w:rPr>
          <w:rFonts w:ascii="Times New Roman" w:hAnsi="Times New Roman"/>
          <w:b w:val="1"/>
          <w:color w:val="1A1A1A"/>
          <w:highlight w:val="white"/>
          <w:u w:val="single"/>
        </w:rPr>
        <w:t xml:space="preserve"> </w:t>
      </w:r>
      <w:r>
        <w:rPr>
          <w:rFonts w:ascii="Times New Roman" w:hAnsi="Times New Roman"/>
          <w:b w:val="1"/>
          <w:color w:val="1A1A1A"/>
          <w:u w:val="single"/>
        </w:rPr>
        <w:t xml:space="preserve">отверстия под </w:t>
      </w:r>
      <w:r>
        <w:rPr>
          <w:rFonts w:ascii="Times New Roman" w:hAnsi="Times New Roman"/>
          <w:b w:val="1"/>
          <w:color w:val="1A1A1A"/>
          <w:u w:val="single"/>
        </w:rPr>
        <w:t>гермовводы</w:t>
      </w:r>
      <w:r>
        <w:rPr>
          <w:rFonts w:ascii="Times New Roman" w:hAnsi="Times New Roman"/>
          <w:b w:val="1"/>
          <w:color w:val="1A1A1A"/>
          <w:u w:val="single"/>
        </w:rPr>
        <w:t xml:space="preserve"> сверлятся по месту при монтаже шкафа</w:t>
      </w:r>
    </w:p>
    <w:p w14:paraId="82000000">
      <w:pPr>
        <w:widowControl w:val="0"/>
        <w:tabs>
          <w:tab w:leader="none" w:pos="142" w:val="left"/>
          <w:tab w:leader="none" w:pos="284" w:val="left"/>
        </w:tabs>
        <w:ind/>
        <w:jc w:val="both"/>
        <w:rPr>
          <w:rFonts w:ascii="Times New Roman" w:hAnsi="Times New Roman"/>
          <w:b w:val="1"/>
          <w:color w:val="1A1A1A"/>
          <w:u w:val="single"/>
        </w:rPr>
      </w:pPr>
    </w:p>
    <w:p w14:paraId="83000000">
      <w:pPr>
        <w:widowControl w:val="1"/>
        <w:spacing w:after="160"/>
        <w:ind/>
        <w:rPr>
          <w:rFonts w:ascii="Times New Roman" w:hAnsi="Times New Roman"/>
          <w:b w:val="1"/>
          <w:color w:val="1A1A1A"/>
          <w:u w:val="single"/>
        </w:rPr>
      </w:pPr>
      <w:r>
        <w:rPr>
          <w:rFonts w:ascii="Times New Roman" w:hAnsi="Times New Roman"/>
          <w:b w:val="1"/>
          <w:u w:val="single"/>
        </w:rPr>
        <w:t xml:space="preserve">-  </w:t>
      </w:r>
      <w:r>
        <w:rPr>
          <w:rFonts w:ascii="Times New Roman" w:hAnsi="Times New Roman"/>
          <w:b w:val="1"/>
          <w:color w:val="1A1A1A"/>
          <w:u w:val="single"/>
        </w:rPr>
        <w:t>Все автоматы и шины крепятся на нижнюю DIN-рейку.</w:t>
      </w:r>
    </w:p>
    <w:p w14:paraId="84000000">
      <w:pPr>
        <w:widowControl w:val="0"/>
        <w:tabs>
          <w:tab w:leader="none" w:pos="142" w:val="left"/>
          <w:tab w:leader="none" w:pos="284" w:val="left"/>
        </w:tabs>
        <w:ind/>
        <w:jc w:val="both"/>
        <w:rPr>
          <w:rFonts w:ascii="Times New Roman" w:hAnsi="Times New Roman"/>
          <w:b w:val="1"/>
          <w:u w:val="single"/>
        </w:rPr>
      </w:pPr>
      <w:r>
        <w:rPr>
          <w:rFonts w:ascii="Times New Roman" w:hAnsi="Times New Roman"/>
          <w:b w:val="1"/>
          <w:u w:val="single"/>
        </w:rPr>
        <w:t>-</w:t>
      </w:r>
      <w:r>
        <w:rPr>
          <w:rFonts w:ascii="Times New Roman" w:hAnsi="Times New Roman"/>
          <w:b w:val="1"/>
          <w:u w:val="single"/>
        </w:rPr>
        <w:t>Все розетки крепятся на среднюю DIN-рейку.</w:t>
      </w:r>
    </w:p>
    <w:p w14:paraId="85000000">
      <w:pPr>
        <w:widowControl w:val="0"/>
        <w:tabs>
          <w:tab w:leader="none" w:pos="142" w:val="left"/>
          <w:tab w:leader="none" w:pos="284" w:val="left"/>
        </w:tabs>
        <w:ind/>
        <w:jc w:val="both"/>
        <w:rPr>
          <w:rFonts w:ascii="Times New Roman" w:hAnsi="Times New Roman"/>
          <w:b w:val="1"/>
          <w:u w:val="single"/>
        </w:rPr>
      </w:pPr>
    </w:p>
    <w:p w14:paraId="86000000">
      <w:pPr>
        <w:widowControl w:val="0"/>
        <w:tabs>
          <w:tab w:leader="none" w:pos="142" w:val="left"/>
          <w:tab w:leader="none" w:pos="284" w:val="left"/>
        </w:tabs>
        <w:ind/>
        <w:jc w:val="both"/>
        <w:rPr>
          <w:rFonts w:ascii="Times New Roman" w:hAnsi="Times New Roman"/>
          <w:b w:val="1"/>
          <w:u w:val="single"/>
        </w:rPr>
      </w:pPr>
      <w:r>
        <w:rPr>
          <w:rFonts w:ascii="Times New Roman" w:hAnsi="Times New Roman"/>
          <w:b w:val="1"/>
          <w:u w:val="single"/>
        </w:rPr>
        <w:t>-Верхняя DIN-рейка зарезервирована для крепления коммутатора и блока питания.</w:t>
      </w:r>
    </w:p>
    <w:p w14:paraId="87000000">
      <w:pPr>
        <w:widowControl w:val="0"/>
        <w:tabs>
          <w:tab w:leader="none" w:pos="142" w:val="left"/>
          <w:tab w:leader="none" w:pos="284" w:val="left"/>
        </w:tabs>
        <w:ind/>
        <w:jc w:val="both"/>
        <w:rPr>
          <w:rFonts w:ascii="Times New Roman" w:hAnsi="Times New Roman"/>
          <w:b w:val="1"/>
          <w:sz w:val="26"/>
          <w:u w:val="single"/>
        </w:rPr>
      </w:pPr>
    </w:p>
    <w:p w14:paraId="88000000">
      <w:pPr>
        <w:widowControl w:val="0"/>
        <w:tabs>
          <w:tab w:leader="none" w:pos="142" w:val="left"/>
          <w:tab w:leader="none" w:pos="284" w:val="left"/>
        </w:tabs>
        <w:ind/>
        <w:jc w:val="both"/>
        <w:rPr>
          <w:rFonts w:ascii="Times New Roman" w:hAnsi="Times New Roman"/>
          <w:b w:val="1"/>
          <w:u w:val="single"/>
        </w:rPr>
      </w:pPr>
    </w:p>
    <w:p w14:paraId="89000000">
      <w:pPr>
        <w:keepNext w:val="1"/>
        <w:keepLines w:val="1"/>
        <w:widowControl w:val="1"/>
        <w:numPr>
          <w:ilvl w:val="0"/>
          <w:numId w:val="1"/>
        </w:numPr>
        <w:tabs>
          <w:tab w:leader="none" w:pos="1038" w:val="left"/>
        </w:tabs>
        <w:spacing w:line="240" w:lineRule="exact"/>
        <w:ind/>
        <w:jc w:val="both"/>
        <w:outlineLvl w:val="6"/>
        <w:rPr>
          <w:rFonts w:ascii="Times New Roman" w:hAnsi="Times New Roman"/>
          <w:b w:val="1"/>
        </w:rPr>
      </w:pPr>
      <w:bookmarkStart w:id="2" w:name="bookmark8"/>
      <w:r>
        <w:rPr>
          <w:rFonts w:ascii="Times New Roman" w:hAnsi="Times New Roman"/>
          <w:b w:val="1"/>
        </w:rPr>
        <w:t>Требования по гарантийному обслуживанию оборудования</w:t>
      </w:r>
      <w:bookmarkEnd w:id="2"/>
    </w:p>
    <w:p w14:paraId="8A000000">
      <w:pPr>
        <w:keepNext w:val="1"/>
        <w:keepLines w:val="1"/>
        <w:widowControl w:val="1"/>
        <w:tabs>
          <w:tab w:leader="none" w:pos="1038" w:val="left"/>
        </w:tabs>
        <w:spacing w:line="240" w:lineRule="exact"/>
        <w:ind/>
        <w:jc w:val="both"/>
        <w:outlineLvl w:val="6"/>
        <w:rPr>
          <w:rFonts w:ascii="Times New Roman" w:hAnsi="Times New Roman"/>
          <w:b w:val="1"/>
        </w:rPr>
      </w:pPr>
    </w:p>
    <w:p w14:paraId="8B000000">
      <w:pPr>
        <w:keepNext w:val="1"/>
        <w:keepLines w:val="1"/>
        <w:widowControl w:val="1"/>
        <w:numPr>
          <w:ilvl w:val="1"/>
          <w:numId w:val="1"/>
        </w:numPr>
        <w:tabs>
          <w:tab w:leader="none" w:pos="851" w:val="left"/>
        </w:tabs>
        <w:spacing w:line="240" w:lineRule="exact"/>
        <w:ind/>
        <w:jc w:val="both"/>
        <w:outlineLvl w:val="6"/>
        <w:rPr>
          <w:rFonts w:ascii="Times New Roman" w:hAnsi="Times New Roman"/>
        </w:rPr>
      </w:pPr>
      <w:r>
        <w:rPr>
          <w:rFonts w:ascii="Times New Roman" w:hAnsi="Times New Roman"/>
        </w:rPr>
        <w:t>Срок официального гарантийного обслуживания от производителя составляет:</w:t>
      </w:r>
    </w:p>
    <w:p w14:paraId="8C000000">
      <w:pPr>
        <w:widowControl w:val="1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Таблица №3</w:t>
      </w:r>
    </w:p>
    <w:tbl>
      <w:tblPr>
        <w:tblStyle w:val="Style_2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46"/>
        <w:gridCol w:w="6848"/>
        <w:gridCol w:w="2071"/>
      </w:tblGrid>
      <w:tr>
        <w:trPr>
          <w:trHeight w:hRule="atLeast" w:val="600"/>
        </w:trPr>
        <w:tc>
          <w:tcPr>
            <w:tcW w:type="dxa" w:w="6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6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оборудования</w:t>
            </w:r>
          </w:p>
        </w:tc>
        <w:tc>
          <w:tcPr>
            <w:tcW w:type="dxa" w:w="20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гарантийного обслуживания не менее, мес.</w:t>
            </w:r>
          </w:p>
        </w:tc>
      </w:tr>
      <w:tr>
        <w:trPr>
          <w:trHeight w:hRule="atLeast" w:val="323"/>
        </w:trPr>
        <w:tc>
          <w:tcPr>
            <w:tcW w:type="dxa" w:w="6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6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widowControl w:val="1"/>
              <w:spacing w:after="160" w:line="254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Шкаф климатический телекоммуникационный</w:t>
            </w:r>
            <w:bookmarkStart w:id="3" w:name="_GoBack"/>
            <w:bookmarkEnd w:id="3"/>
          </w:p>
        </w:tc>
        <w:tc>
          <w:tcPr>
            <w:tcW w:type="dxa" w:w="20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widowControl w:val="1"/>
              <w:spacing w:line="254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</w:tbl>
    <w:p w14:paraId="93000000">
      <w:pPr>
        <w:widowControl w:val="1"/>
        <w:numPr>
          <w:ilvl w:val="1"/>
          <w:numId w:val="1"/>
        </w:numPr>
        <w:tabs>
          <w:tab w:leader="none" w:pos="851" w:val="left"/>
        </w:tabs>
        <w:spacing w:line="277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Поставщик гарантирует соответствие качества поставляемого оборудования государственным стандартам, нормам и должен предоставить подтверждающие документы.</w:t>
      </w:r>
    </w:p>
    <w:p w14:paraId="94000000">
      <w:pPr>
        <w:widowControl w:val="1"/>
        <w:numPr>
          <w:ilvl w:val="1"/>
          <w:numId w:val="1"/>
        </w:numPr>
        <w:tabs>
          <w:tab w:leader="none" w:pos="851" w:val="left"/>
        </w:tabs>
        <w:spacing w:line="277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Поставщик гарантирует своевременное устранение недостатков и дефектов, выявленных в течение гарантийного срока.</w:t>
      </w:r>
    </w:p>
    <w:p w14:paraId="95000000">
      <w:pPr>
        <w:widowControl w:val="1"/>
        <w:tabs>
          <w:tab w:leader="none" w:pos="851" w:val="left"/>
        </w:tabs>
        <w:spacing w:line="277" w:lineRule="exact"/>
        <w:ind/>
        <w:jc w:val="both"/>
        <w:rPr>
          <w:rFonts w:ascii="Times New Roman" w:hAnsi="Times New Roman"/>
        </w:rPr>
      </w:pPr>
    </w:p>
    <w:p w14:paraId="96000000">
      <w:pPr>
        <w:keepNext w:val="1"/>
        <w:keepLines w:val="1"/>
        <w:widowControl w:val="1"/>
        <w:numPr>
          <w:ilvl w:val="0"/>
          <w:numId w:val="1"/>
        </w:numPr>
        <w:tabs>
          <w:tab w:leader="none" w:pos="1038" w:val="left"/>
        </w:tabs>
        <w:spacing w:line="240" w:lineRule="exact"/>
        <w:ind/>
        <w:jc w:val="both"/>
        <w:outlineLvl w:val="6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Требования к документам при поставке</w:t>
      </w:r>
    </w:p>
    <w:p w14:paraId="97000000">
      <w:pPr>
        <w:keepNext w:val="1"/>
        <w:keepLines w:val="1"/>
        <w:widowControl w:val="1"/>
        <w:tabs>
          <w:tab w:leader="none" w:pos="1038" w:val="left"/>
        </w:tabs>
        <w:spacing w:line="240" w:lineRule="exact"/>
        <w:ind/>
        <w:jc w:val="both"/>
        <w:outlineLvl w:val="6"/>
        <w:rPr>
          <w:rFonts w:ascii="Times New Roman" w:hAnsi="Times New Roman"/>
          <w:b w:val="1"/>
        </w:rPr>
      </w:pPr>
    </w:p>
    <w:p w14:paraId="98000000">
      <w:pPr>
        <w:keepNext w:val="1"/>
        <w:keepLines w:val="1"/>
        <w:widowControl w:val="1"/>
        <w:tabs>
          <w:tab w:leader="none" w:pos="1038" w:val="left"/>
        </w:tabs>
        <w:spacing w:line="240" w:lineRule="exact"/>
        <w:ind/>
        <w:jc w:val="both"/>
        <w:outlineLvl w:val="6"/>
        <w:rPr>
          <w:rFonts w:ascii="Times New Roman" w:hAnsi="Times New Roman"/>
          <w:b w:val="1"/>
        </w:rPr>
      </w:pPr>
    </w:p>
    <w:p w14:paraId="99000000">
      <w:pPr>
        <w:pStyle w:val="Style_1"/>
        <w:keepNext w:val="1"/>
        <w:keepLines w:val="1"/>
        <w:widowControl w:val="1"/>
        <w:numPr>
          <w:ilvl w:val="1"/>
          <w:numId w:val="1"/>
        </w:numPr>
        <w:tabs>
          <w:tab w:leader="none" w:pos="1038" w:val="left"/>
        </w:tabs>
        <w:spacing w:line="240" w:lineRule="exact"/>
        <w:ind/>
        <w:jc w:val="both"/>
        <w:outlineLvl w:val="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составе заявки / при поставке товара участник обязан предоставить информацию о номере реестровой записи из реестра </w:t>
      </w:r>
      <w:r>
        <w:rPr>
          <w:rFonts w:ascii="Times New Roman" w:hAnsi="Times New Roman"/>
        </w:rPr>
        <w:t>Минпромторга</w:t>
      </w:r>
      <w:r>
        <w:rPr>
          <w:rFonts w:ascii="Times New Roman" w:hAnsi="Times New Roman"/>
        </w:rPr>
        <w:t xml:space="preserve"> РФ, а также документы, подтверждающие соответствие продукции требованиям национального режима».</w:t>
      </w:r>
    </w:p>
    <w:p w14:paraId="9A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firstLine="0" w:left="0"/>
      </w:pPr>
      <w:rPr>
        <w:rFonts w:ascii="Times New Roman" w:hAnsi="Times New Roman"/>
        <w:b w:val="1"/>
        <w:i w:val="0"/>
        <w:smallCaps w:val="0"/>
        <w:strike w:val="0"/>
        <w:color w:val="000000"/>
        <w:spacing w:val="0"/>
        <w:sz w:val="24"/>
        <w:u w:val="none"/>
      </w:rPr>
    </w:lvl>
    <w:lvl w:ilvl="1">
      <w:start w:val="1"/>
      <w:numFmt w:val="decimal"/>
      <w:lvlText w:val="%1.%2."/>
      <w:lvlJc w:val="left"/>
      <w:pPr>
        <w:widowControl w:val="1"/>
        <w:ind w:firstLine="0" w:left="0"/>
      </w:pPr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2">
      <w:start w:val="1"/>
      <w:numFmt w:val="decimal"/>
      <w:lvlText w:val=""/>
      <w:lvlJc w:val="left"/>
      <w:pPr>
        <w:widowControl w:val="1"/>
        <w:ind w:firstLine="0" w:left="0"/>
      </w:pPr>
    </w:lvl>
    <w:lvl w:ilvl="3">
      <w:start w:val="1"/>
      <w:numFmt w:val="decimal"/>
      <w:lvlText w:val=""/>
      <w:lvlJc w:val="left"/>
      <w:pPr>
        <w:widowControl w:val="1"/>
        <w:ind w:firstLine="0" w:left="0"/>
      </w:pPr>
    </w:lvl>
    <w:lvl w:ilvl="4">
      <w:start w:val="1"/>
      <w:numFmt w:val="decimal"/>
      <w:lvlText w:val=""/>
      <w:lvlJc w:val="left"/>
      <w:pPr>
        <w:widowControl w:val="1"/>
        <w:ind w:firstLine="0" w:left="0"/>
      </w:pPr>
    </w:lvl>
    <w:lvl w:ilvl="5">
      <w:start w:val="1"/>
      <w:numFmt w:val="decimal"/>
      <w:lvlText w:val=""/>
      <w:lvlJc w:val="left"/>
      <w:pPr>
        <w:widowControl w:val="1"/>
        <w:ind w:firstLine="0" w:left="0"/>
      </w:pPr>
    </w:lvl>
    <w:lvl w:ilvl="6">
      <w:start w:val="1"/>
      <w:numFmt w:val="decimal"/>
      <w:lvlText w:val=""/>
      <w:lvlJc w:val="left"/>
      <w:pPr>
        <w:widowControl w:val="1"/>
        <w:ind w:firstLine="0" w:left="0"/>
      </w:pPr>
    </w:lvl>
    <w:lvl w:ilvl="7">
      <w:start w:val="1"/>
      <w:numFmt w:val="decimal"/>
      <w:lvlText w:val=""/>
      <w:lvlJc w:val="left"/>
      <w:pPr>
        <w:widowControl w:val="1"/>
        <w:ind w:firstLine="0" w:left="0"/>
      </w:pPr>
    </w:lvl>
    <w:lvl w:ilvl="8">
      <w:start w:val="1"/>
      <w:numFmt w:val="decimal"/>
      <w:lvlText w:val=""/>
      <w:lvlJc w:val="left"/>
      <w:pPr>
        <w:widowControl w:val="1"/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line="240" w:lineRule="auto"/>
      <w:ind/>
    </w:pPr>
    <w:rPr>
      <w:rFonts w:ascii="Arial" w:hAnsi="Arial"/>
      <w:sz w:val="24"/>
    </w:rPr>
  </w:style>
  <w:style w:default="1" w:styleId="Style_3_ch" w:type="character">
    <w:name w:val="Normal"/>
    <w:link w:val="Style_3"/>
    <w:rPr>
      <w:rFonts w:ascii="Arial" w:hAnsi="Arial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List Paragraph"/>
    <w:basedOn w:val="Style_3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media/1.png" Type="http://schemas.openxmlformats.org/officeDocument/2006/relationships/image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media/2.png" Type="http://schemas.openxmlformats.org/officeDocument/2006/relationships/image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2026-10-23T11:56:00Z</dcterms:created>
  <dcterms:modified xsi:type="dcterms:W3CDTF">2026-10-26T07:18:22Z</dcterms:modified>
</cp:coreProperties>
</file>