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ind w:hanging="141" w:left="5670" w:right="0"/>
        <w:rPr/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УТВЕРЖДАЮ</w:t>
      </w:r>
    </w:p>
    <w:p>
      <w:pPr>
        <w:pStyle w:val="Normal"/>
        <w:keepNext w:val="true"/>
        <w:keepLines/>
        <w:ind w:hanging="141" w:left="5670" w:right="0"/>
        <w:rPr>
          <w:sz w:val="26"/>
          <w:szCs w:val="26"/>
        </w:rPr>
      </w:pPr>
      <w:r>
        <w:rPr>
          <w:sz w:val="26"/>
          <w:szCs w:val="26"/>
        </w:rPr>
        <w:t>Первый заместитель директора-</w:t>
      </w:r>
    </w:p>
    <w:p>
      <w:pPr>
        <w:pStyle w:val="Normal"/>
        <w:keepNext w:val="true"/>
        <w:keepLines/>
        <w:ind w:hanging="141" w:left="5670" w:right="0"/>
        <w:rPr>
          <w:sz w:val="26"/>
          <w:szCs w:val="26"/>
        </w:rPr>
      </w:pPr>
      <w:r>
        <w:rPr>
          <w:sz w:val="26"/>
          <w:szCs w:val="26"/>
        </w:rPr>
        <w:t>Главный инженер</w:t>
      </w:r>
    </w:p>
    <w:p>
      <w:pPr>
        <w:pStyle w:val="Normal"/>
        <w:keepNext w:val="true"/>
        <w:keepLines/>
        <w:ind w:left="5529" w:right="0"/>
        <w:rPr>
          <w:sz w:val="26"/>
          <w:szCs w:val="26"/>
        </w:rPr>
      </w:pPr>
      <w:r>
        <w:rPr>
          <w:sz w:val="26"/>
          <w:szCs w:val="26"/>
        </w:rPr>
        <w:t xml:space="preserve">Филиала ПАО «РусГидро» - «Жигулевская ГЭС» </w:t>
      </w:r>
    </w:p>
    <w:p>
      <w:pPr>
        <w:pStyle w:val="Normal"/>
        <w:keepNext w:val="true"/>
        <w:keepLines/>
        <w:ind w:hanging="141" w:left="5670" w:right="0"/>
        <w:rPr>
          <w:sz w:val="26"/>
          <w:szCs w:val="26"/>
        </w:rPr>
      </w:pPr>
      <w:r>
        <w:rPr>
          <w:sz w:val="26"/>
          <w:szCs w:val="26"/>
        </w:rPr>
        <w:t>_______________ А.И. Богданов</w:t>
      </w:r>
    </w:p>
    <w:p>
      <w:pPr>
        <w:pStyle w:val="Normal"/>
        <w:keepNext w:val="true"/>
        <w:keepLines/>
        <w:ind w:hanging="141" w:left="5670" w:right="0"/>
        <w:rPr>
          <w:sz w:val="26"/>
          <w:szCs w:val="26"/>
        </w:rPr>
      </w:pPr>
      <w:r>
        <w:rPr>
          <w:sz w:val="26"/>
          <w:szCs w:val="26"/>
        </w:rPr>
        <w:t>«___»________________2026 г.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right"/>
        <w:rPr>
          <w:b/>
          <w:bCs/>
          <w:color w:val="000000"/>
          <w:sz w:val="26"/>
          <w:szCs w:val="26"/>
          <w:highlight w:val="none"/>
          <w:shd w:fill="auto" w:val="clear"/>
        </w:rPr>
      </w:pPr>
      <w:r>
        <w:rPr>
          <w:b/>
          <w:bCs/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jc w:val="center"/>
        <w:rPr>
          <w:highlight w:val="none"/>
          <w:shd w:fill="auto" w:val="clear"/>
        </w:rPr>
      </w:pPr>
      <w:r>
        <w:rPr>
          <w:rFonts w:eastAsia="Calibri"/>
          <w:b/>
          <w:color w:val="000000"/>
          <w:sz w:val="26"/>
          <w:szCs w:val="26"/>
          <w:shd w:fill="auto" w:val="clear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color w:val="000000"/>
          <w:sz w:val="26"/>
          <w:szCs w:val="26"/>
          <w:highlight w:val="none"/>
          <w:shd w:fill="auto" w:val="clear"/>
        </w:rPr>
      </w:pPr>
      <w:r>
        <w:rPr>
          <w:rFonts w:eastAsia="Calibri"/>
          <w:b/>
          <w:color w:val="000000"/>
          <w:sz w:val="26"/>
          <w:szCs w:val="26"/>
          <w:shd w:fill="auto" w:val="clear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color w:val="000000"/>
          <w:sz w:val="26"/>
          <w:szCs w:val="26"/>
          <w:highlight w:val="none"/>
          <w:shd w:fill="auto" w:val="clear"/>
        </w:rPr>
      </w:pPr>
      <w:r>
        <w:rPr>
          <w:rFonts w:eastAsia="Calibri"/>
          <w:b/>
          <w:color w:val="000000"/>
          <w:sz w:val="26"/>
          <w:szCs w:val="26"/>
          <w:shd w:fill="auto" w:val="clear"/>
        </w:rPr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highlight w:val="none"/>
          <w:shd w:fill="auto" w:val="clear"/>
        </w:rPr>
      </w:pPr>
      <w:r>
        <w:rPr>
          <w:rFonts w:eastAsia="Calibri"/>
          <w:color w:val="000000"/>
          <w:sz w:val="26"/>
          <w:szCs w:val="26"/>
          <w:shd w:fill="auto" w:val="clear"/>
        </w:rPr>
        <w:t>ОКПД2 27.11.41 Поставка силового трансформатора ТМГ-100/10 УХЛ1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highlight w:val="none"/>
          <w:shd w:fill="auto" w:val="clear"/>
        </w:rPr>
      </w:pPr>
      <w:r>
        <w:rPr>
          <w:rFonts w:eastAsia="Calibri"/>
          <w:color w:val="000000"/>
          <w:sz w:val="26"/>
          <w:szCs w:val="26"/>
          <w:shd w:fill="auto" w:val="clear"/>
        </w:rPr>
        <w:t xml:space="preserve">Лот </w:t>
      </w:r>
    </w:p>
    <w:p>
      <w:pPr>
        <w:pStyle w:val="Normal"/>
        <w:keepNext w:val="true"/>
        <w:keepLines/>
        <w:jc w:val="both"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Normal"/>
        <w:rPr>
          <w:color w:val="000000"/>
          <w:sz w:val="26"/>
          <w:szCs w:val="26"/>
          <w:highlight w:val="none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  <w:r>
        <w:br w:type="page"/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color w:val="000000"/>
          <w:shd w:fill="auto" w:val="clear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327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9139547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  <w:tab/>
            </w:r>
          </w:hyperlink>
          <w:r>
            <w:rPr/>
            <w:t>3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7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  <w:tab/>
            </w:r>
          </w:hyperlink>
          <w:r>
            <w:rPr/>
            <w:t>3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7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  <w:tab/>
            </w:r>
          </w:hyperlink>
          <w:r>
            <w:rPr/>
            <w:t>4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7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 xml:space="preserve">Цель использования закупаемой продукции </w:t>
              <w:tab/>
            </w:r>
          </w:hyperlink>
          <w:r>
            <w:rPr/>
            <w:t>4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7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  <w:tab/>
            </w:r>
          </w:hyperlink>
          <w:r>
            <w:rPr/>
            <w:t>4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79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 xml:space="preserve">Иные требования и сведения общего характера </w:t>
              <w:tab/>
            </w:r>
          </w:hyperlink>
          <w:r>
            <w:rPr/>
            <w:t>4</w:t>
          </w:r>
        </w:p>
        <w:p>
          <w:pPr>
            <w:pStyle w:val="TOC3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80">
            <w:r>
              <w:rPr>
                <w:webHidden/>
                <w:rStyle w:val="Style14"/>
                <w:vanish w:val="false"/>
                <w:color w:val="000000"/>
                <w:shd w:fill="auto" w:val="clear"/>
                <w:lang w:val="en-US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1.5.1.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000000"/>
                <w:sz w:val="22"/>
                <w:szCs w:val="22"/>
                <w:shd w:fill="auto" w:val="clear"/>
                <w:lang w:val="en-US"/>
              </w:rPr>
              <w:tab/>
            </w:r>
            <w:r>
              <w:rPr>
                <w:rStyle w:val="Style14"/>
                <w:color w:val="000000"/>
                <w:shd w:fill="auto" w:val="clear"/>
                <w:lang w:val="en-US"/>
              </w:rPr>
              <w:t>Требования к участнику закупки, признанным победителем</w:t>
              <w:tab/>
            </w:r>
          </w:hyperlink>
          <w:r>
            <w:rPr>
              <w:color w:val="000000"/>
              <w:shd w:fill="auto" w:val="clear"/>
              <w:lang w:val="en-US"/>
            </w:rPr>
            <w:t>4</w:t>
          </w:r>
        </w:p>
        <w:p>
          <w:pPr>
            <w:pStyle w:val="TOC1"/>
            <w:tabs>
              <w:tab w:val="clear" w:pos="327"/>
              <w:tab w:val="left" w:pos="560" w:leader="none"/>
              <w:tab w:val="right" w:pos="9911" w:leader="dot"/>
            </w:tabs>
            <w:rPr/>
          </w:pPr>
          <w:hyperlink w:anchor="_Toc191395481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_Toc191395481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82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_Toc191395482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поставки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83">
            <w:r>
              <w:rPr>
                <w:webHidden/>
                <w:rStyle w:val="Style14"/>
                <w:vanish w:val="false"/>
                <w:color w:val="000000"/>
                <w:shd w:fill="auto" w:val="clear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000000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_Toc191395483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color w:val="000000"/>
                <w:shd w:fill="auto" w:val="clear"/>
              </w:rPr>
              <w:t>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327"/>
              <w:tab w:val="right" w:pos="9911" w:leader="dot"/>
            </w:tabs>
            <w:rPr/>
          </w:pPr>
          <w:hyperlink w:anchor="_Toc19139548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_Toc191395484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91395483">
            <w:r>
              <w:rPr>
                <w:webHidden/>
                <w:rStyle w:val="Style14"/>
                <w:vanish w:val="false"/>
                <w:color w:val="000000"/>
                <w:shd w:fill="auto" w:val="clear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000000"/>
                <w:sz w:val="22"/>
                <w:szCs w:val="22"/>
                <w:shd w:fill="auto" w:val="clear"/>
              </w:rPr>
              <w:tab/>
            </w:r>
            <w:r>
              <w:rPr>
                <w:rStyle w:val="Style14"/>
                <w:rFonts w:eastAsia="" w:cs="" w:cstheme="minorBidi" w:eastAsiaTheme="minorEastAsia"/>
                <w:color w:val="000000"/>
                <w:sz w:val="20"/>
                <w:szCs w:val="20"/>
                <w:shd w:fill="auto" w:val="clear"/>
              </w:rPr>
              <w:t xml:space="preserve">Требования к срокам поставки </w:t>
            </w:r>
            <w:r>
              <w:rPr>
                <w:rStyle w:val="Style14"/>
                <w:color w:val="000000"/>
                <w:sz w:val="20"/>
                <w:szCs w:val="20"/>
                <w:shd w:fill="auto" w:val="clear"/>
              </w:rPr>
              <w:t>п</w:t>
            </w:r>
            <w:r>
              <w:rPr>
                <w:rStyle w:val="Style14"/>
                <w:color w:val="000000"/>
                <w:shd w:fill="auto" w:val="clear"/>
              </w:rPr>
              <w:t>родукции</w:t>
              <w:tab/>
            </w:r>
          </w:hyperlink>
          <w:r>
            <w:rPr>
              <w:color w:val="000000"/>
              <w:shd w:fill="auto" w:val="clear"/>
            </w:rPr>
            <w:t>5</w:t>
          </w:r>
        </w:p>
        <w:p>
          <w:pPr>
            <w:pStyle w:val="TOC1"/>
            <w:tabs>
              <w:tab w:val="clear" w:pos="327"/>
              <w:tab w:val="right" w:pos="9911" w:leader="dot"/>
            </w:tabs>
            <w:rPr/>
          </w:pPr>
          <w:hyperlink w:anchor="_Toc191395487">
            <w:r>
              <w:rPr>
                <w:webHidden/>
                <w:rStyle w:val="Style14"/>
                <w:vanish w:val="false"/>
                <w:color w:val="000000"/>
                <w:shd w:fill="auto" w:val="clear"/>
              </w:rPr>
              <w:t>Таблица 2.1 Требования к срокам поставки продукции</w:t>
              <w:tab/>
            </w:r>
          </w:hyperlink>
          <w:r>
            <w:rPr>
              <w:color w:val="000000"/>
              <w:shd w:fill="auto" w:val="clear"/>
            </w:rPr>
            <w:t>5</w:t>
          </w:r>
        </w:p>
        <w:p>
          <w:pPr>
            <w:pStyle w:val="TOC4"/>
            <w:tabs>
              <w:tab w:val="clear" w:pos="327"/>
              <w:tab w:val="left" w:pos="1120" w:leader="none"/>
              <w:tab w:val="right" w:pos="9911" w:leader="dot"/>
            </w:tabs>
            <w:rPr/>
          </w:pPr>
          <w:hyperlink w:anchor="_Toc130454098">
            <w:r>
              <w:rPr>
                <w:webHidden/>
                <w:rStyle w:val="Style14"/>
                <w:rFonts w:eastAsia="Calibri"/>
                <w:iCs/>
                <w:vanish w:val="false"/>
                <w:color w:val="000000"/>
                <w:shd w:fill="auto" w:val="clear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color w:val="000000"/>
                <w:sz w:val="22"/>
                <w:szCs w:val="22"/>
                <w:shd w:fill="auto" w:val="clear"/>
              </w:rPr>
              <w:tab/>
            </w:r>
            <w:r>
              <w:rPr>
                <w:rStyle w:val="Style14"/>
                <w:rFonts w:eastAsia="Calibri"/>
                <w:color w:val="000000"/>
                <w:shd w:fill="auto" w:val="clear"/>
              </w:rPr>
              <w:t>Требования к качеству продукции</w:t>
            </w:r>
            <w:r>
              <w:rPr>
                <w:rStyle w:val="Style14"/>
                <w:color w:val="000000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_Toc130454098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color w:val="000000"/>
                <w:shd w:fill="auto" w:val="clear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327"/>
              <w:tab w:val="right" w:pos="9911" w:leader="dot"/>
            </w:tabs>
            <w:rPr/>
          </w:pPr>
          <w:hyperlink w:anchor="_Toc130454099">
            <w:r>
              <w:rPr>
                <w:webHidden/>
                <w:rStyle w:val="Style14"/>
                <w:rFonts w:eastAsia="Calibri"/>
                <w:vanish w:val="false"/>
                <w:color w:val="000000"/>
                <w:shd w:fill="auto" w:val="clear"/>
              </w:rPr>
              <w:t>Таблица 3. Требования к продукции</w:t>
            </w:r>
            <w:r>
              <w:rPr>
                <w:rStyle w:val="Style14"/>
                <w:color w:val="000000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_Toc130454099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color w:val="000000"/>
                <w:shd w:fill="auto" w:val="clear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327"/>
              <w:tab w:val="left" w:pos="560" w:leader="none"/>
              <w:tab w:val="right" w:pos="9911" w:leader="dot"/>
            </w:tabs>
            <w:rPr/>
          </w:pPr>
          <w:hyperlink w:anchor="_Toc191395492">
            <w:r>
              <w:rPr>
                <w:webHidden/>
                <w:rStyle w:val="Style14"/>
                <w:b/>
                <w:vanish w:val="false"/>
                <w:color w:val="000000"/>
                <w:shd w:fill="auto" w:val="clear"/>
                <w:lang w:val="en-US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color w:val="000000"/>
                <w:sz w:val="22"/>
                <w:szCs w:val="22"/>
                <w:shd w:fill="auto" w:val="clear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_Toc191395492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color w:val="000000"/>
                <w:shd w:fill="auto" w:val="clear"/>
                <w:lang w:val="en-US"/>
              </w:rPr>
              <w:t>Требования к документации по ценообразованию на этапе закупки</w:t>
              <w:tab/>
              <w:t>10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b/>
              <w:shd w:fill="auto" w:val="clear"/>
              <w:color w:val="000000"/>
              <w:lang w:val="en-US"/>
            </w:rPr>
            <w:fldChar w:fldCharType="end"/>
          </w:r>
        </w:p>
      </w:sdtContent>
    </w:sdt>
    <w:p>
      <w:pPr>
        <w:pStyle w:val="Heading2"/>
        <w:rPr>
          <w:b w:val="false"/>
          <w:i/>
          <w:i/>
          <w:color w:val="000000"/>
          <w:highlight w:val="none"/>
          <w:shd w:fill="auto" w:val="clear"/>
        </w:rPr>
      </w:pPr>
      <w:r>
        <w:rPr>
          <w:b w:val="false"/>
          <w:i/>
          <w:color w:val="000000"/>
          <w:shd w:fill="auto" w:val="clear"/>
        </w:rPr>
      </w:r>
      <w:bookmarkStart w:id="0" w:name="_GoBack"/>
      <w:bookmarkStart w:id="1" w:name="_GoBack"/>
      <w:bookmarkEnd w:id="1"/>
      <w:r>
        <w:br w:type="page"/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highlight w:val="none"/>
          <w:shd w:fill="auto" w:val="clear"/>
        </w:rPr>
      </w:pPr>
      <w:bookmarkStart w:id="2" w:name="_Toc130454087"/>
      <w:bookmarkStart w:id="3" w:name="_Toc51339692"/>
      <w:bookmarkEnd w:id="3"/>
      <w:r>
        <w:rPr>
          <w:color w:val="000000"/>
          <w:shd w:fill="auto" w:val="clear"/>
          <w:lang w:val="ru-RU"/>
        </w:rPr>
        <w:t>Общие сведения</w:t>
      </w:r>
      <w:bookmarkEnd w:id="2"/>
    </w:p>
    <w:p>
      <w:pPr>
        <w:pStyle w:val="Heading4"/>
        <w:numPr>
          <w:ilvl w:val="1"/>
          <w:numId w:val="1"/>
        </w:numPr>
        <w:rPr>
          <w:highlight w:val="none"/>
          <w:shd w:fill="auto" w:val="clear"/>
        </w:rPr>
      </w:pPr>
      <w:bookmarkStart w:id="4" w:name="_Toc130454088"/>
      <w:bookmarkStart w:id="5" w:name="_Toc46743505"/>
      <w:bookmarkEnd w:id="5"/>
      <w:r>
        <w:rPr>
          <w:color w:val="000000"/>
          <w:shd w:fill="auto" w:val="clear"/>
        </w:rPr>
        <w:t>Обозначения и сокращения</w:t>
      </w:r>
      <w:bookmarkEnd w:id="4"/>
    </w:p>
    <w:p>
      <w:pPr>
        <w:pStyle w:val="Normal"/>
        <w:rPr>
          <w:bCs/>
          <w:color w:val="000000"/>
          <w:sz w:val="24"/>
          <w:szCs w:val="24"/>
          <w:highlight w:val="none"/>
          <w:shd w:fill="auto" w:val="clear"/>
        </w:rPr>
      </w:pPr>
      <w:r>
        <w:rPr>
          <w:bCs/>
          <w:color w:val="000000"/>
          <w:sz w:val="24"/>
          <w:szCs w:val="24"/>
          <w:shd w:fill="auto" w:val="clear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4"/>
                <w:szCs w:val="24"/>
                <w:shd w:fill="auto" w:val="clear"/>
                <w:lang w:val="en-US"/>
              </w:rPr>
              <w:t>КТП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4"/>
                <w:szCs w:val="24"/>
                <w:shd w:fill="auto" w:val="clear"/>
                <w:lang w:val="en-US"/>
              </w:rPr>
              <w:t>Комплектная трансформаторная подстанция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Cs/>
                <w:i w:val="false"/>
                <w:color w:val="000000"/>
                <w:sz w:val="24"/>
                <w:szCs w:val="24"/>
                <w:shd w:fill="auto" w:val="clear"/>
                <w:lang w:val="en-US"/>
              </w:rPr>
              <w:t>ПУЭ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4"/>
                <w:szCs w:val="24"/>
                <w:shd w:fill="auto" w:val="clear"/>
                <w:lang w:val="en-US"/>
              </w:rPr>
              <w:t>Правила устройства электроустановок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ТМГ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Трансформатор трехфазный масляный герметичный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ТУ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Технические условия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iCs/>
                <w:sz w:val="22"/>
                <w:szCs w:val="22"/>
              </w:rPr>
              <w:t>УХЛ1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iCs/>
                <w:sz w:val="22"/>
                <w:szCs w:val="22"/>
              </w:rPr>
              <w:t>климатическое исполнение «умеренный и холодный климат», категория размещения «на открытом воздухе»;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iCs/>
                <w:sz w:val="22"/>
                <w:szCs w:val="22"/>
              </w:rPr>
              <w:t>ГОСТ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iCs/>
                <w:sz w:val="22"/>
                <w:szCs w:val="22"/>
              </w:rPr>
              <w:t>государственный стандарт;</w:t>
            </w:r>
          </w:p>
        </w:tc>
      </w:tr>
    </w:tbl>
    <w:p>
      <w:pPr>
        <w:pStyle w:val="Normal"/>
        <w:keepNext w:val="true"/>
        <w:keepLines/>
        <w:jc w:val="both"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jc w:val="both"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  <w:r>
        <w:br w:type="page"/>
      </w:r>
    </w:p>
    <w:p>
      <w:pPr>
        <w:pStyle w:val="Heading4"/>
        <w:numPr>
          <w:ilvl w:val="1"/>
          <w:numId w:val="1"/>
        </w:numPr>
        <w:rPr>
          <w:highlight w:val="none"/>
          <w:shd w:fill="auto" w:val="clear"/>
        </w:rPr>
      </w:pPr>
      <w:bookmarkStart w:id="6" w:name="_Toc130454089"/>
      <w:bookmarkStart w:id="7" w:name="_Toc46743506"/>
      <w:bookmarkEnd w:id="7"/>
      <w:r>
        <w:rPr>
          <w:color w:val="000000"/>
          <w:shd w:fill="auto" w:val="clear"/>
        </w:rPr>
        <w:t>Наименование закупаемой продукции</w:t>
      </w:r>
      <w:bookmarkEnd w:id="6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ind w:hanging="0" w:right="-144"/>
        <w:rPr>
          <w:highlight w:val="none"/>
          <w:shd w:fill="auto" w:val="clear"/>
        </w:rPr>
      </w:pPr>
      <w:r>
        <w:rPr>
          <w:rFonts w:eastAsia="Calibri"/>
          <w:color w:val="000000"/>
          <w:sz w:val="24"/>
          <w:szCs w:val="24"/>
          <w:shd w:fill="auto" w:val="clear"/>
          <w:lang w:eastAsia="x-none"/>
        </w:rPr>
        <w:t>27.11.41 Поставка силового трансформатора ТМГ-100/10 УХЛ1</w:t>
      </w:r>
      <w:r>
        <w:rPr>
          <w:rFonts w:eastAsia="Calibri"/>
          <w:color w:val="000000"/>
          <w:shd w:fill="auto" w:val="clear"/>
          <w:lang w:eastAsia="x-none"/>
        </w:rPr>
        <w:br/>
      </w:r>
    </w:p>
    <w:p>
      <w:pPr>
        <w:pStyle w:val="Heading4"/>
        <w:numPr>
          <w:ilvl w:val="1"/>
          <w:numId w:val="1"/>
        </w:numPr>
        <w:spacing w:before="240" w:after="60"/>
        <w:ind w:hanging="431" w:left="431"/>
        <w:rPr>
          <w:highlight w:val="none"/>
          <w:shd w:fill="auto" w:val="clear"/>
        </w:rPr>
      </w:pPr>
      <w:bookmarkStart w:id="8" w:name="_Toc130454090"/>
      <w:bookmarkStart w:id="9" w:name="_Toc46743507"/>
      <w:r>
        <w:rPr>
          <w:color w:val="000000"/>
          <w:shd w:fill="auto" w:val="clear"/>
        </w:rPr>
        <w:t xml:space="preserve">Цель </w:t>
      </w:r>
      <w:bookmarkEnd w:id="9"/>
      <w:r>
        <w:rPr>
          <w:color w:val="000000"/>
          <w:shd w:fill="auto" w:val="clear"/>
          <w:lang w:val="ru-RU"/>
        </w:rPr>
        <w:t>использования закупаемой продукции</w:t>
      </w:r>
      <w:bookmarkEnd w:id="8"/>
    </w:p>
    <w:p>
      <w:pPr>
        <w:pStyle w:val="Normal"/>
        <w:jc w:val="both"/>
        <w:rPr/>
      </w:pPr>
      <w:r>
        <w:rPr>
          <w:sz w:val="24"/>
          <w:szCs w:val="24"/>
        </w:rPr>
        <w:t xml:space="preserve">Замена вышедшего из строя силового трансформатора комплектной трансформаторной подстанции для электропитания оборудования наружного освещения на Земляной плотине Жигулевской ГЭС.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Восстановление работоспособности КТП комплектной трансформаторной подстанции для электропитания оборудования наружного освещения Земляной плотины Жигулевской ГЭС.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rFonts w:eastAsia="Calibri" w:cs="Times New Roman"/>
          <w:b/>
          <w:bCs/>
          <w:color w:val="000000"/>
          <w:kern w:val="0"/>
          <w:sz w:val="24"/>
          <w:szCs w:val="24"/>
          <w:lang w:eastAsia="x-none" w:bidi="ar-SA"/>
        </w:rPr>
        <w:t xml:space="preserve"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</w:r>
    </w:p>
    <w:p>
      <w:pPr>
        <w:pStyle w:val="Normal"/>
        <w:jc w:val="both"/>
        <w:rPr/>
      </w:pPr>
      <w:r>
        <w:rPr>
          <w:color w:val="000000"/>
          <w:sz w:val="24"/>
          <w:szCs w:val="24"/>
          <w:shd w:fill="auto" w:val="clear"/>
        </w:rPr>
        <w:t xml:space="preserve">Заказчик предоставит поставщику для разгрузки на территории Филиала: </w:t>
      </w:r>
    </w:p>
    <w:p>
      <w:pPr>
        <w:pStyle w:val="Normal"/>
        <w:jc w:val="both"/>
        <w:rPr/>
      </w:pPr>
      <w:r>
        <w:rPr>
          <w:color w:val="000000"/>
          <w:sz w:val="24"/>
          <w:szCs w:val="24"/>
          <w:shd w:fill="auto" w:val="clear"/>
        </w:rPr>
        <w:t xml:space="preserve">    </w:t>
      </w:r>
      <w:r>
        <w:rPr>
          <w:color w:val="000000"/>
          <w:sz w:val="24"/>
          <w:szCs w:val="24"/>
          <w:shd w:fill="auto" w:val="clear"/>
        </w:rPr>
        <w:t>1. Следующие виды ресурсов:</w:t>
      </w:r>
    </w:p>
    <w:p>
      <w:pPr>
        <w:pStyle w:val="Normal"/>
        <w:jc w:val="both"/>
        <w:rPr/>
      </w:pPr>
      <w:r>
        <w:rPr>
          <w:color w:val="000000"/>
          <w:sz w:val="24"/>
          <w:szCs w:val="24"/>
          <w:shd w:fill="auto" w:val="clear"/>
        </w:rPr>
        <w:t xml:space="preserve">        </w:t>
      </w:r>
      <w:r>
        <w:rPr>
          <w:color w:val="000000"/>
          <w:sz w:val="24"/>
          <w:szCs w:val="24"/>
          <w:shd w:fill="auto" w:val="clear"/>
        </w:rPr>
        <w:t>1.1. Вилочный погрузчик;</w:t>
      </w:r>
    </w:p>
    <w:p>
      <w:pPr>
        <w:pStyle w:val="Normal"/>
        <w:jc w:val="both"/>
        <w:rPr/>
      </w:pPr>
      <w:r>
        <w:rPr>
          <w:color w:val="000000"/>
          <w:sz w:val="24"/>
          <w:szCs w:val="24"/>
          <w:shd w:fill="auto" w:val="clear"/>
        </w:rPr>
        <w:t xml:space="preserve">        </w:t>
      </w:r>
      <w:r>
        <w:rPr>
          <w:color w:val="000000"/>
          <w:sz w:val="24"/>
          <w:szCs w:val="24"/>
          <w:shd w:fill="auto" w:val="clear"/>
        </w:rPr>
        <w:t>1.2. Автомобильный кран.</w:t>
      </w:r>
    </w:p>
    <w:p>
      <w:pPr>
        <w:pStyle w:val="Heading4"/>
        <w:numPr>
          <w:ilvl w:val="0"/>
        </w:numPr>
        <w:tabs>
          <w:tab w:val="clear" w:pos="0"/>
        </w:tabs>
        <w:ind w:hanging="0" w:left="432"/>
        <w:rPr>
          <w:b w:val="false"/>
          <w:iCs/>
        </w:rPr>
      </w:pPr>
      <w:r>
        <w:rPr>
          <w:b w:val="false"/>
          <w:iCs/>
        </w:rPr>
      </w:r>
      <w:bookmarkStart w:id="10" w:name="_Toc191395478_Копия_1"/>
      <w:bookmarkStart w:id="11" w:name="_Toc191395478_Копия_1"/>
      <w:bookmarkEnd w:id="11"/>
    </w:p>
    <w:p>
      <w:pPr>
        <w:pStyle w:val="Heading4"/>
        <w:numPr>
          <w:ilvl w:val="0"/>
          <w:numId w:val="0"/>
        </w:numPr>
        <w:ind w:hanging="0" w:left="0"/>
        <w:rPr/>
      </w:pPr>
      <w:bookmarkStart w:id="12" w:name="_Hlk48209761_Копия_1"/>
      <w:bookmarkStart w:id="13" w:name="_Toc46743510"/>
      <w:bookmarkStart w:id="14" w:name="_Toc50125126"/>
      <w:bookmarkEnd w:id="12"/>
      <w:bookmarkEnd w:id="13"/>
      <w:bookmarkEnd w:id="14"/>
      <w:r>
        <w:rPr/>
        <w:t xml:space="preserve">1.5. </w:t>
      </w:r>
      <w:bookmarkStart w:id="15" w:name="_Toc191395479"/>
      <w:r>
        <w:rPr/>
        <w:t xml:space="preserve">Иные требования и сведения общего характера </w:t>
      </w:r>
      <w:bookmarkEnd w:id="15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highlight w:val="none"/>
          <w:shd w:fill="auto" w:val="clear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Требования к участнику закупки:  отсутствие сведений об участнике закупки в реестре недобросовестных поставщиков, предусмотренных статьей 5 Федерального закона от 18 июля 2011г. № 223-ФЗ «О закупках товаров, работ, услуг отдельными видами юридических лиц».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highlight w:val="none"/>
          <w:shd w:fill="auto" w:val="clear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          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1.5.1. Требования к участнику закупки, признанным победителем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highlight w:val="none"/>
          <w:shd w:fill="auto" w:val="clear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Участник, признанный победителем закупочной процедуры, в течение 3 рабочих дней с даты официального размещения Организатором итогового протокола по результатам закупки (до заключения договора) должен предоставить Письмо – подтверждение завода-изготовителя о согласии на изготовление с указанием конкретных сроков изготовления и предлагаемых гарантийных сроков (в произвольной форме).</w:t>
      </w:r>
    </w:p>
    <w:p>
      <w:pPr>
        <w:pStyle w:val="Heading4"/>
        <w:numPr>
          <w:ilvl w:val="0"/>
          <w:numId w:val="0"/>
        </w:numPr>
        <w:ind w:hanging="0" w:left="720"/>
        <w:rPr/>
      </w:pPr>
      <w:r>
        <w:rPr/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highlight w:val="none"/>
          <w:shd w:fill="auto" w:val="clear"/>
        </w:rPr>
      </w:pPr>
      <w:bookmarkStart w:id="16" w:name="_Toc130454092"/>
      <w:bookmarkStart w:id="17" w:name="_Toc51339693"/>
      <w:bookmarkEnd w:id="17"/>
      <w:r>
        <w:rPr>
          <w:iCs/>
          <w:color w:val="000000"/>
          <w:shd w:fill="auto" w:val="clear"/>
        </w:rPr>
        <w:t>Требования к продукции</w:t>
      </w:r>
      <w:bookmarkEnd w:id="16"/>
    </w:p>
    <w:p>
      <w:pPr>
        <w:pStyle w:val="Heading4"/>
        <w:numPr>
          <w:ilvl w:val="1"/>
          <w:numId w:val="1"/>
        </w:numPr>
        <w:rPr>
          <w:highlight w:val="none"/>
          <w:shd w:fill="auto" w:val="clear"/>
        </w:rPr>
      </w:pPr>
      <w:bookmarkStart w:id="18" w:name="_Toc130454093"/>
      <w:r>
        <w:rPr>
          <w:color w:val="000000"/>
          <w:shd w:fill="auto" w:val="clear"/>
        </w:rPr>
        <w:t xml:space="preserve">Требования к объемам и срокам </w:t>
      </w:r>
      <w:r>
        <w:rPr>
          <w:color w:val="000000"/>
          <w:shd w:fill="auto" w:val="clear"/>
          <w:lang w:val="ru-RU"/>
        </w:rPr>
        <w:t>поставки</w:t>
      </w:r>
      <w:bookmarkEnd w:id="18"/>
    </w:p>
    <w:p>
      <w:pPr>
        <w:pStyle w:val="Heading3"/>
        <w:numPr>
          <w:ilvl w:val="2"/>
          <w:numId w:val="1"/>
        </w:numPr>
        <w:rPr>
          <w:highlight w:val="none"/>
          <w:shd w:fill="auto" w:val="clear"/>
        </w:rPr>
      </w:pPr>
      <w:bookmarkStart w:id="19" w:name="_Toc130454094"/>
      <w:r>
        <w:rPr>
          <w:color w:val="000000"/>
          <w:shd w:fill="auto" w:val="clear"/>
          <w:lang w:val="ru-RU"/>
        </w:rPr>
        <w:t>Перечень и объем закупаемой продукции</w:t>
      </w:r>
      <w:bookmarkEnd w:id="19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highlight w:val="none"/>
          <w:shd w:fill="auto" w:val="clear"/>
        </w:rPr>
      </w:pPr>
      <w:bookmarkStart w:id="20" w:name="_Toc130454095"/>
      <w:bookmarkStart w:id="21" w:name="_Toc51339695"/>
      <w:r>
        <w:rPr>
          <w:color w:val="000000"/>
          <w:sz w:val="24"/>
          <w:szCs w:val="24"/>
          <w:shd w:fill="auto" w:val="clear"/>
        </w:rPr>
        <w:t xml:space="preserve">Таблица </w:t>
      </w:r>
      <w:r>
        <w:rPr>
          <w:color w:val="000000"/>
          <w:sz w:val="24"/>
          <w:szCs w:val="24"/>
          <w:shd w:fill="auto" w:val="clear"/>
          <w:lang w:val="ru-RU"/>
        </w:rPr>
        <w:t>1.1</w:t>
      </w:r>
      <w:r>
        <w:rPr>
          <w:color w:val="000000"/>
          <w:sz w:val="24"/>
          <w:szCs w:val="24"/>
          <w:shd w:fill="auto" w:val="clear"/>
        </w:rPr>
        <w:t xml:space="preserve"> </w:t>
      </w:r>
      <w:r>
        <w:rPr>
          <w:color w:val="000000"/>
          <w:sz w:val="24"/>
          <w:szCs w:val="24"/>
          <w:shd w:fill="auto" w:val="clear"/>
          <w:lang w:val="ru-RU"/>
        </w:rPr>
        <w:t xml:space="preserve">Перечень </w:t>
      </w:r>
      <w:bookmarkEnd w:id="21"/>
      <w:r>
        <w:rPr>
          <w:color w:val="000000"/>
          <w:sz w:val="24"/>
          <w:szCs w:val="24"/>
          <w:shd w:fill="auto" w:val="clear"/>
          <w:lang w:val="ru-RU"/>
        </w:rPr>
        <w:t>и объем закупаемой продукции</w:t>
      </w:r>
      <w:bookmarkEnd w:id="20"/>
    </w:p>
    <w:p>
      <w:pPr>
        <w:pStyle w:val="Heading1"/>
        <w:tabs>
          <w:tab w:val="clear" w:pos="0"/>
        </w:tabs>
        <w:spacing w:before="240" w:after="60"/>
        <w:ind w:hanging="0" w:left="0"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tbl>
      <w:tblPr>
        <w:tblW w:w="9765" w:type="dxa"/>
        <w:jc w:val="left"/>
        <w:tblInd w:w="30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89"/>
        <w:gridCol w:w="6150"/>
        <w:gridCol w:w="1413"/>
        <w:gridCol w:w="1412"/>
      </w:tblGrid>
      <w:tr>
        <w:trPr/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п/п</w:t>
            </w: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Наименование продукции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Количество</w:t>
            </w:r>
          </w:p>
        </w:tc>
      </w:tr>
      <w:tr>
        <w:trPr/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6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cs="Calibri"/>
                <w:color w:val="000000"/>
                <w:sz w:val="24"/>
                <w:szCs w:val="24"/>
                <w:shd w:fill="auto" w:val="clear"/>
              </w:rPr>
              <w:t>Трансформатор силовой ТМГ-100/10 УХЛ1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  <w:lang w:val="en-US"/>
              </w:rPr>
              <w:t>1</w:t>
            </w:r>
          </w:p>
        </w:tc>
      </w:tr>
    </w:tbl>
    <w:p>
      <w:pPr>
        <w:pStyle w:val="Normal"/>
        <w:ind w:hanging="0" w:left="57"/>
        <w:jc w:val="both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ind w:hanging="0" w:left="57"/>
        <w:jc w:val="both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Heading3"/>
        <w:numPr>
          <w:ilvl w:val="0"/>
          <w:numId w:val="0"/>
        </w:numPr>
        <w:ind w:hanging="0" w:left="720"/>
        <w:rPr/>
      </w:pPr>
      <w:r>
        <w:rPr/>
        <w:t xml:space="preserve">2.1.2. </w:t>
      </w:r>
      <w:bookmarkStart w:id="22" w:name="_Toc191395486"/>
      <w:bookmarkStart w:id="23" w:name="_Toc51339696_Копия_1"/>
      <w:r>
        <w:rPr/>
        <w:t xml:space="preserve">Требования </w:t>
      </w:r>
      <w:bookmarkEnd w:id="23"/>
      <w:r>
        <w:rPr/>
        <w:t xml:space="preserve">к срокам поставки продукции </w:t>
      </w:r>
      <w:bookmarkEnd w:id="22"/>
    </w:p>
    <w:p>
      <w:pPr>
        <w:pStyle w:val="Style38"/>
        <w:numPr>
          <w:ilvl w:val="0"/>
          <w:numId w:val="0"/>
        </w:numPr>
        <w:ind w:hanging="0" w:left="0"/>
        <w:outlineLvl w:val="0"/>
        <w:rPr/>
      </w:pPr>
      <w:bookmarkStart w:id="24" w:name="_Toc191395487"/>
      <w:bookmarkStart w:id="25" w:name="_Toc50125127_Копия_1"/>
      <w:bookmarkStart w:id="26" w:name="_Toc51339697_Копия_1"/>
      <w:bookmarkStart w:id="27" w:name="_Toc50125126_Копия_1"/>
      <w:bookmarkEnd w:id="27"/>
      <w:r>
        <w:rPr/>
        <w:t xml:space="preserve">Таблица 2.1 </w:t>
      </w:r>
      <w:bookmarkStart w:id="28" w:name="_Hlk50465284_Копия_1"/>
      <w:r>
        <w:rPr/>
        <w:t xml:space="preserve">Требования к срокам </w:t>
      </w:r>
      <w:bookmarkEnd w:id="25"/>
      <w:bookmarkEnd w:id="26"/>
      <w:bookmarkEnd w:id="28"/>
      <w:r>
        <w:rPr/>
        <w:t>поставки продукции</w:t>
      </w:r>
      <w:bookmarkEnd w:id="24"/>
      <w:r>
        <w:rPr/>
        <w:t xml:space="preserve"> </w:t>
      </w:r>
    </w:p>
    <w:p>
      <w:pPr>
        <w:pStyle w:val="Normal"/>
        <w:ind w:hanging="0" w:left="57"/>
        <w:jc w:val="both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49"/>
        <w:gridCol w:w="2980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left"/>
              <w:rPr/>
            </w:pPr>
            <w:r>
              <w:rPr/>
              <w:t>1.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cs="Calibri"/>
                <w:color w:val="000000"/>
                <w:sz w:val="24"/>
                <w:szCs w:val="24"/>
                <w:shd w:fill="auto" w:val="clear"/>
              </w:rPr>
              <w:t>Трансформатор силовой ТМГ-100/10 УХЛ1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даты подписания договора (ориентировочно </w:t>
            </w:r>
            <w:r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.2026)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 позднее 10 календарных дней с даты подписания договора (ориентировочно - </w:t>
            </w:r>
            <w:r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.1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.2026)</w:t>
            </w:r>
          </w:p>
        </w:tc>
      </w:tr>
    </w:tbl>
    <w:p>
      <w:pPr>
        <w:pStyle w:val="Normal"/>
        <w:ind w:hanging="0" w:left="57"/>
        <w:jc w:val="both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/>
        <w:jc w:val="both"/>
        <w:outlineLvl w:val="0"/>
        <w:rPr>
          <w:rFonts w:eastAsia="Calibri"/>
          <w:b/>
        </w:rPr>
      </w:pPr>
      <w:r>
        <w:rPr>
          <w:b/>
          <w:i/>
        </w:rPr>
        <w:t>Поставка осуществляется одной партией</w:t>
      </w:r>
      <w:r>
        <w:rPr>
          <w:rStyle w:val="Style8"/>
          <w:bCs/>
          <w:shd w:fill="auto" w:val="clear"/>
        </w:rPr>
        <w:t>.</w:t>
      </w:r>
    </w:p>
    <w:p>
      <w:pPr>
        <w:pStyle w:val="Normal"/>
        <w:ind w:hanging="0" w:left="5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hanging="0" w:left="567"/>
        <w:jc w:val="both"/>
        <w:rPr>
          <w:color w:val="000000"/>
          <w:sz w:val="24"/>
          <w:szCs w:val="24"/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numPr>
          <w:ilvl w:val="0"/>
          <w:numId w:val="0"/>
        </w:numPr>
        <w:ind w:hanging="0" w:left="57"/>
        <w:jc w:val="both"/>
        <w:rPr>
          <w:color w:val="000000"/>
          <w:highlight w:val="none"/>
          <w:shd w:fill="auto" w:val="clear"/>
          <w:lang w:val="en-US"/>
        </w:rPr>
      </w:pPr>
      <w:r>
        <w:rPr>
          <w:color w:val="000000"/>
          <w:shd w:fill="auto" w:val="clear"/>
          <w:lang w:val="en-US"/>
        </w:rPr>
        <w:t xml:space="preserve">  </w:t>
      </w:r>
      <w:r>
        <w:rPr>
          <w:rFonts w:eastAsia="Calibri" w:cs="Times New Roman"/>
          <w:b/>
          <w:color w:val="00000A"/>
          <w:kern w:val="0"/>
          <w:sz w:val="24"/>
          <w:szCs w:val="24"/>
          <w:lang w:val="x-none" w:eastAsia="x-none" w:bidi="ar-SA"/>
        </w:rPr>
        <w:t xml:space="preserve">    </w:t>
      </w:r>
    </w:p>
    <w:p>
      <w:pPr>
        <w:pStyle w:val="Heading4"/>
        <w:numPr>
          <w:ilvl w:val="1"/>
          <w:numId w:val="1"/>
        </w:numPr>
        <w:rPr>
          <w:highlight w:val="none"/>
          <w:shd w:fill="auto" w:val="clear"/>
        </w:rPr>
      </w:pPr>
      <w:bookmarkStart w:id="29" w:name="_Toc51339698"/>
      <w:bookmarkStart w:id="30" w:name="_Toc130454098"/>
      <w:bookmarkStart w:id="31" w:name="_Toc46743511"/>
      <w:r>
        <w:rPr>
          <w:color w:val="000000"/>
          <w:shd w:fill="auto" w:val="clear"/>
        </w:rPr>
        <w:t xml:space="preserve">Требования к </w:t>
      </w:r>
      <w:bookmarkEnd w:id="31"/>
      <w:r>
        <w:rPr>
          <w:color w:val="000000"/>
          <w:shd w:fill="auto" w:val="clear"/>
          <w:lang w:val="ru-RU"/>
        </w:rPr>
        <w:t>качеству продукции</w:t>
      </w:r>
      <w:bookmarkEnd w:id="3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highlight w:val="none"/>
          <w:shd w:fill="auto" w:val="clear"/>
        </w:rPr>
      </w:pPr>
      <w:r>
        <w:rPr>
          <w:color w:val="000000"/>
          <w:sz w:val="24"/>
          <w:szCs w:val="24"/>
          <w:shd w:fill="auto" w:val="clear"/>
        </w:rPr>
        <w:t xml:space="preserve"> </w:t>
      </w:r>
      <w:bookmarkStart w:id="32" w:name="_Toc130454099"/>
      <w:r>
        <w:rPr>
          <w:color w:val="000000"/>
          <w:sz w:val="24"/>
          <w:szCs w:val="24"/>
          <w:shd w:fill="auto" w:val="clear"/>
        </w:rPr>
        <w:t>Таблица </w:t>
      </w:r>
      <w:r>
        <w:rPr>
          <w:color w:val="000000"/>
          <w:sz w:val="24"/>
          <w:szCs w:val="24"/>
          <w:shd w:fill="auto" w:val="clear"/>
          <w:lang w:val="ru-RU"/>
        </w:rPr>
        <w:t>3</w:t>
      </w:r>
      <w:r>
        <w:rPr>
          <w:color w:val="000000"/>
          <w:sz w:val="24"/>
          <w:szCs w:val="24"/>
          <w:shd w:fill="auto" w:val="clear"/>
        </w:rPr>
        <w:t xml:space="preserve">. Требования к </w:t>
      </w:r>
      <w:r>
        <w:rPr>
          <w:color w:val="000000"/>
          <w:sz w:val="24"/>
          <w:szCs w:val="24"/>
          <w:shd w:fill="auto" w:val="clear"/>
          <w:lang w:val="ru-RU"/>
        </w:rPr>
        <w:t>продукции</w:t>
      </w:r>
      <w:bookmarkEnd w:id="29"/>
      <w:bookmarkEnd w:id="32"/>
      <w:r>
        <w:rPr>
          <w:color w:val="000000"/>
          <w:sz w:val="24"/>
          <w:szCs w:val="24"/>
          <w:shd w:fill="auto" w:val="clear"/>
        </w:rPr>
        <w:t xml:space="preserve"> </w:t>
      </w:r>
    </w:p>
    <w:p>
      <w:pPr>
        <w:pStyle w:val="Normal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eastAsia="Calibri"/>
          <w:b/>
          <w:bCs/>
          <w:iCs/>
          <w:color w:val="000000"/>
          <w:sz w:val="24"/>
          <w:szCs w:val="24"/>
          <w:shd w:fill="auto" w:val="clear"/>
          <w:lang w:eastAsia="x-none"/>
        </w:rPr>
        <w:t xml:space="preserve">Наименование продукции: Трансформатор силовой ТМГ-100/10 УХЛ1 </w:t>
      </w:r>
    </w:p>
    <w:tbl>
      <w:tblPr>
        <w:tblStyle w:val="affff8"/>
        <w:tblW w:w="15275" w:type="dxa"/>
        <w:jc w:val="left"/>
        <w:tblInd w:w="83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7"/>
        <w:gridCol w:w="6243"/>
        <w:gridCol w:w="4488"/>
        <w:gridCol w:w="2308"/>
        <w:gridCol w:w="1479"/>
      </w:tblGrid>
      <w:tr>
        <w:trPr/>
        <w:tc>
          <w:tcPr>
            <w:tcW w:w="757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п/п</w:t>
            </w:r>
          </w:p>
        </w:tc>
        <w:tc>
          <w:tcPr>
            <w:tcW w:w="624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488" w:type="dxa"/>
            <w:vMerge w:val="restart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Требование заказчика</w:t>
            </w:r>
          </w:p>
        </w:tc>
        <w:tc>
          <w:tcPr>
            <w:tcW w:w="378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57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4488" w:type="dxa"/>
            <w:vMerge w:val="continue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0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4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</w:t>
            </w:r>
          </w:p>
        </w:tc>
        <w:tc>
          <w:tcPr>
            <w:tcW w:w="624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</w:t>
            </w:r>
          </w:p>
        </w:tc>
        <w:tc>
          <w:tcPr>
            <w:tcW w:w="4488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230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4</w:t>
            </w:r>
          </w:p>
        </w:tc>
        <w:tc>
          <w:tcPr>
            <w:tcW w:w="147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731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308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47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/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shd w:fill="auto" w:val="clear"/>
              </w:rPr>
              <w:t>Тип</w:t>
            </w:r>
          </w:p>
        </w:tc>
        <w:tc>
          <w:tcPr>
            <w:tcW w:w="4488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ТМГ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Число фаз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Система охлаждения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 естественной циркуляцией воздуха и масла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Исполнение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Герметичное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Мощность, кВА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100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00000A"/>
                <w:sz w:val="24"/>
                <w:szCs w:val="24"/>
                <w:shd w:fill="auto" w:val="clear"/>
              </w:rPr>
              <w:t>Напряжение ВН, кВ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10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00000A"/>
                <w:sz w:val="24"/>
                <w:szCs w:val="24"/>
                <w:shd w:fill="auto" w:val="clear"/>
              </w:rPr>
              <w:t>Напряжение НН, кВ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0,4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142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00000A"/>
                <w:sz w:val="24"/>
                <w:szCs w:val="24"/>
                <w:shd w:fill="auto" w:val="clear"/>
              </w:rPr>
              <w:t>Схема и группа соединения обмоток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D/Ун-11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Номинальная частота, Гц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50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Тип регулирования напряжения и глубина регулирования в %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  <w:lang w:val="en-US"/>
              </w:rPr>
              <w:t>ПБВ +-2х2,5%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Климатическое исполнение и категория размещения по ГОСТ 15150-69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УХЛ1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Класс энергоэффективности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Header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менее «В»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обмоток НН-ВН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Header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Алюминий-Алюминий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Потери холостого хода, Вт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320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 холостого хода, %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4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Потери короткого замыкания, Вт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2400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короткого замыкания, %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5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установки над уровнем моря, не более, м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1000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Header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Интенсивность землетрясения по ГОСТ 17516.1-90, баллы по MSK-644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Габаритные размеры (длина х ширина х высота), мм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более 1200х1000х1200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Тип индикатора уровня жидкого диэлектрика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Поплавковый (сухие контакты не требуются)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индикатора температуры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Термометр манометрический (сухие контакты не требуются)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газового реле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требуется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катков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требуется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мановакуумметра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требуется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аппаратный штырьевой ВН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требуется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аппаратный штырьевой НН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требуется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731" w:type="dxa"/>
            <w:gridSpan w:val="2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Требования к продукции</w:t>
            </w:r>
          </w:p>
        </w:tc>
        <w:tc>
          <w:tcPr>
            <w:tcW w:w="4488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новая*, ранее не используемая.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Год выпуска продукции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ранее 2026 г.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731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Погрузка, доставка, разгрузка и перемещение Товара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быть доставлена поставщиком по адресу: Российская Федерация, 445350, Самарская область, город Жигулевск, Московское шоссе, дом 2. Разгрузка осуществляется за счёт покупателя. Погрузка на территории Поставщика/ Производителя, транспорт и доставка до склада Заказчика выполняются за счёт средств Поставщика. Разгрузка на территории Заказчика за счет средств Заказчика. Приемка продукции в рабочие дни с 08.00 до 15.00 по местному времени. Информация о транспорте (марка, гос.номер), на котором осуществляется доставка, а также ФИО и номер водительского удостоверения водителя и сопровождающих лиц (при наличии) для оформления допуска на территорию предоставляется не позднее предыдущего рабочего дня до прибытия транспорта, до 15.00.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Возможность вертикальной разгрузки транспорта обязательна. Попутный груз при въезде на территорию Филиала запрещен.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731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Срок гарантии изготовителя, с момента ввода в эксплуатацию, не менее, лет</w:t>
            </w:r>
          </w:p>
        </w:tc>
        <w:tc>
          <w:tcPr>
            <w:tcW w:w="4488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5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сервисных центров на территории РФ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Гарантии распространяются на все поставляемое оборудование.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731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24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1.Эксплуатационная документация, экз.: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паспорт.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2.Сертификат качества.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3.Товарная накладная унифицированной формы ТОРГ 12.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731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6.1.</w:t>
            </w:r>
          </w:p>
        </w:tc>
        <w:tc>
          <w:tcPr>
            <w:tcW w:w="6243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Во всем неоговоренном трансформатор должен соответствовать требованиям </w:t>
            </w:r>
            <w:r>
              <w:rPr>
                <w:rFonts w:eastAsia="Times New Roman" w:cs="Times New Roman"/>
                <w:b w:val="false"/>
                <w:iCs/>
                <w:color w:val="00000A"/>
                <w:kern w:val="0"/>
                <w:sz w:val="22"/>
                <w:szCs w:val="22"/>
                <w:lang w:val="ru-RU" w:eastAsia="ru-RU" w:bidi="ar-SA"/>
              </w:rPr>
              <w:t>ГОСТ Р 52719-2007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, ПУЭ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7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0731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757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7.1.</w:t>
            </w:r>
          </w:p>
        </w:tc>
        <w:tc>
          <w:tcPr>
            <w:tcW w:w="6243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службы, не менее, лет</w:t>
            </w:r>
          </w:p>
        </w:tc>
        <w:tc>
          <w:tcPr>
            <w:tcW w:w="4488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30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9" w:type="dxa"/>
            <w:vMerge w:val="continue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229"/>
              <w:contextualSpacing/>
              <w:jc w:val="left"/>
              <w:rPr/>
            </w:pPr>
            <w:r>
              <w:rPr/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ind w:hanging="0" w:left="357"/>
        <w:jc w:val="center"/>
        <w:rPr>
          <w:color w:val="000000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57"/>
        <w:jc w:val="both"/>
        <w:rPr>
          <w:color w:val="000000"/>
          <w:highlight w:val="none"/>
          <w:shd w:fill="auto" w:val="clear"/>
          <w:lang w:val="en-US"/>
        </w:rPr>
      </w:pPr>
      <w:r>
        <w:rPr>
          <w:rFonts w:eastAsia="Calibri" w:cs="Times New Roman"/>
          <w:b/>
          <w:color w:val="00000A"/>
          <w:kern w:val="0"/>
          <w:sz w:val="24"/>
          <w:szCs w:val="24"/>
          <w:lang w:val="x-none" w:eastAsia="x-none" w:bidi="ar-SA"/>
        </w:rPr>
        <w:t xml:space="preserve">  </w:t>
      </w:r>
      <w:r>
        <w:rPr>
          <w:rFonts w:eastAsia="Calibri" w:cs="Times New Roman"/>
          <w:b/>
          <w:color w:val="00000A"/>
          <w:kern w:val="0"/>
          <w:sz w:val="24"/>
          <w:szCs w:val="24"/>
          <w:lang w:val="x-none" w:eastAsia="x-none" w:bidi="ar-SA"/>
        </w:rPr>
        <w:t>Примечания:</w:t>
      </w:r>
    </w:p>
    <w:p>
      <w:pPr>
        <w:pStyle w:val="Normal"/>
        <w:numPr>
          <w:ilvl w:val="0"/>
          <w:numId w:val="0"/>
        </w:numPr>
        <w:ind w:hanging="0" w:left="57"/>
        <w:jc w:val="both"/>
        <w:rPr>
          <w:b w:val="false"/>
          <w:bCs w:val="false"/>
        </w:rPr>
      </w:pPr>
      <w:r>
        <w:rPr>
          <w:rFonts w:eastAsia="Calibri" w:cs="Times New Roman"/>
          <w:b w:val="false"/>
          <w:bCs w:val="false"/>
          <w:color w:val="00000A"/>
          <w:kern w:val="0"/>
          <w:sz w:val="24"/>
          <w:szCs w:val="24"/>
          <w:lang w:val="x-none" w:eastAsia="x-none" w:bidi="ar-SA"/>
        </w:rPr>
        <w:t xml:space="preserve"> </w:t>
      </w:r>
      <w:r>
        <w:rPr>
          <w:rFonts w:eastAsia="Calibri" w:cs="Times New Roman"/>
          <w:b w:val="false"/>
          <w:bCs w:val="false"/>
          <w:color w:val="00000A"/>
          <w:kern w:val="0"/>
          <w:sz w:val="24"/>
          <w:szCs w:val="24"/>
          <w:lang w:val="x-none" w:eastAsia="x-none" w:bidi="ar-SA"/>
        </w:rPr>
        <w:t>1) В случае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numPr>
          <w:ilvl w:val="0"/>
          <w:numId w:val="0"/>
        </w:numPr>
        <w:ind w:hanging="0" w:left="57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Heading1"/>
        <w:numPr>
          <w:ilvl w:val="0"/>
          <w:numId w:val="0"/>
        </w:numPr>
        <w:ind w:hanging="0" w:left="426"/>
        <w:rPr/>
      </w:pPr>
      <w:r>
        <w:rPr/>
        <w:t xml:space="preserve">3. </w:t>
      </w:r>
      <w:bookmarkStart w:id="33" w:name="_Toc191395492"/>
      <w:bookmarkStart w:id="34" w:name="_Toc53393312"/>
      <w:r>
        <w:rPr/>
        <w:t>Требования к документации по ценообразованию</w:t>
      </w:r>
      <w:bookmarkEnd w:id="34"/>
      <w:r>
        <w:rPr/>
        <w:t xml:space="preserve"> на этапе закупки</w:t>
      </w:r>
      <w:bookmarkEnd w:id="33"/>
    </w:p>
    <w:p>
      <w:pPr>
        <w:pStyle w:val="Normal"/>
        <w:widowControl w:val="false"/>
        <w:numPr>
          <w:ilvl w:val="3"/>
        </w:numPr>
        <w:tabs>
          <w:tab w:val="clear" w:pos="327"/>
          <w:tab w:val="left" w:pos="426" w:leader="none"/>
        </w:tabs>
        <w:spacing w:before="60" w:after="0"/>
        <w:jc w:val="both"/>
        <w:rPr/>
      </w:pPr>
      <w:r>
        <w:rPr>
          <w:rStyle w:val="Style8"/>
          <w:rFonts w:eastAsia="Calibri"/>
          <w:b w:val="false"/>
          <w:bCs/>
          <w:i w:val="false"/>
          <w:iCs/>
          <w:color w:val="000000"/>
          <w:sz w:val="24"/>
          <w:szCs w:val="24"/>
          <w:shd w:fill="auto" w:val="clear"/>
          <w:lang w:val="x-none" w:eastAsia="x-none"/>
        </w:rPr>
        <w:t>3.1 В обоснование стоимости своей заявки Участник предоставляет Коммерческое предложение.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60" w:after="0"/>
        <w:jc w:val="both"/>
        <w:rPr/>
      </w:pPr>
      <w:r>
        <w:rPr>
          <w:rStyle w:val="Style8"/>
          <w:rFonts w:eastAsia="Calibri"/>
          <w:b w:val="false"/>
          <w:bCs/>
          <w:i w:val="false"/>
          <w:iCs/>
          <w:color w:val="000000"/>
          <w:sz w:val="24"/>
          <w:szCs w:val="24"/>
          <w:shd w:fill="auto" w:val="clear"/>
          <w:lang w:val="x-none" w:eastAsia="x-none"/>
        </w:rPr>
        <w:t>3.2 Дополнительные документы по ценообразованию в состав заявки не включаются.</w:t>
      </w:r>
    </w:p>
    <w:p>
      <w:pPr>
        <w:pStyle w:val="Normal"/>
        <w:numPr>
          <w:ilvl w:val="3"/>
        </w:numPr>
        <w:spacing w:before="0" w:after="120"/>
        <w:jc w:val="both"/>
        <w:rPr>
          <w:rFonts w:eastAsia="Calibri"/>
          <w:i/>
          <w:i/>
          <w:iCs/>
          <w:color w:val="000000"/>
          <w:sz w:val="24"/>
          <w:szCs w:val="24"/>
          <w:highlight w:val="none"/>
          <w:shd w:fill="auto" w:val="clear"/>
          <w:lang w:val="x-none" w:eastAsia="x-none"/>
        </w:rPr>
      </w:pPr>
      <w:r>
        <w:rPr>
          <w:rFonts w:eastAsia="Calibri"/>
          <w:i/>
          <w:iCs/>
          <w:color w:val="000000"/>
          <w:sz w:val="24"/>
          <w:szCs w:val="24"/>
          <w:shd w:fill="auto" w:val="clear"/>
          <w:lang w:val="x-none" w:eastAsia="x-none"/>
        </w:rPr>
      </w:r>
    </w:p>
    <w:p>
      <w:pPr>
        <w:pStyle w:val="Heading1"/>
        <w:keepLines/>
        <w:numPr>
          <w:ilvl w:val="3"/>
        </w:numPr>
        <w:tabs>
          <w:tab w:val="clear" w:pos="0"/>
        </w:tabs>
        <w:spacing w:before="120" w:after="60"/>
        <w:ind w:hanging="425" w:left="1134"/>
        <w:rPr>
          <w:b w:val="false"/>
          <w:iCs/>
          <w:color w:val="000000"/>
          <w:sz w:val="24"/>
          <w:szCs w:val="24"/>
          <w:highlight w:val="none"/>
          <w:shd w:fill="auto" w:val="clear"/>
          <w:lang w:val="ru-RU"/>
        </w:rPr>
      </w:pPr>
      <w:r>
        <w:rPr>
          <w:b w:val="false"/>
          <w:iCs/>
          <w:color w:val="000000"/>
          <w:sz w:val="24"/>
          <w:szCs w:val="24"/>
          <w:shd w:fill="auto" w:val="clear"/>
          <w:lang w:val="ru-RU"/>
        </w:rPr>
      </w:r>
    </w:p>
    <w:sectPr>
      <w:headerReference w:type="default" r:id="rId6"/>
      <w:headerReference w:type="first" r:id="rId7"/>
      <w:type w:val="nextPage"/>
      <w:pgSz w:w="11906" w:h="16838"/>
      <w:pgMar w:left="1134" w:right="992" w:gutter="0" w:header="680" w:top="851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revisionView w:insDel="0" w:formatting="0"/>
  <w:defaultTabStop w:val="327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link w:val="1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rsid w:val="00ea61a8"/>
    <w:pPr>
      <w:tabs>
        <w:tab w:val="clear" w:pos="0"/>
      </w:tabs>
      <w:ind w:hanging="0" w:left="0"/>
      <w:outlineLvl w:val="1"/>
    </w:pPr>
    <w:rPr/>
  </w:style>
  <w:style w:type="paragraph" w:styleId="Heading3">
    <w:name w:val="Heading 3"/>
    <w:basedOn w:val="Normal"/>
    <w:link w:val="31"/>
    <w:autoRedefine/>
    <w:qFormat/>
    <w:rsid w:val="00035e96"/>
    <w:pPr>
      <w:keepNext w:val="true"/>
      <w:tabs>
        <w:tab w:val="clear" w:pos="327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basedOn w:val="DefaultParagraphFont"/>
    <w:uiPriority w:val="99"/>
    <w:unhideWhenUsed/>
    <w:qFormat/>
    <w:rsid w:val="007450ef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1" w:customStyle="1">
    <w:name w:val="Заголовок 1 Знак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i/>
      <w:shd w:fill="FFFF99" w:val="clear"/>
    </w:rPr>
  </w:style>
  <w:style w:type="character" w:styleId="Style9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Заголовок 3 Знак1"/>
    <w:qFormat/>
    <w:rsid w:val="00b56f46"/>
    <w:rPr>
      <w:rFonts w:eastAsia="Calibri"/>
      <w:b/>
      <w:color w:val="00000A"/>
      <w:sz w:val="24"/>
      <w:szCs w:val="24"/>
      <w:lang w:val="x-none" w:eastAsia="x-none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главление 3 Знак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ы концевой сноски"/>
    <w:qFormat/>
    <w:rPr/>
  </w:style>
  <w:style w:type="character" w:styleId="WW8Num25z0" w:customStyle="1">
    <w:name w:val="WW8Num25z0"/>
    <w:qFormat/>
    <w:rPr>
      <w:b/>
    </w:rPr>
  </w:style>
  <w:style w:type="character" w:styleId="WW8Num46z0" w:customStyle="1">
    <w:name w:val="WW8Num46z0"/>
    <w:qFormat/>
    <w:rPr/>
  </w:style>
  <w:style w:type="character" w:styleId="WW8Num35z0" w:customStyle="1">
    <w:name w:val="WW8Num35z0"/>
    <w:qFormat/>
    <w:rPr>
      <w:rFonts w:ascii="Symbol" w:hAnsi="Symbol" w:cs="Symbol"/>
    </w:rPr>
  </w:style>
  <w:style w:type="character" w:styleId="WW8Num35z1" w:customStyle="1">
    <w:name w:val="WW8Num35z1"/>
    <w:qFormat/>
    <w:rPr>
      <w:rFonts w:ascii="Courier New" w:hAnsi="Courier New" w:cs="Courier New"/>
    </w:rPr>
  </w:style>
  <w:style w:type="character" w:styleId="WW8Num35z2" w:customStyle="1">
    <w:name w:val="WW8Num35z2"/>
    <w:qFormat/>
    <w:rPr>
      <w:rFonts w:ascii="Wingdings" w:hAnsi="Wingdings" w:cs="Wingdings"/>
    </w:rPr>
  </w:style>
  <w:style w:type="character" w:styleId="WW8Num68z0" w:customStyle="1">
    <w:name w:val="WW8Num68z0"/>
    <w:qFormat/>
    <w:rPr>
      <w:rFonts w:ascii="Symbol" w:hAnsi="Symbol" w:cs="Symbol"/>
    </w:rPr>
  </w:style>
  <w:style w:type="character" w:styleId="WW8Num68z1" w:customStyle="1">
    <w:name w:val="WW8Num68z1"/>
    <w:qFormat/>
    <w:rPr>
      <w:rFonts w:ascii="Courier New" w:hAnsi="Courier New" w:cs="Courier New"/>
    </w:rPr>
  </w:style>
  <w:style w:type="character" w:styleId="WW8Num68z2" w:customStyle="1">
    <w:name w:val="WW8Num68z2"/>
    <w:qFormat/>
    <w:rPr>
      <w:rFonts w:ascii="Wingdings" w:hAnsi="Wingdings" w:cs="Wingdings"/>
    </w:rPr>
  </w:style>
  <w:style w:type="character" w:styleId="WW8Num55z0" w:customStyle="1">
    <w:name w:val="WW8Num55z0"/>
    <w:qFormat/>
    <w:rPr>
      <w:rFonts w:ascii="Symbol" w:hAnsi="Symbol" w:cs="Symbol"/>
    </w:rPr>
  </w:style>
  <w:style w:type="character" w:styleId="WW8Num55z1" w:customStyle="1">
    <w:name w:val="WW8Num55z1"/>
    <w:qFormat/>
    <w:rPr>
      <w:rFonts w:ascii="Courier New" w:hAnsi="Courier New" w:cs="Courier New"/>
    </w:rPr>
  </w:style>
  <w:style w:type="character" w:styleId="WW8Num55z2" w:customStyle="1">
    <w:name w:val="WW8Num55z2"/>
    <w:qFormat/>
    <w:rPr>
      <w:rFonts w:ascii="Wingdings" w:hAnsi="Wingdings" w:cs="Wingdings"/>
    </w:rPr>
  </w:style>
  <w:style w:type="character" w:styleId="WW8Num56z0" w:customStyle="1">
    <w:name w:val="WW8Num56z0"/>
    <w:qFormat/>
    <w:rPr>
      <w:color w:val="000000"/>
    </w:rPr>
  </w:style>
  <w:style w:type="character" w:styleId="WW8Num56z1" w:customStyle="1">
    <w:name w:val="WW8Num56z1"/>
    <w:qFormat/>
    <w:rPr>
      <w:rFonts w:ascii="Symbol" w:hAnsi="Symbol" w:eastAsia="Times New Roman" w:cs="Times New Roman"/>
    </w:rPr>
  </w:style>
  <w:style w:type="character" w:styleId="WW8Num62z0" w:customStyle="1">
    <w:name w:val="WW8Num62z0"/>
    <w:qFormat/>
    <w:rPr/>
  </w:style>
  <w:style w:type="character" w:styleId="WW8Num62z1" w:customStyle="1">
    <w:name w:val="WW8Num62z1"/>
    <w:qFormat/>
    <w:rPr>
      <w:rFonts w:ascii="Symbol" w:hAnsi="Symbol" w:cs="Symbol"/>
    </w:rPr>
  </w:style>
  <w:style w:type="character" w:styleId="WW8Num53z0" w:customStyle="1">
    <w:name w:val="WW8Num53z0"/>
    <w:qFormat/>
    <w:rPr>
      <w:rFonts w:ascii="Symbol" w:hAnsi="Symbol" w:cs="Symbol"/>
    </w:rPr>
  </w:style>
  <w:style w:type="character" w:styleId="WW8Num53z1" w:customStyle="1">
    <w:name w:val="WW8Num53z1"/>
    <w:qFormat/>
    <w:rPr>
      <w:rFonts w:ascii="Courier New" w:hAnsi="Courier New" w:cs="Courier New"/>
    </w:rPr>
  </w:style>
  <w:style w:type="character" w:styleId="WW8Num53z2" w:customStyle="1">
    <w:name w:val="WW8Num53z2"/>
    <w:qFormat/>
    <w:rPr>
      <w:rFonts w:ascii="Wingdings" w:hAnsi="Wingdings" w:cs="Wingdings"/>
    </w:rPr>
  </w:style>
  <w:style w:type="character" w:styleId="WW8Num39z0" w:customStyle="1">
    <w:name w:val="WW8Num39z0"/>
    <w:qFormat/>
    <w:rPr>
      <w:rFonts w:ascii="Symbol" w:hAnsi="Symbol" w:cs="Symbol"/>
    </w:rPr>
  </w:style>
  <w:style w:type="character" w:styleId="WW8Num39z1" w:customStyle="1">
    <w:name w:val="WW8Num39z1"/>
    <w:qFormat/>
    <w:rPr>
      <w:rFonts w:ascii="Courier New" w:hAnsi="Courier New" w:cs="Courier New"/>
    </w:rPr>
  </w:style>
  <w:style w:type="character" w:styleId="WW8Num39z2" w:customStyle="1">
    <w:name w:val="WW8Num39z2"/>
    <w:qFormat/>
    <w:rPr>
      <w:rFonts w:ascii="Wingdings" w:hAnsi="Wingdings" w:cs="Wingdings"/>
    </w:rPr>
  </w:style>
  <w:style w:type="character" w:styleId="WW8Num66z0" w:customStyle="1">
    <w:name w:val="WW8Num66z0"/>
    <w:qFormat/>
    <w:rPr/>
  </w:style>
  <w:style w:type="character" w:styleId="WW8Num66z1" w:customStyle="1">
    <w:name w:val="WW8Num66z1"/>
    <w:qFormat/>
    <w:rPr>
      <w:rFonts w:ascii="Symbol" w:hAnsi="Symbol" w:cs="Symbol"/>
    </w:rPr>
  </w:style>
  <w:style w:type="character" w:styleId="WW8Num41z0" w:customStyle="1">
    <w:name w:val="WW8Num41z0"/>
    <w:qFormat/>
    <w:rPr>
      <w:rFonts w:ascii="Wingdings" w:hAnsi="Wingdings" w:cs="Wingdings"/>
    </w:rPr>
  </w:style>
  <w:style w:type="character" w:styleId="WW8Num41z1" w:customStyle="1">
    <w:name w:val="WW8Num41z1"/>
    <w:qFormat/>
    <w:rPr>
      <w:rFonts w:ascii="Courier New" w:hAnsi="Courier New" w:cs="Courier New"/>
    </w:rPr>
  </w:style>
  <w:style w:type="character" w:styleId="WW8Num41z3" w:customStyle="1">
    <w:name w:val="WW8Num41z3"/>
    <w:qFormat/>
    <w:rPr>
      <w:rFonts w:ascii="Symbol" w:hAnsi="Symbol" w:cs="Symbol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LineNumber">
    <w:name w:val="Line Number"/>
    <w:rPr/>
  </w:style>
  <w:style w:type="character" w:styleId="WW8Num45z0">
    <w:name w:val="WW8Num45z0"/>
    <w:qFormat/>
    <w:rPr>
      <w:rFonts w:ascii="Symbol" w:hAnsi="Symbol" w:cs="Symbol"/>
    </w:rPr>
  </w:style>
  <w:style w:type="character" w:styleId="WW8Num45z1">
    <w:name w:val="WW8Num45z1"/>
    <w:qFormat/>
    <w:rPr>
      <w:rFonts w:ascii="Courier New" w:hAnsi="Courier New" w:cs="Courier New"/>
    </w:rPr>
  </w:style>
  <w:style w:type="character" w:styleId="WW8Num45z2">
    <w:name w:val="WW8Num45z2"/>
    <w:qFormat/>
    <w:rPr>
      <w:rFonts w:ascii="Wingdings" w:hAnsi="Wingdings" w:cs="Wingdings"/>
    </w:rPr>
  </w:style>
  <w:style w:type="character" w:styleId="WW8Num58z0">
    <w:name w:val="WW8Num58z0"/>
    <w:qFormat/>
    <w:rPr>
      <w:rFonts w:ascii="Symbol" w:hAnsi="Symbol" w:cs="Symbol"/>
    </w:rPr>
  </w:style>
  <w:style w:type="character" w:styleId="WW8Num58z1">
    <w:name w:val="WW8Num58z1"/>
    <w:qFormat/>
    <w:rPr>
      <w:rFonts w:ascii="Courier New" w:hAnsi="Courier New" w:cs="Courier New"/>
    </w:rPr>
  </w:style>
  <w:style w:type="character" w:styleId="WW8Num58z2">
    <w:name w:val="WW8Num58z2"/>
    <w:qFormat/>
    <w:rPr>
      <w:rFonts w:ascii="Wingdings" w:hAnsi="Wingdings" w:cs="Wingdings"/>
    </w:rPr>
  </w:style>
  <w:style w:type="character" w:styleId="WW8Num33z0">
    <w:name w:val="WW8Num33z0"/>
    <w:qFormat/>
    <w:rPr>
      <w:rFonts w:ascii="Symbol" w:hAnsi="Symbol" w:cs="Symbol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60z0">
    <w:name w:val="WW8Num60z0"/>
    <w:qFormat/>
    <w:rPr>
      <w:rFonts w:ascii="Symbol" w:hAnsi="Symbol" w:cs="Symbol"/>
    </w:rPr>
  </w:style>
  <w:style w:type="character" w:styleId="WW8Num60z1">
    <w:name w:val="WW8Num60z1"/>
    <w:qFormat/>
    <w:rPr>
      <w:rFonts w:ascii="Courier New" w:hAnsi="Courier New" w:cs="Courier New"/>
    </w:rPr>
  </w:style>
  <w:style w:type="character" w:styleId="WW8Num60z2">
    <w:name w:val="WW8Num60z2"/>
    <w:qFormat/>
    <w:rPr>
      <w:rFonts w:ascii="Wingdings" w:hAnsi="Wingdings" w:cs="Wingdings"/>
    </w:rPr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67z0">
    <w:name w:val="WW8Num67z0"/>
    <w:qFormat/>
    <w:rPr>
      <w:rFonts w:ascii="Symbol" w:hAnsi="Symbol" w:cs="Symbol"/>
    </w:rPr>
  </w:style>
  <w:style w:type="character" w:styleId="WW8Num67z1">
    <w:name w:val="WW8Num67z1"/>
    <w:qFormat/>
    <w:rPr>
      <w:rFonts w:ascii="Courier New" w:hAnsi="Courier New" w:cs="Courier New"/>
    </w:rPr>
  </w:style>
  <w:style w:type="character" w:styleId="WW8Num67z2">
    <w:name w:val="WW8Num67z2"/>
    <w:qFormat/>
    <w:rPr>
      <w:rFonts w:ascii="Wingdings" w:hAnsi="Wingdings" w:cs="Wingdings"/>
    </w:rPr>
  </w:style>
  <w:style w:type="character" w:styleId="WW8Num54z0">
    <w:name w:val="WW8Num54z0"/>
    <w:qFormat/>
    <w:rPr/>
  </w:style>
  <w:style w:type="character" w:styleId="WW8Num54z1">
    <w:name w:val="WW8Num54z1"/>
    <w:qFormat/>
    <w:rPr>
      <w:rFonts w:ascii="Wingdings" w:hAnsi="Wingdings" w:cs="Wingdings"/>
    </w:rPr>
  </w:style>
  <w:style w:type="character" w:styleId="Strong">
    <w:name w:val="Strong"/>
    <w:qFormat/>
    <w:rPr>
      <w:b/>
      <w:bCs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FootnoteText">
    <w:name w:val="Footnote Text"/>
    <w:basedOn w:val="Normal"/>
    <w:pPr/>
    <w:rPr/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rsid w:val="0076353a"/>
    <w:pPr>
      <w:tabs>
        <w:tab w:val="clear" w:pos="327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327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qFormat/>
    <w:rsid w:val="0076353a"/>
    <w:pPr>
      <w:tabs>
        <w:tab w:val="clear" w:pos="327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3" w:customStyle="1">
    <w:name w:val="Пункт2"/>
    <w:basedOn w:val="Normal"/>
    <w:qFormat/>
    <w:rsid w:val="0076353a"/>
    <w:pPr>
      <w:keepNext w:val="true"/>
      <w:tabs>
        <w:tab w:val="clear" w:pos="327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link w:val="32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4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uiPriority w:val="39"/>
    <w:qFormat/>
    <w:rsid w:val="00d22f6d"/>
    <w:pPr>
      <w:keepLines/>
      <w:tabs>
        <w:tab w:val="clear" w:pos="0"/>
      </w:tabs>
      <w:spacing w:before="480" w:after="60"/>
      <w:ind w:hanging="0" w:left="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Основной текст с отступом 3 Знак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5" w:customStyle="1">
    <w:name w:val="Нумерованный список ур2"/>
    <w:basedOn w:val="Normal"/>
    <w:link w:val="22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327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6" w:customStyle="1">
    <w:name w:val="УРОВЕНЬ_Абзац_тип2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">
    <w:name w:val="Endnote Text"/>
    <w:basedOn w:val="Normal"/>
    <w:qFormat/>
    <w:rsid w:val="003879d4"/>
    <w:pPr/>
    <w:rPr>
      <w:sz w:val="20"/>
      <w:szCs w:val="20"/>
    </w:rPr>
  </w:style>
  <w:style w:type="paragraph" w:styleId="27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19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hanging="0" w:left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таблицы"/>
    <w:basedOn w:val="Normal"/>
    <w:qFormat/>
    <w:pPr/>
    <w:rPr/>
  </w:style>
  <w:style w:type="paragraph" w:styleId="Style36" w:customStyle="1">
    <w:name w:val="Заголовок таблицы"/>
    <w:basedOn w:val="Style35"/>
    <w:qFormat/>
    <w:pPr/>
    <w:rPr/>
  </w:style>
  <w:style w:type="paragraph" w:styleId="Msonormalmrcssattr" w:customStyle="1">
    <w:name w:val="msonormalmrcssattr"/>
    <w:basedOn w:val="Normal"/>
    <w:qFormat/>
    <w:pPr>
      <w:spacing w:beforeAutospacing="1" w:afterAutospacing="1"/>
    </w:pPr>
    <w:rPr>
      <w:rFonts w:eastAsia="Calibri" w:eastAsiaTheme="minorHAnsi"/>
    </w:rPr>
  </w:style>
  <w:style w:type="paragraph" w:styleId="Style37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TableParagraph">
    <w:name w:val="Table Paragraph"/>
    <w:basedOn w:val="Normal"/>
    <w:qFormat/>
    <w:pPr>
      <w:ind w:hanging="0" w:left="115"/>
    </w:pPr>
    <w:rPr/>
  </w:style>
  <w:style w:type="paragraph" w:styleId="Style38">
    <w:name w:val="НТ"/>
    <w:basedOn w:val="Normal"/>
    <w:qFormat/>
    <w:pPr/>
    <w:rPr>
      <w:b/>
      <w:sz w:val="24"/>
      <w:szCs w:val="24"/>
    </w:rPr>
  </w:style>
  <w:style w:type="paragraph" w:styleId="51">
    <w:name w:val="Н5"/>
    <w:basedOn w:val="Heading3"/>
    <w:qFormat/>
    <w:pPr>
      <w:numPr>
        <w:ilvl w:val="3"/>
      </w:numPr>
      <w:ind w:hanging="992" w:left="1418"/>
      <w:outlineLvl w:val="9"/>
    </w:pPr>
    <w:rPr>
      <w:b w:val="false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8" w:customStyle="1">
    <w:name w:val="Стиль2"/>
    <w:uiPriority w:val="99"/>
    <w:qFormat/>
    <w:rsid w:val="006629c9"/>
  </w:style>
  <w:style w:type="numbering" w:styleId="WW8Num25" w:customStyle="1">
    <w:name w:val="WW8Num25"/>
    <w:qFormat/>
  </w:style>
  <w:style w:type="numbering" w:styleId="WW8Num46" w:customStyle="1">
    <w:name w:val="WW8Num46"/>
    <w:qFormat/>
  </w:style>
  <w:style w:type="numbering" w:styleId="WW8Num35" w:customStyle="1">
    <w:name w:val="WW8Num35"/>
    <w:qFormat/>
  </w:style>
  <w:style w:type="numbering" w:styleId="WW8Num68" w:customStyle="1">
    <w:name w:val="WW8Num68"/>
    <w:qFormat/>
  </w:style>
  <w:style w:type="numbering" w:styleId="WW8Num55" w:customStyle="1">
    <w:name w:val="WW8Num55"/>
    <w:qFormat/>
  </w:style>
  <w:style w:type="numbering" w:styleId="WW8Num56" w:customStyle="1">
    <w:name w:val="WW8Num56"/>
    <w:qFormat/>
  </w:style>
  <w:style w:type="numbering" w:styleId="WW8Num62" w:customStyle="1">
    <w:name w:val="WW8Num62"/>
    <w:qFormat/>
  </w:style>
  <w:style w:type="numbering" w:styleId="WW8Num53" w:customStyle="1">
    <w:name w:val="WW8Num53"/>
    <w:qFormat/>
  </w:style>
  <w:style w:type="numbering" w:styleId="WW8Num39" w:customStyle="1">
    <w:name w:val="WW8Num39"/>
    <w:qFormat/>
  </w:style>
  <w:style w:type="numbering" w:styleId="WW8Num66" w:customStyle="1">
    <w:name w:val="WW8Num66"/>
    <w:qFormat/>
  </w:style>
  <w:style w:type="numbering" w:styleId="WW8Num41" w:customStyle="1">
    <w:name w:val="WW8Num41"/>
    <w:qFormat/>
  </w:style>
  <w:style w:type="numbering" w:styleId="WW8Num2" w:customStyle="1">
    <w:name w:val="WW8Num2"/>
    <w:qFormat/>
  </w:style>
  <w:style w:type="numbering" w:styleId="39766624161" w:customStyle="1">
    <w:name w:val="39766624161"/>
    <w:qFormat/>
  </w:style>
  <w:style w:type="numbering" w:styleId="WW8Num45">
    <w:name w:val="WW8Num45"/>
    <w:qFormat/>
  </w:style>
  <w:style w:type="numbering" w:styleId="WW8Num58">
    <w:name w:val="WW8Num58"/>
    <w:qFormat/>
  </w:style>
  <w:style w:type="numbering" w:styleId="WW8Num33">
    <w:name w:val="WW8Num33"/>
    <w:qFormat/>
  </w:style>
  <w:style w:type="numbering" w:styleId="WW8Num60">
    <w:name w:val="WW8Num60"/>
    <w:qFormat/>
  </w:style>
  <w:style w:type="numbering" w:styleId="WW8Num36">
    <w:name w:val="WW8Num36"/>
    <w:qFormat/>
  </w:style>
  <w:style w:type="numbering" w:styleId="WW8Num67">
    <w:name w:val="WW8Num67"/>
    <w:qFormat/>
  </w:style>
  <w:style w:type="numbering" w:styleId="WW8Num54">
    <w:name w:val="WW8Num54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23845-4124-4F1E-98E8-E9E4520D5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24486</TotalTime>
  <Application>AlterOffice/2026.2.0.0$Linux_X86_64 LibreOffice_project/bc4ef1adf80b36c7a6365f8ed6cbf29021361edd</Application>
  <AppVersion>15.0000</AppVersion>
  <Pages>10</Pages>
  <Words>1154</Words>
  <Characters>7677</Characters>
  <CharactersWithSpaces>8653</CharactersWithSpaces>
  <Paragraphs>242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2023-04-20T09:36:00Z</dcterms:created>
  <dc:creator>Быстров Олег Геннадьевич</dc:creator>
  <dc:description/>
  <dc:language>ru-RU</dc:language>
  <cp:lastModifiedBy>nikulshinaga@corp.gidroogk.com</cp:lastModifiedBy>
  <cp:lastPrinted>2024-10-09T13:11:00Z</cp:lastPrinted>
  <dcterms:modified xsi:type="dcterms:W3CDTF">2026-10-28T13:15:40Z</dcterms:modified>
  <cp:revision>229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