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9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footer1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lineRule="auto" w:line="276"/>
        <w:rPr/>
      </w:pPr>
      <w:r>
        <w:rPr/>
      </w:r>
    </w:p>
    <w:p>
      <w:pPr>
        <w:pStyle w:val="Style13"/>
        <w:spacing w:lineRule="auto" w:line="276"/>
        <w:rPr/>
      </w:pPr>
      <w:r>
        <w:rPr/>
      </w:r>
    </w:p>
    <w:p>
      <w:pPr>
        <w:pStyle w:val="Style13"/>
        <w:spacing w:lineRule="auto" w:line="276"/>
        <w:rPr/>
      </w:pPr>
      <w:r>
        <w:rPr/>
      </w:r>
    </w:p>
    <w:p>
      <w:pPr>
        <w:pStyle w:val="Style13"/>
        <w:spacing w:lineRule="auto" w:line="276"/>
        <w:outlineLvl w:val="9"/>
        <w:rPr/>
      </w:pPr>
      <w:r>
        <w:rPr/>
        <w:t>техническое задание</w:t>
      </w:r>
    </w:p>
    <w:p>
      <w:pPr>
        <w:pStyle w:val="Style14"/>
        <w:spacing w:lineRule="auto" w:line="276"/>
        <w:rPr/>
      </w:pPr>
      <w:r>
        <w:rPr/>
        <w:t>на выполнение работ по корректировке проектно-сметной документации на создание РАСЦО Республики Ингушетия в части информационной безопасности</w:t>
      </w:r>
      <w:r>
        <w:br w:type="page"/>
      </w:r>
    </w:p>
    <w:p>
      <w:pPr>
        <w:pStyle w:val="Style15"/>
        <w:spacing w:lineRule="auto" w:line="276" w:before="0" w:after="0"/>
        <w:ind w:hanging="0"/>
        <w:jc w:val="center"/>
        <w:rPr>
          <w:color w:val="auto"/>
        </w:rPr>
      </w:pPr>
      <w:r>
        <w:rPr>
          <w:b/>
          <w:bCs/>
          <w:color w:val="auto"/>
          <w:sz w:val="28"/>
          <w:szCs w:val="28"/>
        </w:rPr>
        <w:t>СОДЕРЖАНИЕ</w:t>
      </w:r>
      <w:r>
        <w:rPr>
          <w:color w:val="auto"/>
        </w:rPr>
        <w:t>: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fldChar w:fldCharType="begin"/>
          </w:r>
          <w:r>
            <w:rPr>
              <w:rStyle w:val="user"/>
              <w:vanish w:val="false"/>
            </w:rPr>
            <w:instrText xml:space="preserve"> TOC \z \o "1-3" \u \h</w:instrText>
          </w:r>
          <w:r>
            <w:rPr>
              <w:rStyle w:val="user"/>
              <w:vanish w:val="false"/>
            </w:rPr>
            <w:fldChar w:fldCharType="separate"/>
          </w:r>
          <w:r>
            <w:rPr>
              <w:rStyle w:val="user"/>
              <w:vanish w:val="false"/>
            </w:rPr>
            <w:t>1 ОБЩИЕ СВЕДЕНИЯ</w:t>
          </w:r>
          <w:r>
            <w:rPr>
              <w:vanish w:val="false"/>
            </w:rPr>
            <w:tab/>
            <w:t>3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1.1.  Полное наименование системы и ее условное обозначение</w:t>
            <w:tab/>
            <w:t>3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1.2. Наименование Заказчика</w:t>
            <w:tab/>
            <w:t>3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1.3. Наименование Исполнителя</w:t>
            <w:tab/>
            <w:t>3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1.4. Перечень документов, на основании которых производится корректировка проектной документации в части информационной безопасности</w:t>
            <w:tab/>
            <w:t>3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1.5. Сроки выполнения работ:</w:t>
            <w:tab/>
            <w:t>6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1.6. Источники финансирования</w:t>
            <w:tab/>
            <w:t>6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1.7. Порядок предоставления Заказчиком исходных данных</w:t>
            <w:tab/>
            <w:t>6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1.8. Определения, обозначения и сокращения</w:t>
            <w:tab/>
            <w:t>7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2 . ЦЕЛИ и НАЗНАЧЕНИЕ СОЗДАНИЯ СИСТЕМЫ</w:t>
            <w:tab/>
            <w:t>8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2.1. Назначение системы</w:t>
            <w:tab/>
            <w:t>8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2.1.1 Задачи системы оповещения</w:t>
            <w:tab/>
            <w:t>8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2.1.2 Задачи, решаемые в ходе корректировки проектно-технической документации в части информационной безопасности</w:t>
            <w:tab/>
            <w:t>8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3 ХАРАКТЕРИСТИКА СУЩЕСТВУЮЩЕЙ РЕГИОНАЛЬНОЙ СИСТЕМЫ ОПОВЕЩЕНИЯ НАСЕЛЕНИЯ РЕСПУБЛИКИ ИНГУШЕТИЯ</w:t>
            <w:tab/>
            <w:t>9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3.1 Характеристика региона</w:t>
            <w:tab/>
            <w:t>9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3.2 Сведения о существующей РСОН</w:t>
            <w:tab/>
            <w:t>11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 ТРЕБОВАНИЯ К региональной системЕ оповещения населения Республики Ингушетия</w:t>
            <w:tab/>
            <w:t>14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4.1 Требования к системе в целом</w:t>
            <w:tab/>
            <w:t>14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4.1.1 Требования к развитию структуры и функционирования системы</w:t>
            <w:tab/>
            <w:t>14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4.2 Требования к защите информации</w:t>
            <w:tab/>
            <w:t>14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4.3 Требования к разработке раздела проектно-технической документации, содержащего мероприятия по обеспечению защиты информации в системе оповещения населения</w:t>
            <w:tab/>
            <w:t>15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4.3.1 Требования к разработке модели угроз безопасности</w:t>
            <w:tab/>
            <w:t>16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4.3.2 Требования к разработке частного технического задания на создание системы защиты информации</w:t>
            <w:tab/>
            <w:t>17</w:t>
          </w:r>
        </w:p>
        <w:p>
          <w:pPr>
            <w:pStyle w:val="TOC3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4.4 Требования к корректировке проектно-технической документации системы защиты информации</w:t>
            <w:tab/>
            <w:t>17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5 СОСТАВ И СОДЕРЖАНИЕ РАБОТ ПО корректировке проектно-сметной документации в части информационной безопасности</w:t>
            <w:tab/>
            <w:t>19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6 ПОРЯДОК КОНТРОЛЯ И ПРИЕМКИ проектно-ТЕХНИЧЕСКОЙ документации в части информационной безопасности</w:t>
            <w:tab/>
            <w:t>20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7 ТРЕБОВАНИЯ К ДОКУМЕНТИРОВАНИЮ</w:t>
            <w:tab/>
            <w:t>21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7.1. Состав документации</w:t>
            <w:tab/>
            <w:t>21</w:t>
          </w:r>
        </w:p>
        <w:p>
          <w:pPr>
            <w:pStyle w:val="TOC2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7.2. Порядок внесения изменений в проектно-техническую документацию</w:t>
            <w:tab/>
            <w:t>21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rPr/>
          </w:pPr>
          <w:r>
            <w:rPr>
              <w:vanish w:val="false"/>
            </w:rPr>
            <w:t>8 ТРЕБОВАНИЯ К ИСПОЛНИТЕЛЮ</w:t>
            <w:tab/>
            <w:t>22</w:t>
          </w:r>
        </w:p>
        <w:p>
          <w:pPr>
            <w:pStyle w:val="TOC1"/>
            <w:tabs>
              <w:tab w:val="clear" w:pos="708"/>
              <w:tab w:val="right" w:pos="9070" w:leader="dot"/>
            </w:tabs>
            <w:spacing w:before="0" w:after="0"/>
            <w:rPr/>
          </w:pPr>
          <w:r>
            <w:rPr>
              <w:vanish w:val="false"/>
            </w:rPr>
            <w:t>Перечень и адреса существующих объектов РСОН Республики Ингушетия</w:t>
            <w:tab/>
            <w:t>23</w:t>
          </w:r>
          <w:r>
            <w:rPr>
              <w:vanish w:val="false"/>
            </w:rPr>
            <w:fldChar w:fldCharType="end"/>
          </w:r>
        </w:p>
        <w:p>
          <w:pPr>
            <w:sectPr>
              <w:headerReference w:type="even" r:id="rId2"/>
              <w:headerReference w:type="default" r:id="rId3"/>
              <w:headerReference w:type="first" r:id="rId4"/>
              <w:type w:val="nextPage"/>
              <w:pgSz w:w="11906" w:h="16838"/>
              <w:pgMar w:left="1701" w:right="1134" w:gutter="0" w:header="709" w:top="1134" w:footer="0" w:bottom="1134"/>
              <w:pgNumType w:fmt="decimal"/>
              <w:formProt w:val="false"/>
              <w:titlePg/>
              <w:textDirection w:val="lrTb"/>
              <w:docGrid w:type="default" w:linePitch="360" w:charSpace="0"/>
            </w:sectPr>
          </w:pPr>
        </w:p>
      </w:sdtContent>
    </w:sdt>
    <w:p>
      <w:pPr>
        <w:pStyle w:val="Heading1"/>
        <w:ind w:firstLine="851" w:start="0"/>
        <w:rPr/>
      </w:pPr>
      <w:bookmarkStart w:id="0" w:name="__RefHeading___Toc11514_1778912248"/>
      <w:bookmarkStart w:id="1" w:name="_Toc244014960"/>
      <w:bookmarkStart w:id="2" w:name="_Toc244022889"/>
      <w:bookmarkEnd w:id="0"/>
      <w:r>
        <w:rPr/>
        <w:t>ОБЩИЕ СВЕДЕНИЯ</w:t>
      </w:r>
      <w:bookmarkEnd w:id="1"/>
      <w:bookmarkEnd w:id="2"/>
    </w:p>
    <w:p>
      <w:pPr>
        <w:pStyle w:val="Heading2"/>
        <w:numPr>
          <w:ilvl w:val="1"/>
          <w:numId w:val="17"/>
        </w:numPr>
        <w:rPr/>
      </w:pPr>
      <w:bookmarkStart w:id="3" w:name="__RefHeading___Toc11516_1778912248"/>
      <w:bookmarkEnd w:id="3"/>
      <w:r>
        <w:rPr/>
        <w:t xml:space="preserve"> </w:t>
      </w:r>
      <w:bookmarkStart w:id="4" w:name="_Toc244014961"/>
      <w:bookmarkStart w:id="5" w:name="_Toc244022890"/>
      <w:r>
        <w:rPr/>
        <w:t>Полное наименование системы и ее условное обозначение</w:t>
      </w:r>
      <w:bookmarkEnd w:id="4"/>
      <w:bookmarkEnd w:id="5"/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Полное наименование системы: Региональная система оповещения населения Республики Ингушетия.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Краткое наименование системы: РСОН Республики Ингушетия.</w:t>
      </w:r>
    </w:p>
    <w:p>
      <w:pPr>
        <w:pStyle w:val="12"/>
        <w:ind w:hanging="0"/>
        <w:rPr/>
      </w:pPr>
      <w:r>
        <w:rPr/>
      </w:r>
    </w:p>
    <w:p>
      <w:pPr>
        <w:pStyle w:val="Heading2"/>
        <w:numPr>
          <w:ilvl w:val="1"/>
          <w:numId w:val="17"/>
        </w:numPr>
        <w:rPr/>
      </w:pPr>
      <w:bookmarkStart w:id="6" w:name="__RefHeading___Toc11518_1778912248"/>
      <w:bookmarkStart w:id="7" w:name="_Toc244014962"/>
      <w:bookmarkStart w:id="8" w:name="_Toc244022891"/>
      <w:bookmarkEnd w:id="6"/>
      <w:r>
        <w:rPr/>
        <w:t>Наименование Заказчика</w:t>
      </w:r>
      <w:bookmarkEnd w:id="7"/>
      <w:bookmarkEnd w:id="8"/>
    </w:p>
    <w:p>
      <w:pPr>
        <w:pStyle w:val="12"/>
        <w:spacing w:lineRule="auto" w:line="276"/>
        <w:ind w:hanging="0" w:start="0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«Ростелеком».</w:t>
      </w:r>
    </w:p>
    <w:p>
      <w:pPr>
        <w:pStyle w:val="Heading2"/>
        <w:numPr>
          <w:ilvl w:val="1"/>
          <w:numId w:val="17"/>
        </w:numPr>
        <w:rPr/>
      </w:pPr>
      <w:bookmarkStart w:id="9" w:name="__RefHeading___Toc11520_1778912248"/>
      <w:bookmarkStart w:id="10" w:name="_Toc244014963"/>
      <w:bookmarkStart w:id="11" w:name="_Toc244022892"/>
      <w:bookmarkEnd w:id="9"/>
      <w:r>
        <w:rPr/>
        <w:t>Наименование Исполнителя</w:t>
      </w:r>
      <w:bookmarkEnd w:id="10"/>
      <w:bookmarkEnd w:id="11"/>
    </w:p>
    <w:p>
      <w:pPr>
        <w:pStyle w:val="12"/>
        <w:rPr/>
      </w:pPr>
      <w:r>
        <w:rPr/>
      </w:r>
    </w:p>
    <w:p>
      <w:pPr>
        <w:pStyle w:val="Heading2"/>
        <w:numPr>
          <w:ilvl w:val="1"/>
          <w:numId w:val="17"/>
        </w:numPr>
        <w:ind w:firstLine="851" w:start="0"/>
        <w:jc w:val="both"/>
        <w:rPr/>
      </w:pPr>
      <w:bookmarkStart w:id="12" w:name="__RefHeading___Toc11522_1778912248"/>
      <w:bookmarkStart w:id="13" w:name="_Toc244022893"/>
      <w:bookmarkStart w:id="14" w:name="_Toc244014964"/>
      <w:bookmarkEnd w:id="12"/>
      <w:r>
        <w:rPr/>
        <w:t xml:space="preserve">Перечень документов, на основании которых производится </w:t>
      </w:r>
      <w:bookmarkEnd w:id="14"/>
      <w:r>
        <w:rPr/>
        <w:t>корректировка проектной документации в части информационной безопасности</w:t>
      </w:r>
      <w:bookmarkEnd w:id="13"/>
      <w:r>
        <w:rPr/>
        <w:t xml:space="preserve"> 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Федеральный закон от 21.12.1994 г. № 68-ФЗ «О защите населения и территорий от чрезвычайных ситуаций природного и техногенного характера»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Федеральный закон от 12.02.1998 г. № 28-ФЗ «О гражданской обороне»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Закон РФ от 27.12.1991 г. № 2124-1 «О средствах массовой информации»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Федеральный закон от 21.07.1997 г. № 116-ФЗ «О промышленной безопасности опасных производственных объектов»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Федеральный закон от 07.07.2003 г. № 126-ФЗ «О связи»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Федеральный закон от 06.10.2003 г. № 131-ФЗ «Об общих принципах организации местного самоуправления в Российской Федерации»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Федеральный закон от 27 июля 2006 года № 149-ФЗ «Об информации, информационных технологиях и о защите информации»;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Федеральный закон от 27 июля 2006 года № 152-ФЗ «О персональных данных»;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01 ноября 2012 года № 1119 «Об утверждении требований к защите персональных данных при их обработке в информационных системах персональных данных»;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16 ноября 2015 г. № 1236</w:t>
        <w:br/>
        <w:t>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17 мая 2023 г. № 769 «О порядке создания, реконструкции и поддержания в состоянии постоянной готовности к использованию систем оповещения населения»;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24.03.1997 г. № 334 «О порядке сбора и обмена в Российской Федерации информации в области защиты населения и территорий от чрезвычайных ситуаций природного и техногенного характера»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30.12.2003 г. № 794 «О единой государственной системе предупреждения и ликвидации чрезвычайных ситуаций» (с изменениями и дополнениями);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26.11.2007 г. № 804 «Об утверждении Положения о гражданской обороне в Российской Федерации» (с изменениями и дополнениями)»;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Указ Президента Российской Федерации от 13.11.2012 № 1522 «О 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Приказ МЧС России и Минцифры России от 31.07.2020 г. № 578/365 «Об утверждении Положения о системах оповещения населения»;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Приказ МЧС России и Минцифры России от 31.07.2020 г. № 579/366 «Об утверждении Положения по организации эксплуатационно-технического обслуживания систем оповещения населения»;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Приказ Минцифры России от 18.01.2023 № 21 «Об утверждении Методических рекомендаций по переходу на использование российского программного обеспечения, в том числе на значимых объектах критической информационной инфраструктуры Российской Федерации, и о реализации мер,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Приказ ФСТЭК России от 11 апреля 2025 года №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Приказ ФСТЭК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Приказ ФСБ России от 10 июля 2014 года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Приказ ФСБ России от 22 августа 2026 г. № 321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учреждений, а также при использовании технических средств и программ для электронных вычислительных машин и баз данных в соответствии с частью 5-1 статьи 13 Федерального закона от 27 июля 2006 г. № 149-ФЗ "Об информации, информационных технологиях и о защите информации" с использованием шифровальных (криптографических) средств»;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22.7.04-2022 «Безопасность в чрезвычайных ситуациях. Региональные автоматизированные системы централизованного оповещения. Общие требования»;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42.3.05-2023 «Гражданская оборона. Технические средства оповещения населения. Протоколы информационного обмена. Общие требования»;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53111-2008 «Устойчивость функционирования сети связи общего пользования. Требования и методы проверки»;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22.7.01-2021 «Безопасность в чрезвычайных ситуациях. Единая дежурно-диспетчерская служба. Основные положения»;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42.3.01-2021 «Гражданская оборона. Технические средства оповещения населения. Классификация. Общие технические требования»;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53033-2008 «Громкоговорители рупорные. Общие технические условия»;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51624 «Защита информации. Автоматизированные системы в защищенном исполнении. Общие требования»;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ГОСТ Р 51583-2014 «Национальный стандарт Российской Федерации. Защита информации. Порядок создания автоматизированных систем в защищенном исполнении. Общие положения»;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СП 165.1325800.2014 «Свод правил. Инженерно-технические мероприятия по гражданской обороне Актуализированная редакция СНиП 2.01.51-90»;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СП 133.13330.2012 «Свод правил. Сети проводного радиовещания и оповещения в зданиях и сооружениях. Нормы проектирования»;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СП 134.13330.2022 «Свод правил. Системы электросвязи зданий и сооружений. Основные положения проектирования»;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поддержанию в состоянии постоянной готовности к использованию систем оповещения населения (утверждены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 июня 2024 г. № 2);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Справочник «Технические средства оповещения», одобренный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20 декабря 2023 № 1;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Республики Ингушетия от 21 февраля 2015 г. № 33 «Об утверждении государственной программы Республики Ингушетия «Защита населения и территории от чрезвычайных ситуаций и обеспечение пожарной безопасности»;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Республики Ингушетия от 4 июня 2021 г. N 71 «Об утверждении Положения о системах оповещения населения Республики Ингушетия об опасностях»;</w:t>
      </w:r>
    </w:p>
    <w:p>
      <w:pPr>
        <w:pStyle w:val="12"/>
        <w:numPr>
          <w:ilvl w:val="0"/>
          <w:numId w:val="2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Республики Ингушетия от 23 ноября 2023 г. N 160 «Об определении границ зон экстренного оповещения населения Республики Ингушетия».</w:t>
      </w:r>
    </w:p>
    <w:p>
      <w:pPr>
        <w:pStyle w:val="12"/>
        <w:spacing w:lineRule="auto" w:line="276"/>
        <w:ind w:hanging="0" w:start="851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2"/>
        <w:numPr>
          <w:ilvl w:val="1"/>
          <w:numId w:val="17"/>
        </w:numPr>
        <w:rPr/>
      </w:pPr>
      <w:bookmarkStart w:id="15" w:name="__RefHeading___Toc11524_1778912248"/>
      <w:bookmarkStart w:id="16" w:name="_Toc244014965"/>
      <w:bookmarkStart w:id="17" w:name="_Toc244022894"/>
      <w:bookmarkEnd w:id="15"/>
      <w:r>
        <w:rPr/>
        <w:t>Сроки выполнения работ:</w:t>
      </w:r>
      <w:bookmarkEnd w:id="16"/>
      <w:bookmarkEnd w:id="17"/>
    </w:p>
    <w:p>
      <w:pPr>
        <w:pStyle w:val="Normal"/>
        <w:spacing w:lineRule="auto" w:line="27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 даты заключения Договора по 18.12.2026 г.</w:t>
      </w:r>
    </w:p>
    <w:p>
      <w:pPr>
        <w:pStyle w:val="Normal"/>
        <w:spacing w:lineRule="auto" w:line="276"/>
        <w:ind w:firstLine="851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2"/>
        <w:numPr>
          <w:ilvl w:val="1"/>
          <w:numId w:val="17"/>
        </w:numPr>
        <w:rPr/>
      </w:pPr>
      <w:bookmarkStart w:id="18" w:name="__RefHeading___Toc11526_1778912248"/>
      <w:bookmarkStart w:id="19" w:name="_Toc244014966"/>
      <w:bookmarkStart w:id="20" w:name="_Toc244022895"/>
      <w:bookmarkEnd w:id="18"/>
      <w:r>
        <w:rPr/>
        <w:t>Источники финансирования</w:t>
      </w:r>
      <w:bookmarkEnd w:id="19"/>
      <w:bookmarkEnd w:id="20"/>
      <w:r>
        <w:rPr/>
        <w:t xml:space="preserve"> 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Финансирование осуществляется из бюджета Республики Ингушетия.</w:t>
      </w:r>
    </w:p>
    <w:p>
      <w:pPr>
        <w:pStyle w:val="12"/>
        <w:spacing w:lineRule="auto" w:line="276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2"/>
        <w:numPr>
          <w:ilvl w:val="1"/>
          <w:numId w:val="17"/>
        </w:numPr>
        <w:rPr/>
      </w:pPr>
      <w:bookmarkStart w:id="21" w:name="__RefHeading___Toc11528_1778912248"/>
      <w:bookmarkStart w:id="22" w:name="_Ref98676605"/>
      <w:bookmarkStart w:id="23" w:name="_Toc244014967"/>
      <w:bookmarkStart w:id="24" w:name="_Toc244022896"/>
      <w:bookmarkEnd w:id="21"/>
      <w:r>
        <w:rPr/>
        <w:t>Порядок предоставления Заказчиком исходных данных</w:t>
      </w:r>
      <w:bookmarkEnd w:id="22"/>
      <w:bookmarkEnd w:id="23"/>
      <w:bookmarkEnd w:id="24"/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Перечень исходных данных, предоставляемых Заказчиком: </w:t>
      </w:r>
    </w:p>
    <w:p>
      <w:pPr>
        <w:pStyle w:val="12"/>
        <w:numPr>
          <w:ilvl w:val="0"/>
          <w:numId w:val="1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сведения о составе существующего оборудования системы оповещения РСОН Республики Ингушетия;</w:t>
      </w:r>
    </w:p>
    <w:p>
      <w:pPr>
        <w:pStyle w:val="12"/>
        <w:numPr>
          <w:ilvl w:val="0"/>
          <w:numId w:val="1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перечень муниципальных образований и населенных пунктов Республики Ингушетия;</w:t>
      </w:r>
    </w:p>
    <w:p>
      <w:pPr>
        <w:pStyle w:val="12"/>
        <w:numPr>
          <w:ilvl w:val="0"/>
          <w:numId w:val="1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проектно-сметная документация на создание РАСЦО Республики Ингушетия, шифр 0114500000820001561-302209-02.12.20-1, 2023 г.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Исходные данные предоставляются Исполнителю в виде схем, таблиц, планов и текстовых документов. Перечень предоставляемых Заказчиком исходных данных может уточняться и дополняться в процессе проведения проектных работ на основании официальных запросов со стороны Исполнителя.</w:t>
      </w:r>
    </w:p>
    <w:p>
      <w:pPr>
        <w:pStyle w:val="12"/>
        <w:spacing w:lineRule="auto" w:line="276"/>
        <w:ind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numPr>
          <w:ilvl w:val="1"/>
          <w:numId w:val="17"/>
        </w:numPr>
        <w:rPr/>
      </w:pPr>
      <w:bookmarkStart w:id="25" w:name="__RefHeading___Toc11530_1778912248"/>
      <w:bookmarkStart w:id="26" w:name="_Toc244014968"/>
      <w:bookmarkStart w:id="27" w:name="_Toc244022897"/>
      <w:bookmarkEnd w:id="25"/>
      <w:r>
        <w:rPr/>
        <w:t>Определения, обозначения и сокращения</w:t>
      </w:r>
      <w:bookmarkEnd w:id="26"/>
      <w:bookmarkEnd w:id="27"/>
    </w:p>
    <w:tbl>
      <w:tblPr>
        <w:tblW w:w="5000" w:type="pct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94"/>
        <w:gridCol w:w="2042"/>
        <w:gridCol w:w="7329"/>
      </w:tblGrid>
      <w:tr>
        <w:trPr>
          <w:tblHeader w:val="true"/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Расшифровка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АРМ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Автоматизированное рабочее место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Автоматизированная система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ДДС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Дежурно-диспетчерская служба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/>
            </w:pPr>
            <w:r>
              <w:rPr>
                <w:sz w:val="28"/>
                <w:szCs w:val="28"/>
              </w:rPr>
              <w:t>ЗПУ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Запасной пункт управления регионального уровня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ЕДДС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дежурно-диспетчерская служба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ЕСЭС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сеть электросвязи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КТС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технических средств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МСОН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Местная система оповещения населения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Опасные производственные объекты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/>
            </w:pPr>
            <w:r>
              <w:rPr>
                <w:sz w:val="28"/>
                <w:szCs w:val="28"/>
              </w:rPr>
              <w:t>Программное обеспечение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управления регионального уровня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ПУЭ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эксплуатации электроустановок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ПЭВМ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Персональная электронно-вычислительная машина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РСОН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/>
            </w:pPr>
            <w:r>
              <w:rPr>
                <w:sz w:val="28"/>
                <w:szCs w:val="28"/>
              </w:rPr>
              <w:t>Региональная система оповещения населения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РСЧС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/>
            </w:pPr>
            <w:r>
              <w:rPr>
                <w:sz w:val="28"/>
                <w:szCs w:val="28"/>
              </w:rPr>
              <w:t>Единая государственная система предупреждения и ликвидации чрезвычайных ситуаций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>ЗИ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защиты информации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СрЗИ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защиты информации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СРУ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Сиренно-речевые установки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ТЗ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Техническое задание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ТСО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Технические средства оповещения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numPr>
                <w:ilvl w:val="0"/>
                <w:numId w:val="16"/>
              </w:numPr>
              <w:snapToGrid w:val="false"/>
              <w:spacing w:lineRule="auto" w:line="276"/>
              <w:ind w:hanging="0" w:start="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ЧС</w:t>
            </w:r>
          </w:p>
        </w:tc>
        <w:tc>
          <w:tcPr>
            <w:tcW w:w="7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76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Чрезвычайная ситуация</w:t>
            </w:r>
          </w:p>
        </w:tc>
      </w:tr>
    </w:tbl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firstLine="851" w:start="0"/>
        <w:rPr/>
      </w:pPr>
      <w:bookmarkStart w:id="28" w:name="__RefHeading___Toc11532_1778912248"/>
      <w:bookmarkStart w:id="29" w:name="_Toc244014969"/>
      <w:bookmarkStart w:id="30" w:name="_Toc244022898"/>
      <w:bookmarkEnd w:id="28"/>
      <w:r>
        <w:rPr/>
        <w:t>. ЦЕЛИ и НАЗНАЧЕНИЕ СОЗДАНИЯ СИСТЕМЫ</w:t>
      </w:r>
      <w:bookmarkEnd w:id="29"/>
      <w:bookmarkEnd w:id="30"/>
    </w:p>
    <w:p>
      <w:pPr>
        <w:pStyle w:val="Heading2"/>
        <w:rPr/>
      </w:pPr>
      <w:bookmarkStart w:id="31" w:name="__RefHeading___Toc11534_1778912248"/>
      <w:bookmarkStart w:id="32" w:name="_Toc244014970"/>
      <w:bookmarkStart w:id="33" w:name="_Toc244022899"/>
      <w:bookmarkEnd w:id="31"/>
      <w:r>
        <w:rPr/>
        <w:t>2.1. Назначение системы</w:t>
      </w:r>
      <w:bookmarkEnd w:id="32"/>
      <w:bookmarkEnd w:id="33"/>
      <w:r>
        <w:rPr/>
        <w:t xml:space="preserve"> </w:t>
      </w:r>
    </w:p>
    <w:p>
      <w:pPr>
        <w:pStyle w:val="Heading3"/>
        <w:ind w:firstLine="709" w:start="0"/>
        <w:rPr/>
      </w:pPr>
      <w:bookmarkStart w:id="34" w:name="__RefHeading___Toc11536_1778912248"/>
      <w:bookmarkStart w:id="35" w:name="_Toc244014971"/>
      <w:bookmarkStart w:id="36" w:name="_Toc244022900"/>
      <w:bookmarkEnd w:id="34"/>
      <w:r>
        <w:rPr/>
        <w:t>Задачи системы оповещения</w:t>
      </w:r>
      <w:bookmarkEnd w:id="35"/>
      <w:bookmarkEnd w:id="36"/>
    </w:p>
    <w:p>
      <w:pPr>
        <w:pStyle w:val="12"/>
        <w:spacing w:lineRule="auto" w:line="276"/>
        <w:rPr/>
      </w:pPr>
      <w:r>
        <w:rPr>
          <w:sz w:val="28"/>
          <w:szCs w:val="28"/>
        </w:rPr>
        <w:t>Основной задачей региональной системы оповещения населения Республики Ингушетия является обеспечение доведения сигналов оповещения и экстренной информации до:</w:t>
      </w:r>
    </w:p>
    <w:p>
      <w:pPr>
        <w:pStyle w:val="12"/>
        <w:numPr>
          <w:ilvl w:val="0"/>
          <w:numId w:val="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руководящего состава ГО и РСЧС Республики Ингушетия;</w:t>
      </w:r>
    </w:p>
    <w:p>
      <w:pPr>
        <w:pStyle w:val="12"/>
        <w:numPr>
          <w:ilvl w:val="0"/>
          <w:numId w:val="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органа, специально уполномоченного решать задачи гражданской обороны и задачи по предупреждению и ликвидации чрезвычайных ситуаций по субъекту Российской Федерации - Главного управления МЧС по Республике Ингушетия;</w:t>
      </w:r>
    </w:p>
    <w:p>
      <w:pPr>
        <w:pStyle w:val="12"/>
        <w:numPr>
          <w:ilvl w:val="0"/>
          <w:numId w:val="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органов, специально уполномоченных на решение задач в области защиты населения и территорий от чрезвычайных ситуаций и гражданской обороны при органах местного самоуправления;</w:t>
      </w:r>
    </w:p>
    <w:p>
      <w:pPr>
        <w:pStyle w:val="12"/>
        <w:numPr>
          <w:ilvl w:val="0"/>
          <w:numId w:val="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единых дежурно-диспетчерских служб муниципальных образований;</w:t>
      </w:r>
    </w:p>
    <w:p>
      <w:pPr>
        <w:pStyle w:val="12"/>
        <w:numPr>
          <w:ilvl w:val="0"/>
          <w:numId w:val="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сил ГО и РСЧС Республики Ингушетия;</w:t>
      </w:r>
    </w:p>
    <w:p>
      <w:pPr>
        <w:pStyle w:val="12"/>
        <w:numPr>
          <w:ilvl w:val="0"/>
          <w:numId w:val="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дежурных (дежурно-диспетчерских) служб организаций, эксплуатирующих опасные производственные объекты I и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>
      <w:pPr>
        <w:pStyle w:val="12"/>
        <w:numPr>
          <w:ilvl w:val="0"/>
          <w:numId w:val="8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 xml:space="preserve">людей, находящихся на территории соответствующего муниципального образования Республики Ингушетия. </w:t>
      </w:r>
    </w:p>
    <w:p>
      <w:pPr>
        <w:pStyle w:val="Heading3"/>
        <w:ind w:firstLine="709" w:start="0"/>
        <w:rPr/>
      </w:pPr>
      <w:bookmarkStart w:id="37" w:name="__RefHeading___Toc11538_1778912248"/>
      <w:bookmarkStart w:id="38" w:name="_Toc244022901"/>
      <w:bookmarkStart w:id="39" w:name="_Toc244014972"/>
      <w:bookmarkEnd w:id="37"/>
      <w:r>
        <w:rPr/>
        <w:t>Задачи, решаемые в ходе корректировки проектно-технической документации</w:t>
      </w:r>
      <w:bookmarkEnd w:id="39"/>
      <w:r>
        <w:rPr/>
        <w:t xml:space="preserve"> в части информационной безопасности</w:t>
      </w:r>
      <w:bookmarkEnd w:id="38"/>
    </w:p>
    <w:p>
      <w:pPr>
        <w:pStyle w:val="12"/>
        <w:rPr>
          <w:sz w:val="28"/>
          <w:szCs w:val="28"/>
        </w:rPr>
      </w:pPr>
      <w:r>
        <w:rPr>
          <w:sz w:val="28"/>
          <w:szCs w:val="28"/>
        </w:rPr>
        <w:t>Корректировка проектно-технической документации в части информационной безопасности основывается на необходимости уточнения технической составляющей РСОН Республики Ингушетия, которая связана с разработкой и внедрением мероприятий по обеспечению защиты информации в системе оповещения населения.</w:t>
      </w:r>
    </w:p>
    <w:p>
      <w:pPr>
        <w:pStyle w:val="Heading1"/>
        <w:ind w:firstLine="851" w:start="0"/>
        <w:rPr/>
      </w:pPr>
      <w:bookmarkStart w:id="40" w:name="__RefHeading___Toc11540_1778912248"/>
      <w:bookmarkStart w:id="41" w:name="_Toc244014986"/>
      <w:bookmarkStart w:id="42" w:name="_Toc244022902"/>
      <w:bookmarkStart w:id="43" w:name="_Toc244014973"/>
      <w:bookmarkStart w:id="44" w:name="_Toc244014974"/>
      <w:bookmarkStart w:id="45" w:name="_Toc244014975"/>
      <w:bookmarkStart w:id="46" w:name="_Toc244014976"/>
      <w:bookmarkStart w:id="47" w:name="_Toc244014977"/>
      <w:bookmarkStart w:id="48" w:name="_Toc244014978"/>
      <w:bookmarkStart w:id="49" w:name="_Toc244014979"/>
      <w:bookmarkStart w:id="50" w:name="_Toc244014980"/>
      <w:bookmarkStart w:id="51" w:name="_Toc244014981"/>
      <w:bookmarkStart w:id="52" w:name="_Toc244014982"/>
      <w:bookmarkStart w:id="53" w:name="_Toc244014983"/>
      <w:bookmarkStart w:id="54" w:name="_Toc244014984"/>
      <w:bookmarkStart w:id="55" w:name="_Toc244014985"/>
      <w:bookmarkEnd w:id="40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>
        <w:rPr/>
        <w:t>ХАРАКТЕРИСТИКА СУЩЕСТВУЮЩЕЙ РЕГИОНАЛЬНОЙ СИСТЕМЫ ОПОВЕЩЕНИЯ НАСЕЛЕНИЯ РЕСПУБЛИКИ ИНГУШЕТИЯ</w:t>
      </w:r>
      <w:bookmarkEnd w:id="41"/>
      <w:bookmarkEnd w:id="42"/>
    </w:p>
    <w:p>
      <w:pPr>
        <w:pStyle w:val="Heading3"/>
        <w:numPr>
          <w:ilvl w:val="1"/>
          <w:numId w:val="1"/>
        </w:numPr>
        <w:ind w:firstLine="851" w:start="851"/>
        <w:jc w:val="start"/>
        <w:rPr/>
      </w:pPr>
      <w:bookmarkStart w:id="56" w:name="__RefHeading___Toc11542_1778912248"/>
      <w:bookmarkStart w:id="57" w:name="_Toc244014987"/>
      <w:bookmarkStart w:id="58" w:name="_Toc244022903"/>
      <w:bookmarkEnd w:id="56"/>
      <w:r>
        <w:rPr/>
        <w:t>Характеристика региона</w:t>
      </w:r>
      <w:bookmarkEnd w:id="57"/>
      <w:bookmarkEnd w:id="58"/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Республика Ингушетия входит в Северо-Кавказский федеральный округ. Административный центр - г. Магас.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Регион граничит с Республикой Северная Осетия-Алания, Чеченской республикой, имеется участок государственной границы с Грузией. Площадь Республики Ингушетия равна 3 123 квадратным километрам.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Численность населения Республики Ингушетия по данным Росстата на 2026 год составляет 534 471 человек. Плотность населения - 171,15 чел/км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В административно-территориальном отношении Республика Ингушетия делится на 5 городских округов и 4 муниципальных района.</w:t>
      </w:r>
    </w:p>
    <w:p>
      <w:pPr>
        <w:pStyle w:val="12"/>
        <w:spacing w:lineRule="auto" w:line="276"/>
        <w:rPr/>
      </w:pPr>
      <w:r>
        <w:rPr/>
      </w:r>
    </w:p>
    <w:p>
      <w:pPr>
        <w:pStyle w:val="Caption"/>
        <w:keepNext w:val="true"/>
        <w:spacing w:lineRule="auto" w:line="276"/>
        <w:jc w:val="center"/>
        <w:rPr>
          <w:b w:val="false"/>
          <w:sz w:val="28"/>
          <w:szCs w:val="28"/>
        </w:rPr>
      </w:pPr>
      <w:bookmarkStart w:id="59" w:name="_Ref98676929"/>
      <w:r>
        <w:rPr>
          <w:b w:val="false"/>
          <w:sz w:val="28"/>
          <w:szCs w:val="28"/>
        </w:rPr>
        <w:t xml:space="preserve">Таблица </w:t>
      </w:r>
      <w:r>
        <w:rPr>
          <w:b w:val="false"/>
          <w:sz w:val="28"/>
          <w:szCs w:val="28"/>
        </w:rPr>
        <w:fldChar w:fldCharType="begin"/>
      </w:r>
      <w:r>
        <w:rPr>
          <w:b w:val="false"/>
          <w:sz w:val="28"/>
          <w:szCs w:val="28"/>
        </w:rPr>
        <w:instrText xml:space="preserve"> SEQ Таблица \* ARABIC </w:instrText>
      </w:r>
      <w:r>
        <w:rPr>
          <w:b w:val="false"/>
          <w:sz w:val="28"/>
          <w:szCs w:val="28"/>
        </w:rPr>
        <w:fldChar w:fldCharType="separate"/>
      </w:r>
      <w:r>
        <w:rPr>
          <w:b w:val="false"/>
          <w:sz w:val="28"/>
          <w:szCs w:val="28"/>
        </w:rPr>
        <w:t>1</w:t>
      </w:r>
      <w:r>
        <w:rPr>
          <w:b w:val="false"/>
          <w:sz w:val="28"/>
          <w:szCs w:val="28"/>
        </w:rPr>
        <w:fldChar w:fldCharType="end"/>
      </w:r>
      <w:bookmarkEnd w:id="59"/>
      <w:r>
        <w:rPr>
          <w:b w:val="false"/>
          <w:sz w:val="28"/>
          <w:szCs w:val="28"/>
        </w:rPr>
        <w:t xml:space="preserve"> - Перечень муниципальных образований, существующих ПУ МСОН </w:t>
      </w:r>
    </w:p>
    <w:tbl>
      <w:tblPr>
        <w:tblW w:w="5000" w:type="pct"/>
        <w:jc w:val="start"/>
        <w:tblInd w:w="-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4a0" w:noHBand="0" w:noVBand="1" w:firstColumn="1" w:lastRow="0" w:lastColumn="0" w:firstRow="1"/>
      </w:tblPr>
      <w:tblGrid>
        <w:gridCol w:w="415"/>
        <w:gridCol w:w="2422"/>
        <w:gridCol w:w="1856"/>
        <w:gridCol w:w="2653"/>
        <w:gridCol w:w="2719"/>
      </w:tblGrid>
      <w:tr>
        <w:trPr>
          <w:tblHeader w:val="true"/>
          <w:trHeight w:val="909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"/>
              <w:keepNext w:val="true"/>
              <w:spacing w:lineRule="auto" w:line="276"/>
              <w:ind w:firstLine="35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"/>
              <w:keepNext w:val="true"/>
              <w:spacing w:lineRule="auto" w:line="276"/>
              <w:ind w:hanging="0"/>
              <w:jc w:val="center"/>
              <w:rPr/>
            </w:pPr>
            <w:r>
              <w:rPr/>
              <w:t>Административное образование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"/>
              <w:keepNext w:val="true"/>
              <w:spacing w:lineRule="auto" w:line="276"/>
              <w:ind w:hanging="0"/>
              <w:jc w:val="center"/>
              <w:rPr/>
            </w:pPr>
            <w:r>
              <w:rPr/>
              <w:t>Население, чел.</w:t>
            </w:r>
          </w:p>
          <w:p>
            <w:pPr>
              <w:pStyle w:val="12"/>
              <w:keepNext w:val="true"/>
              <w:spacing w:lineRule="auto" w:line="276"/>
              <w:ind w:hanging="0"/>
              <w:jc w:val="center"/>
              <w:rPr/>
            </w:pPr>
            <w:r>
              <w:rPr/>
              <w:t>по</w:t>
            </w:r>
            <w:r>
              <w:rPr>
                <w:lang w:val="en-US"/>
              </w:rPr>
              <w:t> </w:t>
            </w:r>
            <w:r>
              <w:rPr/>
              <w:t>состоянию</w:t>
            </w:r>
          </w:p>
          <w:p>
            <w:pPr>
              <w:pStyle w:val="12"/>
              <w:keepNext w:val="true"/>
              <w:spacing w:lineRule="auto" w:line="276"/>
              <w:ind w:hanging="0"/>
              <w:jc w:val="center"/>
              <w:rPr/>
            </w:pPr>
            <w:r>
              <w:rPr/>
              <w:t>на 01.01.2026 г.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"/>
              <w:keepNext w:val="true"/>
              <w:spacing w:lineRule="auto" w:line="276"/>
              <w:ind w:hanging="0"/>
              <w:jc w:val="center"/>
              <w:rPr/>
            </w:pPr>
            <w:r>
              <w:rPr/>
              <w:t>Административный центр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"/>
              <w:keepNext w:val="true"/>
              <w:spacing w:lineRule="auto" w:line="276"/>
              <w:ind w:hanging="0"/>
              <w:jc w:val="center"/>
              <w:rPr/>
            </w:pPr>
            <w:r>
              <w:rPr/>
              <w:t>Существующие ПУ МСОН</w:t>
            </w:r>
          </w:p>
        </w:tc>
      </w:tr>
      <w:tr>
        <w:trPr>
          <w:trHeight w:val="714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Джейрахский район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4262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с. Джейрах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Джейрахский район, с.п. Джейрах, ул. Д.Льянова, 37</w:t>
            </w:r>
          </w:p>
        </w:tc>
      </w:tr>
      <w:tr>
        <w:trPr>
          <w:trHeight w:val="715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Малгобекский район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62194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37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 Малгобек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37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Малгобек, ул. Базоркина, 51</w:t>
            </w:r>
          </w:p>
        </w:tc>
      </w:tr>
      <w:tr>
        <w:trPr>
          <w:trHeight w:val="551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Назрановский район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112346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</w:t>
            </w:r>
            <w:r>
              <w:rPr>
                <w:rFonts w:eastAsia="Calibri" w:cs="Times New Roman"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Назрань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Назрань, пр-т И. Базоркина, 13</w:t>
            </w:r>
          </w:p>
        </w:tc>
      </w:tr>
      <w:tr>
        <w:trPr>
          <w:trHeight w:val="467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Сунженский район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61771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</w:t>
            </w:r>
            <w:r>
              <w:rPr>
                <w:rFonts w:eastAsia="Calibri" w:cs="Times New Roman"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Сунжа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С.п. Нестеровское, переулок Аушева 5А</w:t>
            </w:r>
          </w:p>
        </w:tc>
      </w:tr>
      <w:tr>
        <w:trPr>
          <w:trHeight w:val="398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город Карабулак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44643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 Карабулак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3" w:end="13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Карабулак, ул. Промысловая, 2/2</w:t>
            </w:r>
          </w:p>
        </w:tc>
      </w:tr>
      <w:tr>
        <w:trPr>
          <w:trHeight w:val="551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город Магас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19199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</w:t>
            </w:r>
            <w:r>
              <w:rPr>
                <w:rFonts w:eastAsia="Calibri" w:cs="Times New Roman"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Магас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Магас, ул. С. Озиева, д. 1</w:t>
            </w:r>
          </w:p>
        </w:tc>
      </w:tr>
      <w:tr>
        <w:trPr>
          <w:trHeight w:val="551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город Малгобек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38704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</w:t>
            </w:r>
            <w:r>
              <w:rPr>
                <w:rFonts w:eastAsia="Calibri" w:cs="Times New Roman"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Малгобек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Малгобек, ул. Базоркина, 51</w:t>
            </w:r>
          </w:p>
        </w:tc>
      </w:tr>
      <w:tr>
        <w:trPr>
          <w:trHeight w:val="552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город Назрань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127994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 Назрань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Назрань, пр-т И. Базоркина, 13</w:t>
            </w:r>
          </w:p>
        </w:tc>
      </w:tr>
      <w:tr>
        <w:trPr>
          <w:trHeight w:val="551" w:hRule="atLeast"/>
        </w:trPr>
        <w:tc>
          <w:tcPr>
            <w:tcW w:w="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9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город Сунжа</w:t>
            </w:r>
          </w:p>
        </w:tc>
        <w:tc>
          <w:tcPr>
            <w:tcW w:w="1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 w:end="943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63378</w:t>
            </w:r>
          </w:p>
        </w:tc>
        <w:tc>
          <w:tcPr>
            <w:tcW w:w="2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г. Сунжа</w:t>
            </w:r>
          </w:p>
        </w:tc>
        <w:tc>
          <w:tcPr>
            <w:tcW w:w="2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76"/>
              <w:ind w:start="10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 Сунжа, ул. Свердлова 1</w:t>
            </w:r>
          </w:p>
        </w:tc>
      </w:tr>
    </w:tbl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Угрозы возникновения чрезвычайных ситуаций природного и техногенного характера в Республики Ингушетия обусловлены следующими основными видами рисков: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риск угроз природного и техногенного характера при реализации новых крупных экономических и инфраструктурных проектов;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риск землетрясений;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>риск паводков высокой интенсивности;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риск промышленных аварий и катастроф;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>риск от загрязнения поверхностных и подземных источников питьевого водоснабжения;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экологический риск, связанный с химическим загрязнением окружающей среды;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экологический риск, связанный с осуществлением крупномасштабных проектов природопользования (освоение месторождений полезных ископаемых, и т.д.);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>риск от трансграничных загрязнений с сопредельных территорий, в том числе от крупномасштабных аварий и катастроф;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>риск от аномальных гидрометеорологических и геодеформационных проявлений, в том числе в местах выработок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риск аварий на объектах теплоснабжения и жилищно-коммунального хозяйства.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Повышенная вероятность возникновения аварий и катастроф природного и техногенного характера связана с географо-климатическими и геологическими особенностями территории Республики Ингушетия, территория которой располагается в сейсмоопасной зоне. 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Наиболее частыми причинами аварий и возникновения чрезвычайных ситуаций техногенного характера являются: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разрывы трубопроводов сточных вод, газопроводов и продуктопроводов;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взрывы газов и взрывчатых веществ;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аварийные сбросы сточных вод в результате обесточивания оборудования очистных сооружений;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пролив и возгорание нефтепродуктов; 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>места нелегального сброса токсичных и ядовитых веществ.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На территории Республики Ингушетия Постановлением Правительства Республики Ингушетия от 23 ноября 2023 г. N 160 «Об определении границ зон экстренного оповещения населения Республики Ингушетия» определены следующие зоны экстренного оповещения населения: </w:t>
      </w:r>
    </w:p>
    <w:p>
      <w:pPr>
        <w:pStyle w:val="12"/>
        <w:numPr>
          <w:ilvl w:val="0"/>
          <w:numId w:val="15"/>
        </w:numPr>
        <w:spacing w:lineRule="auto" w:line="276"/>
        <w:ind w:firstLine="567" w:start="284"/>
        <w:rPr>
          <w:sz w:val="28"/>
          <w:szCs w:val="28"/>
        </w:rPr>
      </w:pPr>
      <w:r>
        <w:rPr>
          <w:sz w:val="28"/>
          <w:szCs w:val="28"/>
        </w:rPr>
        <w:t>Территория возможного затопления в результате чрезвычайной ситуации на реке Сунжа в муниципальном образовании «Городской округ город Карабулак» Республики Ингушетия:</w:t>
      </w:r>
    </w:p>
    <w:p>
      <w:pPr>
        <w:pStyle w:val="12"/>
        <w:spacing w:lineRule="auto" w:line="276"/>
        <w:ind w:hanging="0" w:start="1495"/>
        <w:rPr/>
      </w:pPr>
      <w:r>
        <w:rPr>
          <w:sz w:val="28"/>
          <w:szCs w:val="28"/>
        </w:rPr>
        <w:t>ул. Балкоева (пересечение с ул. Колхозная, ул. Комарова, ул. Оздоева, ул. Орджоникидзе, ул. Евдощенко, ул. Чкалова), ул. Заречная ул. Промысловая, ул. Больничная, ул. Дзаурова.</w:t>
      </w:r>
    </w:p>
    <w:p>
      <w:pPr>
        <w:pStyle w:val="12"/>
        <w:numPr>
          <w:ilvl w:val="0"/>
          <w:numId w:val="15"/>
        </w:numPr>
        <w:spacing w:lineRule="auto" w:line="276"/>
        <w:ind w:firstLine="567" w:start="284"/>
        <w:rPr>
          <w:sz w:val="28"/>
          <w:szCs w:val="28"/>
        </w:rPr>
      </w:pPr>
      <w:r>
        <w:rPr>
          <w:sz w:val="28"/>
          <w:szCs w:val="28"/>
        </w:rPr>
        <w:t>Территория возможного затопления в результате чрезвычайной ситуации на реке Сунжа в сельском поселении Троицкая Сунженского муниципального района Республики Ингушетия:</w:t>
      </w:r>
    </w:p>
    <w:p>
      <w:pPr>
        <w:pStyle w:val="12"/>
        <w:spacing w:lineRule="auto" w:line="276"/>
        <w:ind w:hanging="0" w:start="1495"/>
        <w:rPr>
          <w:sz w:val="28"/>
          <w:szCs w:val="28"/>
        </w:rPr>
      </w:pPr>
      <w:r>
        <w:rPr>
          <w:sz w:val="28"/>
          <w:szCs w:val="28"/>
        </w:rPr>
        <w:t>ул. Московская (от дома N 38 до дома N 42), ул. Международная (от дома N 1 до N 46), ул. Советская (от дома N 31 до N 133), ул. Чкалова (от дома N 15 до N 32), ул. Шоссейная (от дома N 1 до дома N 169), ул. К. Маркса (от дома N 1 до дома N 4), ул. Ленина (от дома N 1 до дома N 113), ул. Мостовая (от дома N 1 до дома N 2А), ул. Ставропольская (от дома N 1 до дома N 19).</w:t>
      </w:r>
    </w:p>
    <w:p>
      <w:pPr>
        <w:pStyle w:val="12"/>
        <w:numPr>
          <w:ilvl w:val="0"/>
          <w:numId w:val="15"/>
        </w:numPr>
        <w:spacing w:lineRule="auto" w:line="276"/>
        <w:ind w:firstLine="567" w:start="284"/>
        <w:rPr>
          <w:sz w:val="28"/>
          <w:szCs w:val="28"/>
        </w:rPr>
      </w:pPr>
      <w:r>
        <w:rPr>
          <w:sz w:val="28"/>
          <w:szCs w:val="28"/>
        </w:rPr>
        <w:t>Территория возможного затопления в результате чрезвычайной ситуации на реке Сунжа в муниципальном образовании «Городской округ город Сунжа»:</w:t>
      </w:r>
    </w:p>
    <w:p>
      <w:pPr>
        <w:pStyle w:val="12"/>
        <w:spacing w:lineRule="auto" w:line="276"/>
        <w:ind w:hanging="0" w:start="1495"/>
        <w:rPr>
          <w:sz w:val="28"/>
          <w:szCs w:val="28"/>
        </w:rPr>
      </w:pPr>
      <w:r>
        <w:rPr>
          <w:sz w:val="28"/>
          <w:szCs w:val="28"/>
        </w:rPr>
        <w:t>ул. Горького (от дома N 99 до N 122), ул. Сейнароева (от русла реки Сунжа до пересечения с ул. Хашагульгова), ул. Осканова (от начала улицы до пересечения с ул. Р. Люксембург), ул. Л. Толстого (от пересечения с ул. Воровского до пересечения с ул. Кавказская), ул. Красина (от пересечения с ул. Воровского до пересечения с ул. Кавказская, ул. Восточная (в районе примыкания улицы к реке Сунжа), ул. Калиматова (в районе ГБОУ СОШ N 4), ул. Р. Люксембург (от начала улицы до улицы Висаитова), ул. Шадиева (от ул. Балаева до русла реки Сунжа), ул. Хашагульгова (от пересечения с ул. Сейнароева до русла реки Сунжа), ул. Пионерская (в районе примыкания к ул. Осканова), ул. Накастоева, ул. Сухая Сунжа, ул. Международная, ул. Речная, ул. 1-й пер. Зеленый, ул. 2-й пер. Зеленый.</w:t>
      </w:r>
    </w:p>
    <w:p>
      <w:pPr>
        <w:pStyle w:val="12"/>
        <w:spacing w:lineRule="auto" w:line="276"/>
        <w:ind w:hanging="0" w:start="1495"/>
        <w:rPr/>
      </w:pPr>
      <w:r>
        <w:rPr/>
      </w:r>
    </w:p>
    <w:p>
      <w:pPr>
        <w:pStyle w:val="Heading3"/>
        <w:numPr>
          <w:ilvl w:val="1"/>
          <w:numId w:val="1"/>
        </w:numPr>
        <w:ind w:firstLine="851" w:start="851"/>
        <w:rPr/>
      </w:pPr>
      <w:bookmarkStart w:id="60" w:name="__RefHeading___Toc11544_1778912248"/>
      <w:bookmarkStart w:id="61" w:name="_Toc244014988"/>
      <w:bookmarkStart w:id="62" w:name="_Toc244022904"/>
      <w:bookmarkEnd w:id="60"/>
      <w:r>
        <w:rPr/>
        <w:t>Сведения о существующей РСОН</w:t>
      </w:r>
      <w:bookmarkEnd w:id="61"/>
      <w:bookmarkEnd w:id="62"/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На территории Республики Ингушетия построена и действует реконструируемая система оповещения населения, созданная в период с 2014-го по 2023 год, технической основой которой являются КПАСО-Р «МАРС-АРСЕНАЛ». Существующая РСОН обеспечивает круглосуточную возможность приема и доведения до населения сигналов оповещения, а также экстренной информации в соответствии с изменениями обстановки.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Организационно-техническая структура и состав технических средств оповещения отражена в Паспорте РСОН Республики Ингушетия и Паспортах МСОН.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Периодичность технических проверок работоспособности проходит в соответствии с требованиями Приказов МЧС России и Минцифры России от 31 июля 2020 г. № 578/365 «Об утверждении Положения о системах оповещения населения», от 31 июля 2020 г. № 579/366 «Об утверждении Положения по организации эксплуатационно-технического обслуживания систем оповещения населения».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В соответствии с существующими проектными решениями, РСОН Республики Ингушетия является централизованной системой оповещения, функционирующей с использованием основной и резервной системы доведения сигналов оповещения и речевой информации на основе цифровых каналов связи. В существующей архитектуре верхний уровень регионального сегмента составляют основной и запасной пункты управления (ПУ, ЗПУ РСОН). Ниже по уровню управления в иерархии, на втором уровне управление осуществляется через ПУ МСОН городских округов и муниципальных районов в ЕДДС, в количестве 6 объектов. Третий уровень - объектовый, на территории Республики Ингушетия на текущий момент не представлен (количество ЛСО - 0, количество ОПО 1 и 2 классов опасности - 0). </w:t>
      </w:r>
    </w:p>
    <w:p>
      <w:pPr>
        <w:pStyle w:val="Normal"/>
        <w:spacing w:lineRule="auto" w:line="276"/>
        <w:ind w:firstLine="851"/>
        <w:jc w:val="both"/>
        <w:rPr/>
      </w:pPr>
      <w:r>
        <w:rPr>
          <w:sz w:val="28"/>
          <w:szCs w:val="28"/>
        </w:rPr>
        <w:t>Недостатком существующего РСОН является недостаточное покрытие территории существующими ТСО. В настоящий момент на территории Республики Ингушетия установлены 83 сиренно-речевых установки РСОН:</w:t>
      </w:r>
    </w:p>
    <w:p>
      <w:pPr>
        <w:pStyle w:val="Normal"/>
        <w:spacing w:lineRule="auto" w:line="27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 2014-2015 установлено 26 СРУ;</w:t>
      </w:r>
    </w:p>
    <w:p>
      <w:pPr>
        <w:pStyle w:val="Normal"/>
        <w:spacing w:lineRule="auto" w:line="27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 2023 установлено 57 СРУ.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Основной пункт управления регионального уровня РСОН (ПУ РСОН) расположен по адресу: г. Магас, ул. Д. Мальсагова, 34.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Комплекс технических средств основного пункта управления регионального уровня (КТС ПУ РСОН) состоят из: </w:t>
      </w:r>
    </w:p>
    <w:p>
      <w:pPr>
        <w:pStyle w:val="12"/>
        <w:numPr>
          <w:ilvl w:val="0"/>
          <w:numId w:val="8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автоматизированного рабочего места (АРМ), оснащенного пультом управления КПАСО-Р «МАРС-АРСЕНАЛ»; </w:t>
      </w:r>
    </w:p>
    <w:p>
      <w:pPr>
        <w:pStyle w:val="12"/>
        <w:numPr>
          <w:ilvl w:val="0"/>
          <w:numId w:val="8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Сервер сбора данных ЭМЕРСИТ М35;</w:t>
      </w:r>
    </w:p>
    <w:p>
      <w:pPr>
        <w:pStyle w:val="12"/>
        <w:numPr>
          <w:ilvl w:val="0"/>
          <w:numId w:val="8"/>
        </w:numPr>
        <w:spacing w:lineRule="auto" w:line="276"/>
        <w:ind w:firstLine="927" w:start="284"/>
        <w:rPr>
          <w:sz w:val="28"/>
          <w:szCs w:val="28"/>
        </w:rPr>
      </w:pPr>
      <w:r>
        <w:rPr>
          <w:sz w:val="28"/>
          <w:szCs w:val="28"/>
        </w:rPr>
        <w:t xml:space="preserve">ТКС (Телекоммуникационный сервер "Марс Аларм"). 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Запасной региональный пункт управления оповещением ЗПУ РСОН расположен по адресу: г. Магас, ул. 65 лет Победы, д. 3.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Комплекс технических средств запасного пункта управления регионального уровня (КТС ЗПУ РСОН) состоят из: </w:t>
      </w:r>
    </w:p>
    <w:p>
      <w:pPr>
        <w:pStyle w:val="12"/>
        <w:numPr>
          <w:ilvl w:val="0"/>
          <w:numId w:val="8"/>
        </w:numPr>
        <w:tabs>
          <w:tab w:val="clear" w:pos="708"/>
          <w:tab w:val="left" w:pos="1560" w:leader="none"/>
        </w:tabs>
        <w:spacing w:lineRule="auto" w:line="276"/>
        <w:rPr>
          <w:sz w:val="28"/>
          <w:szCs w:val="28"/>
        </w:rPr>
      </w:pPr>
      <w:r>
        <w:rPr>
          <w:sz w:val="28"/>
          <w:szCs w:val="28"/>
        </w:rPr>
        <w:tab/>
        <w:t xml:space="preserve">автоматизированного рабочего места (АРМ), оснащенного пультом управления КПАСО-Р «МАРС-АРСЕНАЛ»; </w:t>
      </w:r>
    </w:p>
    <w:p>
      <w:pPr>
        <w:pStyle w:val="12"/>
        <w:numPr>
          <w:ilvl w:val="0"/>
          <w:numId w:val="8"/>
        </w:numPr>
        <w:tabs>
          <w:tab w:val="clear" w:pos="708"/>
          <w:tab w:val="left" w:pos="1560" w:leader="none"/>
        </w:tabs>
        <w:spacing w:lineRule="auto" w:line="276"/>
        <w:rPr>
          <w:sz w:val="28"/>
          <w:szCs w:val="28"/>
        </w:rPr>
      </w:pPr>
      <w:r>
        <w:rPr>
          <w:sz w:val="28"/>
          <w:szCs w:val="28"/>
        </w:rPr>
        <w:tab/>
        <w:t>ТКС (Телекоммуникационный сервер "Марс Аларм").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Состав сетевого и коммутационного оборудования ЗПУ РСОН должен рассматриваться в проектных решениях как самостоятельный узел сетевого ввода.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РСОН Республики Ингушетия включает в себя составные элементы системы оповещения населения Республики Ингушетия в виде муниципальных систем оповещения (МСОН), организуемых в муниципальных образованиях региона. Элементы муниципальной системы оповещения создаются на базе ТСО муниципальной автоматизированной системы централизованного оповещения (МСОН). КСЭОН является составной частью РСОН на региональном, муниципальном и объектовом уровнях управления.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Управление МСОН в муниципальных образованиях Республики Ингушетия предусмотрено в автоматическом режиме с АРМ оперативного дежурного (ОД) МСОН в ЕДДС.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МСОН в ЕДДС МО работает в режиме 24х7 (24 часа в сутки, 7 дней в неделю, 365 дней в году) и обеспечивает оперативное доведение сигналов оповещения и экстренной информации до населения.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 xml:space="preserve">Управление перспективными локальными системами оповещения опасных производственных объектов (ЛСО ОПО), в случае их создания на территории Республики Ингушетия, предусматривается: 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- через ОД ДДС ОПО;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- через ОД ЕДДС МО - ПУ МСОН МО;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- через ОД ПУ РСОН. 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Приоритеты пунктов управления определяются организационной структурой РСОН и должны устанавливаться программно. 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Доведение сигналов оповещения и экстренной информации осуществляется следующими способами: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- с использованием аппаратуры автоматизированной системы оповещения - до руководящего состава ГО Республики Ингушетия и ОТП РСЧС, руководителей местного самоуправления муниципальных образований Республики Ингушетия;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- путем централизованного включения электросирен на территории Республики Ингушетия или выборочно в отдельных городах и районах Республики Ингушетия (сигнал оповещения «Внимание всем!») - до органов управления, сил ГО Республики Ингушетия и ОТП РСЧС, населения Республики Ингушетия;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- путем циркулярного и выборочного доведения речевой информации и сигналов оповещения - до органов управления ГО Республики Ингушетия и ОТП РСЧС, единых дежурно-диспетчерских служб муниципальных образований Республики Ингушетия;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- путем автоматического перехвата повседневным пунктом управления Республики Ингушетия теле- и радиосигналов каналов, осуществляющих трансляцию на территории Республики Ингушетия, для экстренного доведения речевой и видеоинформации до населения Республики Ингушетия.</w:t>
      </w:r>
    </w:p>
    <w:p>
      <w:pPr>
        <w:pStyle w:val="Heading1"/>
        <w:ind w:firstLine="851" w:start="0"/>
        <w:rPr/>
      </w:pPr>
      <w:bookmarkStart w:id="63" w:name="__RefHeading___Toc11546_1778912248"/>
      <w:bookmarkStart w:id="64" w:name="_Toc244014989"/>
      <w:bookmarkStart w:id="65" w:name="_Toc244022905"/>
      <w:bookmarkEnd w:id="63"/>
      <w:r>
        <w:rPr/>
        <w:t>ТРЕБОВАНИЯ К региональной системЕ оповещения населения Республики Ингушетия</w:t>
      </w:r>
      <w:bookmarkEnd w:id="64"/>
      <w:bookmarkEnd w:id="65"/>
    </w:p>
    <w:p>
      <w:pPr>
        <w:pStyle w:val="Heading3"/>
        <w:numPr>
          <w:ilvl w:val="1"/>
          <w:numId w:val="1"/>
        </w:numPr>
        <w:ind w:firstLine="851" w:start="851"/>
        <w:rPr/>
      </w:pPr>
      <w:bookmarkStart w:id="66" w:name="__RefHeading___Toc11548_1778912248"/>
      <w:bookmarkStart w:id="67" w:name="_Toc244014990"/>
      <w:bookmarkStart w:id="68" w:name="_Toc244022906"/>
      <w:bookmarkEnd w:id="66"/>
      <w:r>
        <w:rPr/>
        <w:t>Требования к системе в целом</w:t>
      </w:r>
      <w:bookmarkEnd w:id="67"/>
      <w:bookmarkEnd w:id="68"/>
    </w:p>
    <w:p>
      <w:pPr>
        <w:pStyle w:val="Heading3"/>
        <w:ind w:firstLine="851" w:start="0"/>
        <w:rPr/>
      </w:pPr>
      <w:bookmarkStart w:id="69" w:name="__RefHeading___Toc11550_1778912248"/>
      <w:bookmarkStart w:id="70" w:name="_Toc244014991"/>
      <w:bookmarkStart w:id="71" w:name="_Toc244022907"/>
      <w:bookmarkEnd w:id="69"/>
      <w:r>
        <w:rPr/>
        <w:t>Требования к развитию структуры и функционирования системы</w:t>
      </w:r>
      <w:bookmarkEnd w:id="70"/>
      <w:bookmarkEnd w:id="71"/>
    </w:p>
    <w:p>
      <w:pPr>
        <w:pStyle w:val="12"/>
        <w:keepNext w:val="true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В проектных решениях по развитию РСОН Республики Ингушетия в рамках информационных безопасности должно быть предусмотрено: </w:t>
      </w:r>
    </w:p>
    <w:p>
      <w:pPr>
        <w:pStyle w:val="12"/>
        <w:numPr>
          <w:ilvl w:val="0"/>
          <w:numId w:val="19"/>
        </w:numPr>
        <w:spacing w:lineRule="auto" w:line="276"/>
        <w:ind w:firstLine="851" w:start="0"/>
        <w:rPr>
          <w:sz w:val="28"/>
          <w:szCs w:val="28"/>
        </w:rPr>
      </w:pPr>
      <w:r>
        <w:rPr>
          <w:sz w:val="28"/>
          <w:szCs w:val="28"/>
        </w:rPr>
        <w:t>обеспечение всех необходимых мероприятий по защите информации в РСОН Республики Ингушетия.</w:t>
      </w:r>
    </w:p>
    <w:p>
      <w:pPr>
        <w:pStyle w:val="12"/>
        <w:keepNext w:val="true"/>
        <w:spacing w:lineRule="auto" w:line="276"/>
        <w:rPr/>
      </w:pPr>
      <w:r>
        <w:rPr>
          <w:sz w:val="28"/>
          <w:szCs w:val="28"/>
        </w:rPr>
        <w:t>Проектные решения для РСОН следует разрабатывать с учетом существующих у Заказчика СРУ, установленных ранее, и функционирующих в настоящий момент.</w:t>
      </w:r>
    </w:p>
    <w:p>
      <w:pPr>
        <w:pStyle w:val="Heading3"/>
        <w:numPr>
          <w:ilvl w:val="1"/>
          <w:numId w:val="1"/>
        </w:numPr>
        <w:ind w:firstLine="851" w:start="851"/>
        <w:rPr/>
      </w:pPr>
      <w:bookmarkStart w:id="72" w:name="__RefHeading___Toc11552_1778912248"/>
      <w:bookmarkStart w:id="73" w:name="_Toc244014992"/>
      <w:bookmarkStart w:id="74" w:name="_Toc244022914"/>
      <w:bookmarkEnd w:id="72"/>
      <w:r>
        <w:rPr/>
        <w:t>Требования к защите информации</w:t>
      </w:r>
      <w:bookmarkEnd w:id="73"/>
      <w:bookmarkEnd w:id="74"/>
      <w:r>
        <w:rPr/>
        <w:t xml:space="preserve">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Системы оповещения населения должны соответствовать Требованиям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опасных производственных объектах, а также объектах, представляющих повышенную опасность для жизни и здоровья людей и для окружающей природной среды, утвержденным приказом ФСТЭК России от 14.03.2014 г. № 31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 (с изменениями и дополнениями).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В региональной системе оповещения должны выполняться Требования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учреждений, утвержденные приказом ФСТЭК России от 11.04.2025 г. №117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учреждений», и Требования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опасных производственных объектах, а также объектах, представляющих повышенную опасность для жизни и здоровья людей и для окружающей природной среды, утвержденным приказом ФСТЭК России от 14.03.2014 г. № 31.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Региональная система оповещения должна соответствовать классу защищенности не ниже 2 класса.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Муниципальная и локальная система оповещения должны соответствовать классу защищенности не ниже 3 класса.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Для предотвращения попыток искажения информации или нарушения режимов работы РСОН Республики Ингушетия должна иметь элементы защиты информации и быть защищена от несанкционированного доступа.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Принципы защиты информации должны быть заложены при проектировании оборудования, как на аппаратном, так и на программном уровнях, и отражены в документах.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Особое внимание уделить надежности защиты в случае применения каналов радиосвязи в системах управления оконечными устройствами оповещения.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Комплекс проектируемых технических средств оповещения должен предусматривать возможность разграничения прав доступа пользователей и парольную защиту.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Доступ к РСОН Республики Ингушетия должен предоставляться только авторизованным пользователям. При этом РСОН Республики Ингушетия должна обеспечивать защиту от несанкционированного доступа (НСД) посредством следующих механизмов: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- идентификация пользователя;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- проверка полномочий пользователя при работе с РСОН Республики Ингушетия;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- разграничение доступа пользователей на уровне задач и информационных массивов;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- использование «слепых» паролей (при наборе пароля его символы не показываются на экране либо заменяются одним типом символов; количество символов не соответствует длине пароля);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- автоматическая блокировка сессий пользователей и приложений по заранее заданным временам отсутствия активности со стороны пользователей и приложений.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РСОН Республики Ингушетия должна соответствовать требованиям ГОСТ Р 51583 «Защита информации. Порядок создания автоматизированных систем в защищенном исполнении. Общие положения» и ГОСТ Р 51624 «Защита информации. Автоматизированные системы в защищенном исполнении. Общие требования».</w:t>
      </w:r>
    </w:p>
    <w:p>
      <w:pPr>
        <w:pStyle w:val="12"/>
        <w:spacing w:lineRule="auto" w:line="276"/>
        <w:ind w:hanging="0" w:start="99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1"/>
          <w:numId w:val="1"/>
        </w:numPr>
        <w:ind w:firstLine="709" w:start="0"/>
        <w:rPr/>
      </w:pPr>
      <w:bookmarkStart w:id="75" w:name="__RefHeading___Toc11554_1778912248"/>
      <w:bookmarkStart w:id="76" w:name="_Toc244014993"/>
      <w:bookmarkStart w:id="77" w:name="_Toc244022915"/>
      <w:bookmarkEnd w:id="75"/>
      <w:r>
        <w:rPr/>
        <w:t>Требования к разработке раздела проектно-технической документации, содержащего мероприятия по обеспечению защиты информации в системе оповещения населения</w:t>
      </w:r>
      <w:bookmarkEnd w:id="76"/>
      <w:bookmarkEnd w:id="77"/>
      <w:r>
        <w:rPr/>
        <w:t xml:space="preserve">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В раздел проектно-технической документации, содержащего мероприятия по обеспечению защиты информации в системе оповещения населения, входит:</w:t>
      </w:r>
    </w:p>
    <w:p>
      <w:pPr>
        <w:pStyle w:val="12"/>
        <w:numPr>
          <w:ilvl w:val="0"/>
          <w:numId w:val="7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Пояснительная записка к СЗИ РСОН Республики Ингушетия;</w:t>
      </w:r>
    </w:p>
    <w:p>
      <w:pPr>
        <w:pStyle w:val="12"/>
        <w:numPr>
          <w:ilvl w:val="0"/>
          <w:numId w:val="7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Схема структурная СЗИ РСОН Республики Ингушетия;</w:t>
      </w:r>
    </w:p>
    <w:p>
      <w:pPr>
        <w:pStyle w:val="12"/>
        <w:numPr>
          <w:ilvl w:val="0"/>
          <w:numId w:val="7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Ведомость покупных изделий.</w:t>
      </w:r>
    </w:p>
    <w:p>
      <w:pPr>
        <w:pStyle w:val="12"/>
        <w:spacing w:lineRule="auto" w:line="276"/>
        <w:ind w:firstLine="708"/>
        <w:rPr>
          <w:sz w:val="28"/>
          <w:szCs w:val="28"/>
        </w:rPr>
      </w:pPr>
      <w:r>
        <w:rPr>
          <w:sz w:val="28"/>
          <w:szCs w:val="28"/>
        </w:rPr>
        <w:t>Для проектирования системы защиты информации необходимо провести классификацию информационной системы (акт классификации), разработать модель угроз безопасности и частное техническое задание на создание системы защиты информации.</w:t>
      </w:r>
    </w:p>
    <w:p>
      <w:pPr>
        <w:pStyle w:val="12"/>
        <w:spacing w:lineRule="auto" w:line="276"/>
        <w:ind w:hanging="0"/>
        <w:rPr>
          <w:sz w:val="28"/>
          <w:szCs w:val="28"/>
        </w:rPr>
      </w:pPr>
      <w:r>
        <w:rPr>
          <w:sz w:val="28"/>
          <w:szCs w:val="28"/>
        </w:rPr>
      </w:r>
      <w:bookmarkStart w:id="78" w:name="_Hlk206073771"/>
      <w:bookmarkStart w:id="79" w:name="_Hlk206073771"/>
      <w:bookmarkEnd w:id="79"/>
    </w:p>
    <w:p>
      <w:pPr>
        <w:pStyle w:val="Heading3"/>
        <w:ind w:firstLine="851" w:start="0"/>
        <w:rPr/>
      </w:pPr>
      <w:bookmarkStart w:id="80" w:name="__RefHeading___Toc11556_1778912248"/>
      <w:bookmarkStart w:id="81" w:name="_Toc244014994"/>
      <w:bookmarkStart w:id="82" w:name="_Toc244022916"/>
      <w:bookmarkEnd w:id="80"/>
      <w:r>
        <w:rPr/>
        <w:t>Требования к разработке модели угроз безопасности</w:t>
      </w:r>
      <w:bookmarkEnd w:id="81"/>
      <w:bookmarkEnd w:id="82"/>
      <w:r>
        <w:rPr/>
        <w:t xml:space="preserve"> 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Угрозы безопасности информации должны определяться по результатам оценки возможностей (потенциала) внешних и внутренних нарушителей, анализа возможных уязвимостей системы, возможных способов реализации угроз безопасности информации и последствий от нарушения свойств безопасности информации (конфиденциальности, целостности, доступности).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В качестве исходных данных для определения угроз безопасности информации должен использоваться банк данных угроз безопасности информации (bdu.fstec.ru), ведение которого осуществляется ФСТЭК России.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При определении угроз безопасности информации должны учитываться структурно-функциональные характеристики РСОН Республики Ингушетия, включающие структуру и состав РСОН Республики Ингушетия, физические, логические, функциональные и технологические взаимосвязи с иными информационными системами и информационно-телекоммуникационными сетями, режимы обработки информации в РСОН Республики Ингушетия, а также иные характеристики РСОН Республики Ингушетия, применяемые информационные технологии и особенности ее функционирования.</w:t>
      </w:r>
    </w:p>
    <w:p>
      <w:pPr>
        <w:pStyle w:val="12"/>
        <w:spacing w:lineRule="auto" w:line="276"/>
        <w:rPr/>
      </w:pPr>
      <w:r>
        <w:rPr>
          <w:sz w:val="28"/>
          <w:szCs w:val="28"/>
        </w:rPr>
        <w:t>Модель угроз безопасности информации должна содержать описание РСОН Республики Ингушетия и ее структурно-функциональных характеристик, а также описание угроз безопасности информации, включающее описание возможностей нарушителей (модель нарушителя), способов реализации угроз безопасности информации и последствий от нарушения свойств безопасности информации.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В случае, если в РСОН Республики Ингушетия осуществляется обработка ПДн для определения угроз безопасности информации и разработки модели угроз безопасности информации, Исполнитель должен применять методические документы, разработанные и утвержденные ФСТЭК России для ИСПДн.</w:t>
      </w:r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ind w:firstLine="851" w:start="0"/>
        <w:rPr/>
      </w:pPr>
      <w:bookmarkStart w:id="83" w:name="__RefHeading___Toc11558_1778912248"/>
      <w:bookmarkStart w:id="84" w:name="_Toc244014995"/>
      <w:bookmarkStart w:id="85" w:name="_Toc244022917"/>
      <w:bookmarkEnd w:id="83"/>
      <w:r>
        <w:rPr/>
        <w:t>Требования к разработке частного технического задания на создание системы защиты информации</w:t>
      </w:r>
      <w:bookmarkEnd w:id="84"/>
      <w:bookmarkEnd w:id="85"/>
      <w:r>
        <w:rPr/>
        <w:t xml:space="preserve"> </w:t>
      </w:r>
    </w:p>
    <w:p>
      <w:pPr>
        <w:pStyle w:val="12"/>
        <w:spacing w:lineRule="auto" w:line="276"/>
        <w:ind w:firstLine="709"/>
        <w:rPr/>
      </w:pPr>
      <w:r>
        <w:rPr>
          <w:sz w:val="28"/>
          <w:szCs w:val="28"/>
        </w:rPr>
        <w:t>Частное техническое задание на создание системы защиты информации РСОН Республики Ингушетия должно разрабатываться с учетом ГОСТ 34.602-2020, ГОСТ Р 51583-2014 и ГОСТ Р 51624-2000, и должно в том числе содержать: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цель и задачи обеспечения защиты информации в РСОН Республики Ингушетия;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класс защищенности РСОН Республики Ингушетия;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перечень нормативных правовых актов, методических документов и национальных стандартов, которым должна соответствовать РСОН Республики Ингушетия;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перечень объектов защиты РСОН Республики Ингушетия;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требования к мерам и средствам защиты информации, применяемым в РСОН Республики Ингушетия;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стадии (этапы работ) создания системы защиты РСОН Республики Ингушетия;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требования к поставляемым ТС, ПО, СрЗИ;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функции заказчика и оператора по обеспечению защиты информации в РСОН Республики Ингушетия;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требования к защите средств и систем, обеспечивающих функционирование РСОН Республики Ингушетия (обеспечивающей инфраструктуре);</w:t>
      </w:r>
    </w:p>
    <w:p>
      <w:pPr>
        <w:pStyle w:val="12"/>
        <w:numPr>
          <w:ilvl w:val="0"/>
          <w:numId w:val="14"/>
        </w:numPr>
        <w:spacing w:lineRule="auto" w:line="276"/>
        <w:ind w:firstLine="993" w:start="0"/>
        <w:rPr>
          <w:sz w:val="28"/>
          <w:szCs w:val="28"/>
        </w:rPr>
      </w:pPr>
      <w:r>
        <w:rPr>
          <w:sz w:val="28"/>
          <w:szCs w:val="28"/>
        </w:rPr>
        <w:t>требования к защите информации при информационном взаимодействии с иными информационными системами и информационно-телекоммуникационными сетями.</w:t>
      </w:r>
    </w:p>
    <w:p>
      <w:pPr>
        <w:pStyle w:val="12"/>
        <w:spacing w:lineRule="auto" w:line="276"/>
        <w:ind w:firstLine="851" w:start="99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1"/>
          <w:numId w:val="1"/>
        </w:numPr>
        <w:ind w:firstLine="709" w:start="0"/>
        <w:rPr/>
      </w:pPr>
      <w:bookmarkStart w:id="86" w:name="__RefHeading___Toc11560_1778912248"/>
      <w:bookmarkStart w:id="87" w:name="_Toc244014996"/>
      <w:bookmarkStart w:id="88" w:name="_Toc244022918"/>
      <w:bookmarkEnd w:id="86"/>
      <w:r>
        <w:rPr/>
        <w:t>Требования к корректировке проектно-технической документации системы защиты информации</w:t>
      </w:r>
      <w:bookmarkEnd w:id="87"/>
      <w:bookmarkEnd w:id="88"/>
      <w:r>
        <w:rPr/>
        <w:t xml:space="preserve"> </w:t>
      </w:r>
    </w:p>
    <w:p>
      <w:pPr>
        <w:pStyle w:val="12"/>
        <w:spacing w:lineRule="auto" w:line="276"/>
        <w:ind w:firstLine="709"/>
        <w:rPr/>
      </w:pPr>
      <w:r>
        <w:rPr>
          <w:sz w:val="28"/>
          <w:szCs w:val="28"/>
        </w:rPr>
        <w:t>При проектировании СЗИ РСОН Республики Ингушетия необходимо: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определить типы субъектов доступа (пользователи, процессы и иные субъекты доступа) и объектов доступа, являющихся объектами защиты (устройства, объекты файловой системы, запускаемые и исполняемые модули, объекты системы управления базами данных, объекты, создаваемые прикладным ПО, иные объекты доступа);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определить методы управления доступом (дискреционный, мандатный, ролевой или иные методы), типы доступа (чтение, запись, выполнение или иные типы доступа) и правила разграничения доступа субъектов доступа к объектам доступа (на основе списков, меток безопасности, ролей и иных правил), подлежащие реализации в РСОН Республики Ингушетия;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выбрать меры защиты информации, подлежащие реализации в СЗИ РСОН Республики Ингушетия;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определить виды и типы СрЗИ, обеспечивающие реализацию технических мер защиты информации;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определить структуру СЗИ РСОН Республики Ингушетия, включая состав (количество) и места размещения ее элементов;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осуществить выбор СрЗИ, сертифицированных на соответствие требованиям по безопасности информации, с учетом их стоимости, совместимости с информационными технологиями и ТС, функций безопасности этих средств и особенностей их реализации, а также класса защищенности РСОН Республики Ингушетия с учетом СрЗИ применяемых в информационной инфраструктуре РСОН Республики Ингушетия;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определить требования к параметрам настройки ПО, включая ПО СрЗИ, обеспечивающие реализацию мер защиты информации, а также устранение возможных уязвимостей РСОН Республики Ингушетия, приводящих к возникновению угроз безопасности информации;</w:t>
      </w:r>
    </w:p>
    <w:p>
      <w:pPr>
        <w:pStyle w:val="12"/>
        <w:numPr>
          <w:ilvl w:val="0"/>
          <w:numId w:val="10"/>
        </w:numPr>
        <w:spacing w:lineRule="auto" w:line="276"/>
        <w:ind w:firstLine="709" w:start="0"/>
        <w:rPr>
          <w:sz w:val="28"/>
          <w:szCs w:val="28"/>
        </w:rPr>
      </w:pPr>
      <w:r>
        <w:rPr>
          <w:sz w:val="28"/>
          <w:szCs w:val="28"/>
        </w:rPr>
        <w:t>определить меры защиты информации при информационном взаимодействии с иными ИС и информационно-телекоммуникационными сетями, в том числе с ИС уполномоченного лица, а также при применении вычислительных ресурсов (мощностей), предоставляемых уполномоченным лицом для обработки информации.</w:t>
      </w:r>
    </w:p>
    <w:p>
      <w:pPr>
        <w:pStyle w:val="12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Результаты проектирования СЗИ РСОН Республики Ингушетия отражаются в техническом проекте на СЗИ РСОН Республики Ингушетия, включающем в себя следующие разделы:</w:t>
      </w:r>
    </w:p>
    <w:p>
      <w:pPr>
        <w:pStyle w:val="12"/>
        <w:numPr>
          <w:ilvl w:val="0"/>
          <w:numId w:val="10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ведомость технического проекта;</w:t>
      </w:r>
    </w:p>
    <w:p>
      <w:pPr>
        <w:pStyle w:val="12"/>
        <w:numPr>
          <w:ilvl w:val="0"/>
          <w:numId w:val="10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пояснительная записка;</w:t>
      </w:r>
    </w:p>
    <w:p>
      <w:pPr>
        <w:pStyle w:val="12"/>
        <w:numPr>
          <w:ilvl w:val="0"/>
          <w:numId w:val="10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структурная схема СЗИ РСОН Республики Ингушетия;</w:t>
      </w:r>
    </w:p>
    <w:p>
      <w:pPr>
        <w:pStyle w:val="12"/>
        <w:numPr>
          <w:ilvl w:val="0"/>
          <w:numId w:val="10"/>
        </w:numPr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ведомость покупных изделий.</w:t>
      </w:r>
    </w:p>
    <w:p>
      <w:pPr>
        <w:pStyle w:val="12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При отсутствии необходимых СрЗИ, сертифицированных на соответствие требованиям по безопасности информации, производится корректировка проектных решений по СЗИ РСОН Республики Ингушетия с учетом функциональных возможностей имеющихся сертифицированных СрЗИ и возможностей изменения структурно-функциональных характеристик РСОН Республики Ингушетия.</w:t>
      </w:r>
    </w:p>
    <w:p>
      <w:pPr>
        <w:pStyle w:val="Heading1"/>
        <w:ind w:firstLine="851" w:start="0"/>
        <w:rPr/>
      </w:pPr>
      <w:bookmarkStart w:id="89" w:name="__RefHeading___Toc11562_1778912248"/>
      <w:bookmarkStart w:id="90" w:name="_Toc244015017"/>
      <w:bookmarkStart w:id="91" w:name="_Toc244022929"/>
      <w:bookmarkStart w:id="92" w:name="_Toc244014997"/>
      <w:bookmarkStart w:id="93" w:name="_Toc244014998"/>
      <w:bookmarkStart w:id="94" w:name="_Toc244014999"/>
      <w:bookmarkStart w:id="95" w:name="_Toc244015000"/>
      <w:bookmarkStart w:id="96" w:name="_Toc244015001"/>
      <w:bookmarkStart w:id="97" w:name="_Toc244015002"/>
      <w:bookmarkStart w:id="98" w:name="_Toc244015003"/>
      <w:bookmarkStart w:id="99" w:name="_Toc244015004"/>
      <w:bookmarkStart w:id="100" w:name="_Toc244015005"/>
      <w:bookmarkStart w:id="101" w:name="_Toc244015006"/>
      <w:bookmarkStart w:id="102" w:name="_Toc244015007"/>
      <w:bookmarkStart w:id="103" w:name="_Toc244015008"/>
      <w:bookmarkStart w:id="104" w:name="_Toc244015009"/>
      <w:bookmarkStart w:id="105" w:name="_Toc244015010"/>
      <w:bookmarkStart w:id="106" w:name="_Toc244015011"/>
      <w:bookmarkStart w:id="107" w:name="_Toc244015012"/>
      <w:bookmarkStart w:id="108" w:name="_Toc244015013"/>
      <w:bookmarkStart w:id="109" w:name="_Toc244015014"/>
      <w:bookmarkStart w:id="110" w:name="_Toc244015015"/>
      <w:bookmarkStart w:id="111" w:name="_Toc244015016"/>
      <w:bookmarkEnd w:id="89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>
        <w:rPr/>
        <w:t>СОСТАВ И СОДЕРЖАНИЕ РАБОТ ПО корректировке проектно-сметной документации в части информационной безопасности</w:t>
      </w:r>
      <w:bookmarkEnd w:id="90"/>
      <w:bookmarkEnd w:id="91"/>
    </w:p>
    <w:p>
      <w:pPr>
        <w:pStyle w:val="12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Проектно-техническую документацию в части информационной безопасности следует разработать в текстовом и графическом виде в соответствии с требованиями постановления Правительства Российской Федерации от 17 мая 2023 г. № 769 и нормативно-правовых документов, которая должна состоять из  раздела:</w:t>
      </w:r>
    </w:p>
    <w:p>
      <w:pPr>
        <w:pStyle w:val="12"/>
        <w:numPr>
          <w:ilvl w:val="0"/>
          <w:numId w:val="11"/>
        </w:numPr>
        <w:spacing w:lineRule="auto" w:line="276"/>
        <w:ind w:firstLine="567" w:start="284"/>
        <w:rPr>
          <w:sz w:val="28"/>
          <w:szCs w:val="28"/>
        </w:rPr>
      </w:pPr>
      <w:r>
        <w:rPr>
          <w:sz w:val="28"/>
          <w:szCs w:val="28"/>
        </w:rPr>
        <w:t>раздел 6 "Мероприятия по обеспечению защиты информации в системе оповещения населения".</w:t>
      </w:r>
    </w:p>
    <w:p>
      <w:pPr>
        <w:pStyle w:val="Heading1"/>
        <w:ind w:firstLine="851" w:start="0"/>
        <w:rPr/>
      </w:pPr>
      <w:bookmarkStart w:id="112" w:name="__RefHeading___Toc11564_1778912248"/>
      <w:bookmarkStart w:id="113" w:name="_Toc244022931"/>
      <w:bookmarkStart w:id="114" w:name="_Toc244015022"/>
      <w:bookmarkStart w:id="115" w:name="_Toc244015018"/>
      <w:bookmarkStart w:id="116" w:name="_Toc244015019"/>
      <w:bookmarkStart w:id="117" w:name="_Toc244015020"/>
      <w:bookmarkEnd w:id="112"/>
      <w:bookmarkEnd w:id="115"/>
      <w:bookmarkEnd w:id="116"/>
      <w:bookmarkEnd w:id="117"/>
      <w:r>
        <w:rPr/>
        <w:t>ПОРЯДОК КОНТРОЛЯ И ПРИЕМКИ проектно-ТЕХНИЧЕСКОЙ документации</w:t>
      </w:r>
      <w:bookmarkEnd w:id="114"/>
      <w:r>
        <w:rPr/>
        <w:t xml:space="preserve"> в части информационной безопасности</w:t>
      </w:r>
      <w:bookmarkEnd w:id="113"/>
    </w:p>
    <w:p>
      <w:pPr>
        <w:pStyle w:val="12"/>
        <w:spacing w:lineRule="auto" w:line="276"/>
        <w:rPr/>
      </w:pPr>
      <w:r>
        <w:rPr>
          <w:sz w:val="28"/>
          <w:szCs w:val="28"/>
        </w:rPr>
        <w:t>Приемка выполненных работ по корректировке проектно-технической документации в части информационной безопасности осуществляется Заказчиком в соответствии с условиями Договора и оформлением документа о приеме.</w:t>
      </w:r>
      <w:bookmarkStart w:id="118" w:name="_GoBack"/>
      <w:bookmarkEnd w:id="118"/>
    </w:p>
    <w:p>
      <w:pPr>
        <w:pStyle w:val="12"/>
        <w:spacing w:lineRule="auto" w:line="276"/>
        <w:rPr/>
      </w:pPr>
      <w:r>
        <w:rPr>
          <w:sz w:val="28"/>
          <w:szCs w:val="28"/>
        </w:rPr>
        <w:t>Передача проектно-технической документации Заказчику осуществляется Исполнителем в полном объёме - комплект проектно-технической документации согласно п.5 настоящего Технического задания.</w:t>
      </w:r>
    </w:p>
    <w:p>
      <w:pPr>
        <w:pStyle w:val="12"/>
        <w:spacing w:lineRule="auto" w:line="276"/>
        <w:ind w:hanging="0" w:start="85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firstLine="851" w:start="0"/>
        <w:rPr/>
      </w:pPr>
      <w:bookmarkStart w:id="119" w:name="__RefHeading___Toc11566_1778912248"/>
      <w:bookmarkStart w:id="120" w:name="_Toc244015024"/>
      <w:bookmarkStart w:id="121" w:name="_Toc244022933"/>
      <w:bookmarkEnd w:id="119"/>
      <w:r>
        <w:rPr/>
        <w:t>ТРЕБОВАНИЯ К ДОКУМЕНТИРОВАНИЮ</w:t>
      </w:r>
      <w:bookmarkEnd w:id="120"/>
      <w:bookmarkEnd w:id="121"/>
    </w:p>
    <w:p>
      <w:pPr>
        <w:pStyle w:val="Heading2"/>
        <w:rPr/>
      </w:pPr>
      <w:bookmarkStart w:id="122" w:name="__RefHeading___Toc11568_1778912248"/>
      <w:bookmarkStart w:id="123" w:name="_Toc244015025"/>
      <w:bookmarkStart w:id="124" w:name="_Toc244022934"/>
      <w:bookmarkStart w:id="125" w:name="_Hlk206159970"/>
      <w:bookmarkEnd w:id="122"/>
      <w:bookmarkEnd w:id="125"/>
      <w:r>
        <w:rPr/>
        <w:t>7.1. Состав документации</w:t>
      </w:r>
      <w:bookmarkEnd w:id="123"/>
      <w:bookmarkEnd w:id="124"/>
    </w:p>
    <w:p>
      <w:pPr>
        <w:pStyle w:val="Style14"/>
        <w:spacing w:lineRule="auto" w:line="276"/>
        <w:ind w:firstLine="851"/>
        <w:jc w:val="both"/>
        <w:rPr/>
      </w:pPr>
      <w:r>
        <w:rPr>
          <w:szCs w:val="28"/>
        </w:rPr>
        <w:t xml:space="preserve">Полный состав </w:t>
      </w:r>
      <w:r>
        <w:rPr/>
        <w:t xml:space="preserve">проектно-технической документации на реконструкцию региональной системы оповещения населения Республики Ингушетия </w:t>
      </w:r>
      <w:r>
        <w:rPr>
          <w:szCs w:val="28"/>
        </w:rPr>
        <w:t>приведен в п.5 настоящего Технического задания.</w:t>
      </w:r>
    </w:p>
    <w:p>
      <w:pPr>
        <w:pStyle w:val="12"/>
        <w:spacing w:lineRule="auto" w:line="276"/>
        <w:rPr/>
      </w:pPr>
      <w:bookmarkStart w:id="126" w:name="_Hlk167708407"/>
      <w:bookmarkEnd w:id="126"/>
      <w:r>
        <w:rPr>
          <w:sz w:val="28"/>
          <w:szCs w:val="28"/>
        </w:rPr>
        <w:t>Проектно-техническая документация предоставляется Исполнителем Заказчику в электронном редактируемом формате, формате PDF.</w:t>
      </w:r>
    </w:p>
    <w:p>
      <w:pPr>
        <w:pStyle w:val="Heading2"/>
        <w:ind w:firstLine="851" w:start="0"/>
        <w:jc w:val="both"/>
        <w:rPr/>
      </w:pPr>
      <w:bookmarkStart w:id="127" w:name="__RefHeading___Toc11570_1778912248"/>
      <w:bookmarkStart w:id="128" w:name="_Toc244015026"/>
      <w:bookmarkStart w:id="129" w:name="_Toc244022935"/>
      <w:bookmarkEnd w:id="127"/>
      <w:r>
        <w:rPr/>
        <w:t>7.2. Порядок внесения изменений в проектно-техническую документацию</w:t>
      </w:r>
      <w:bookmarkEnd w:id="128"/>
      <w:bookmarkEnd w:id="129"/>
    </w:p>
    <w:p>
      <w:pPr>
        <w:pStyle w:val="12"/>
        <w:spacing w:lineRule="auto" w:line="276"/>
        <w:rPr>
          <w:sz w:val="28"/>
          <w:szCs w:val="28"/>
        </w:rPr>
      </w:pPr>
      <w:bookmarkStart w:id="130" w:name="_Ref52756240"/>
      <w:bookmarkStart w:id="131" w:name="_Ref52756232"/>
      <w:r>
        <w:rPr>
          <w:sz w:val="28"/>
          <w:szCs w:val="28"/>
        </w:rPr>
        <w:t>Любое изменение в документе, вызывающее какие-либо изменения в других документах, должно одновременно сопровождаться внесением соответствующих изменений во все взаимосвязанные документы.</w:t>
      </w:r>
      <w:bookmarkEnd w:id="130"/>
      <w:bookmarkEnd w:id="131"/>
    </w:p>
    <w:p>
      <w:pPr>
        <w:pStyle w:val="12"/>
        <w:numPr>
          <w:ilvl w:val="0"/>
          <w:numId w:val="0"/>
        </w:numPr>
        <w:spacing w:lineRule="auto" w:line="276"/>
        <w:ind w:firstLine="851" w:star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firstLine="851" w:start="0"/>
        <w:rPr/>
      </w:pPr>
      <w:bookmarkStart w:id="132" w:name="__RefHeading___Toc11572_1778912248"/>
      <w:bookmarkStart w:id="133" w:name="_Toc244015027"/>
      <w:bookmarkStart w:id="134" w:name="_Toc244022936"/>
      <w:bookmarkEnd w:id="132"/>
      <w:r>
        <w:rPr/>
        <w:t>ТРЕБОВАНИЯ К ИСПОЛНИТЕЛЮ</w:t>
      </w:r>
      <w:bookmarkEnd w:id="133"/>
      <w:bookmarkEnd w:id="134"/>
    </w:p>
    <w:p>
      <w:pPr>
        <w:pStyle w:val="Normal"/>
        <w:rPr/>
      </w:pPr>
      <w:r>
        <w:rPr/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 должен иметь следующие лицензии: </w:t>
      </w:r>
    </w:p>
    <w:p>
      <w:pPr>
        <w:pStyle w:val="Normal"/>
        <w:numPr>
          <w:ilvl w:val="0"/>
          <w:numId w:val="3"/>
        </w:numPr>
        <w:spacing w:lineRule="auto" w:line="276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лицензия ФСТЭК России на осуществление деятельности по технической защите конфиденциальной информации с перечнем разрешенных видов работ и услуг: </w:t>
      </w:r>
    </w:p>
    <w:p>
      <w:pPr>
        <w:pStyle w:val="Normal"/>
        <w:numPr>
          <w:ilvl w:val="0"/>
          <w:numId w:val="6"/>
        </w:numPr>
        <w:spacing w:lineRule="auto" w:line="276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 по контролю защищенности конфиденциальной информации от несанкционированного доступа и ее модификации в средствах и системах информатизации; </w:t>
      </w:r>
    </w:p>
    <w:p>
      <w:pPr>
        <w:pStyle w:val="Normal"/>
        <w:numPr>
          <w:ilvl w:val="0"/>
          <w:numId w:val="6"/>
        </w:numPr>
        <w:spacing w:lineRule="auto" w:line="276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работы и услуги по проектированию в защищенном исполнении средств и систем информатизации.</w:t>
      </w:r>
    </w:p>
    <w:p>
      <w:pPr>
        <w:pStyle w:val="Normal"/>
        <w:numPr>
          <w:ilvl w:val="0"/>
          <w:numId w:val="3"/>
        </w:numPr>
        <w:spacing w:lineRule="auto" w:line="276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лицензия ФСБ России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с перечнем выполняемых работ и оказываемых услуг: монтаж, установка (инсталляция), наладка шифровальных (криптографических) средств, монтаж, установка (инсталляция), наладка защищенных с использованием шифровальных (криптографических) средств информационных систем, монтаж, установка (инсталляция), наладка защищенных с использованием шифровальных (криптографических) средств телекоммуникационных систем, работы по обслуживанию шифровальных (криптографических) средств, предусмотренные технической и эксплуатационной документацией на эти средства в части выполнения и оказания работ и услуг, составляющих лицензируемую деятельность, предусмотренных пунктами 2, 3, перечня выполняемых работ и оказываемых услуг, составляющих лицензируемую деятельность в отношении шифровальных (криптографических) средств, являющегося приложением к Положению, утвержденному постановлением Правительства Российской Федерации от 16 апреля 2012 г. № 313.</w:t>
      </w:r>
    </w:p>
    <w:p>
      <w:pPr>
        <w:pStyle w:val="Normal"/>
        <w:spacing w:lineRule="auto" w:line="276" w:before="0" w:after="0"/>
        <w:jc w:val="both"/>
        <w:rPr>
          <w:sz w:val="28"/>
          <w:szCs w:val="28"/>
        </w:rPr>
        <w:sectPr>
          <w:headerReference w:type="even" r:id="rId5"/>
          <w:headerReference w:type="default" r:id="rId6"/>
          <w:headerReference w:type="first" r:id="rId7"/>
          <w:footerReference w:type="even" r:id="rId8"/>
          <w:footerReference w:type="default" r:id="rId9"/>
          <w:footerReference w:type="first" r:id="rId10"/>
          <w:type w:val="nextPage"/>
          <w:pgSz w:w="11906" w:h="16838"/>
          <w:pgMar w:left="1134" w:right="707" w:gutter="0" w:header="709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9"/>
        <w:jc w:val="end"/>
        <w:rPr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ПРИЛОЖЕНИЕ А</w:t>
      </w:r>
      <w:r>
        <w:rPr>
          <w:sz w:val="28"/>
          <w:szCs w:val="28"/>
        </w:rPr>
        <w:t xml:space="preserve"> </w:t>
      </w:r>
    </w:p>
    <w:p>
      <w:pPr>
        <w:pStyle w:val="12"/>
        <w:numPr>
          <w:ilvl w:val="0"/>
          <w:numId w:val="0"/>
        </w:numPr>
        <w:spacing w:lineRule="auto" w:line="276"/>
        <w:ind w:hanging="0" w:start="0"/>
        <w:jc w:val="center"/>
        <w:outlineLvl w:val="0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</w:r>
    </w:p>
    <w:p>
      <w:pPr>
        <w:pStyle w:val="12"/>
        <w:numPr>
          <w:ilvl w:val="0"/>
          <w:numId w:val="0"/>
        </w:numPr>
        <w:ind w:hanging="0" w:start="0"/>
        <w:jc w:val="center"/>
        <w:outlineLvl w:val="0"/>
        <w:rPr>
          <w:sz w:val="28"/>
          <w:szCs w:val="28"/>
          <w:lang w:eastAsia="en-US" w:bidi="en-US"/>
        </w:rPr>
      </w:pPr>
      <w:bookmarkStart w:id="135" w:name="__RefHeading___Toc11574_1778912248"/>
      <w:bookmarkStart w:id="136" w:name="_Toc244015028"/>
      <w:bookmarkStart w:id="137" w:name="_Toc244022937"/>
      <w:bookmarkEnd w:id="135"/>
      <w:r>
        <w:rPr>
          <w:sz w:val="28"/>
          <w:szCs w:val="28"/>
          <w:lang w:eastAsia="en-US" w:bidi="en-US"/>
        </w:rPr>
        <w:t>Перечень и адреса существующих объектов РСОН Республики Ингушетия</w:t>
      </w:r>
      <w:bookmarkEnd w:id="136"/>
      <w:bookmarkEnd w:id="137"/>
      <w:r>
        <w:rPr>
          <w:sz w:val="28"/>
          <w:szCs w:val="28"/>
          <w:lang w:eastAsia="en-US" w:bidi="en-US"/>
        </w:rPr>
        <w:t xml:space="preserve"> </w:t>
      </w:r>
    </w:p>
    <w:tbl>
      <w:tblPr>
        <w:tblW w:w="5000" w:type="pct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52"/>
        <w:gridCol w:w="1778"/>
        <w:gridCol w:w="1507"/>
        <w:gridCol w:w="2969"/>
        <w:gridCol w:w="3159"/>
      </w:tblGrid>
      <w:tr>
        <w:trPr>
          <w:trHeight w:val="8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Населенный пункт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Адрес объекта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 объекта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Магас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Магас, ул. Д.Мальсагова, 34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РСОН РИ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65 лет Победы, д. 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РСОН РИ (ЗПУ)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С. Озиева, д. 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Магас, пер. А.Бокова, 1, здание ГБОУ «Гимназия Марем» г. Магас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Магас, ул. Д.Мальсагова, 34, здание ГУ МЧС России по РИ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Магас, ул. Д.Мальсагова, 34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Сервер сбора данных ЭМЕРСИТ М35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Магас, ул. Д.Мальсагова, 34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ТКС (Телекоммуникационный сервер "Марс Аларм")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65 лет Победы, 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ТКС (Телекоммуникационный сервер "Марс Аларм")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Кайсына Кулиева, 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Магас, ул. Бота Гагиева, 27, ГБДОУ «Детский Сад №1 «Сказка»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Магас, ул. Кайсына Кулиева, 17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Магас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Магас, пр-кт Идриса Зязикова, 2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Карабулак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ул. Промысловая, 2/2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Карабулак, ул. Осканова, 1, завод ЖБИ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Карабулак, ул. Осканова, 65, здание ГБОУ «СОШ №2 г. Карабулак»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ул. Джабагиева, 17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модуль, Базовая станция (2 шт.)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Ж.Д. станция Карабулак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УУСО-РВ (устройство управления сигналами оповещения)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мост г. Карабулак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Измерительная станция ЭМЕРСИТ М35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ул. Фрунзе, 31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Карабулак, ул. Градусова, 179а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Карабулак, ул. Пушкина, 1а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Малгобек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Малгобек, ул. Осканова, 3, здание администрации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Гоголя, 2а, здание ГБОУ «СОШ №18 г. Малгобек»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Гарданова, 25, здание ГБОУ «СОШ №20 г. Малгобек»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Малгобек, ул. Орджоникидзе, 3, здание ГБОУ «СОШ №3 г. Малгобек»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Осканова, 1, здание администрации Малгобекского района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модуль, Беспроводной мост</w:t>
            </w:r>
          </w:p>
        </w:tc>
      </w:tr>
      <w:tr>
        <w:trPr>
          <w:trHeight w:val="422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 Малгобекского муниципального района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Физкультурная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Кооперативная, 22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им. Героя России Ахмеда Котиева, 5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Базоркина, 51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радиодоступа, шкаф контроля и электропитания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Малгобек, ул. им. Героя России Ахмеда Котиева, 5, ГБОУ «СОШ №16 г. Малгобек»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Полукомплект радиомоста широкополосного радиодоступа (3 шт.), шкаф контроля и электропитания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Малгобекский муниципальный район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Малгобекский район, с. Инарки, ул. Тонта Укурова, 14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Малгобекский район, с. Инарки, ул. Тонта Укурова, 47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Малгобекский район, с. Инарки, ул. Тонта Укурова, 13, ГБОУ «СОШ №12 с.п. Инарки»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 (2 шт.), Полукомплект радиомоста широкополосного радиодоступа, шкаф контроля и электропитания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Инарки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Малгобекский район, с. Инарки, ул. 50 лет Октября, 3 б, ГБДОУ «Детский сад №10 с. п. Инарки «Мир чудес»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Полукомплект радиомоста широкополосного радиодоступа (2 шт.), шкаф контроля и электропитания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Пседах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Малгобекский район, с. Пседах, ул. Школьная, 19а, ГБОУ «СОШ №25 с.п. Пседах»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радиодоступа, Полукомплект радиомоста широкополосного радиодоступа (2 шт.), шкаф контроля и электропитания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Назрань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Назрань, пр-кт И.Базоркина, 13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Назрань, пр-кт И.Базоркина, 13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 Назрановского муниципального района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Назрань, пр-кт И.Базоркина, 16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Нурадилова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Фабричная, 26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Муталиева, 2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Магомеда-Ахмеда, 36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Назрань, ул. Муталиева, 24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Бакинская, 57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Эсмурзиева, 20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Школьная, 30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90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Магистральная, 35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радиодоступа, Беспроводной мост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Московская, 20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радиодоступа, Беспроводной мост (3 шт.)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Амерханова, 10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Албогачиева, 59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Новая, 15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Назрань, ул. Арчакова, 6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Абдул-Гамида Тангиева, 45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Халмурзиева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1126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Советская, 16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Назрань, ул. Весенняя, 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Албогачиева, 143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Мартазанова, 59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пр-кт И.Базоркина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Суворова, 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Суворова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Центральная, 58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Мурманская, 24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Назрань, ул. Бакинская, 89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669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муниципальный район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Экажево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с.п. Экажево, ул. Ингушская, 45, здание администрации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5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Гази-Юрт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Гази-Юрт, ул. Школьная, 3Б, здание администрации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56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Назрановский район, с. Кантышево, ул. Школьная, 14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45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Али Дзаурова, 33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1137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Джабагиева, 115 МФЦ (опора)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60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Иналова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60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Кантышево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Кантышево, ул. Шерипова, 1, ГБОУ «СОШ-ДС №1 с.п. Кантышево»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Базовая станция широкополосного радиодоступа Полукомплект радиомоста широкополосного радиодоступа (2 шт.), шкаф контроля и электропитания</w:t>
            </w:r>
          </w:p>
        </w:tc>
      </w:tr>
      <w:tr>
        <w:trPr>
          <w:trHeight w:val="55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Долаково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Долаково, ул. Дахкильгова, 44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76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Долаково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Назрановский район, с. Долаково, ул. Мислаурова, 36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76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Долаково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Долаково, ул. Дахкильгова, 8б, здание администрации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Базовая станция широкополосного радиодоступа, Полукомплект радиомоста широкополосного радиодоступа, шкаф контроля и электропитания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ул. Привокзальная, 3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ФОК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Назрановский район, с. Плиево, ул. им. Сулумбека Осканова, 97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Назрановский район, с. Плиево, ул. 1-ая Заводская, 15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Назрановский район, с. Плиево, ул. им. Сулумбека Осканова, 14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111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ул. Али Горчкханова, 100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155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Плиево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район, с. Плиево, ул. Больничная, 4, Онкологический диспансер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Базовая станция широкополосного радиодоступа (2 шт.), Полукомплект радиомоста широкополосного радиодоступа, шкаф контроля и электропитания</w:t>
            </w:r>
          </w:p>
        </w:tc>
      </w:tr>
      <w:tr>
        <w:trPr>
          <w:trHeight w:val="14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Назрановский район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Назрановский район, на посту ДПС магазин ООО «Евстрой»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Полукомплект радиомоста широкополосного радиодоступа (2 шт.), шкаф контроля и электропитания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округ Сунжа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Менделеева, 36, здание ГБОУ «СОШ №4 г. Сунжа»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Сунжа, ул. Висаитова, 2, здание ж.д. вокзала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Грозненская, 1, здание ГБОУ «СОШ № 6 г. Сунжа»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Осканова, 5, здание ГБУЗ «СЦРБ»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Сунжа, ул. Трудовая, д. 1, ООО «РН-Ингушнефтепродукт»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Новая Кирова, 10, здание ГБОУ «СОШ №7 г. Сунжа»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Сунжа, ул. Висаитова, 85, здание ГБОУ «СОШ №3 г. Сунжа»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Сейнароева, 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Базовая станция (2 шт.)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г. Сунжа, ул. Свердлова, 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управления</w:t>
            </w:r>
          </w:p>
        </w:tc>
      </w:tr>
      <w:tr>
        <w:trPr>
          <w:trHeight w:val="32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Свердлова, 1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Плиева, 68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Сунжа, ул. Жукова, 4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400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муниципальный район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6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мост с.п. Троицкое</w:t>
            </w:r>
          </w:p>
        </w:tc>
        <w:tc>
          <w:tcPr>
            <w:tcW w:w="3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Измерительная станция ЭМЕРСИТ М35</w:t>
            </w:r>
          </w:p>
        </w:tc>
      </w:tr>
      <w:tr>
        <w:trPr>
          <w:trHeight w:val="772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6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Сунженский район, с.п. Троицкое, ул. Широкая, б/н, Мечеть</w:t>
            </w:r>
          </w:p>
        </w:tc>
        <w:tc>
          <w:tcPr>
            <w:tcW w:w="3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82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Сунженский район, с.п. Троицкое, ул. Шоссейная, 1, здание ГБОУ «ООШ №3 с.п. Троицкое»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82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Троицкое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Сунженский район, с.п. Троицкое, ул. Речная, 3, здание администрации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82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ст-ца Нестеровская, переулок Аушева, д. 5а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управления ЕДДС Сунженского муниципального района</w:t>
            </w:r>
          </w:p>
        </w:tc>
      </w:tr>
      <w:tr>
        <w:trPr>
          <w:trHeight w:val="547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Сунженский район, ст-ца Нестеровская, ул. Первомайская, 46а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47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ст-ца Нестеровская, ул. Рашида Аушева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596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Сунженский район, ст-ца Нестеровская, ул. Мира, 147А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8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ст-ца Нестеровская, ул. Ленина, 68, ГБОУ «СОШ №2 с.п. Нестеровское»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8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ст-ца Нестеровская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Сунженский район, ст-ца Нестеровская, ул. Первомайская, 48, здание ДК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Базовая станция широкополосного радиодоступа (2 шт.), Полукомплект радиомоста широкополосного радиодоступа (2 шт.), шкаф контроля и электропитания</w:t>
            </w:r>
          </w:p>
        </w:tc>
      </w:tr>
      <w:tr>
        <w:trPr>
          <w:trHeight w:val="28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с. Алхасты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с. Алхасты, ул. Ленина, 39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 сиренно-речевого оповещения, Абонентское устройство широкополосного радиодоступа</w:t>
            </w:r>
          </w:p>
        </w:tc>
      </w:tr>
      <w:tr>
        <w:trPr>
          <w:trHeight w:val="288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Алхасты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Сунженский район, с. Алхасты, ул. Центральная, 16, ГБОУ «СОШ-ДС с.п. Алхасты»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широкополосного радиодоступа, Полукомплект радиомоста широкополосного радиодоступа, шкаф контроля и электропитания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Джейрахский муниципальный район</w:t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Джейрах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Джейрахский район, с.п. Джейрах, ул. Д.Льянова, 10, здание ГБОУ «СОШ - детский сад с.п. Джейрах»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Сиренно-речевая установка (БАО-600 с АС-600),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Джейрах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Джейрахский район, с.п. Джейрах, ул. Д.Льянова, 37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Пульт управления ЕДДС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Джейрах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Джейрахский район, с.п. Джейрах, ул. Д.Льянова, 37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Абонентский широполосный модуль</w:t>
            </w:r>
          </w:p>
        </w:tc>
      </w:tr>
      <w:tr>
        <w:trPr>
          <w:trHeight w:val="264" w:hRule="atLeast"/>
        </w:trPr>
        <w:tc>
          <w:tcPr>
            <w:tcW w:w="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snapToGrid w:val="false"/>
              <w:spacing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с.п. Джейрах</w:t>
            </w:r>
          </w:p>
        </w:tc>
        <w:tc>
          <w:tcPr>
            <w:tcW w:w="2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>Джейрахский район, Столовая гора</w:t>
            </w:r>
          </w:p>
        </w:tc>
        <w:tc>
          <w:tcPr>
            <w:tcW w:w="3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мост (2 шт.)</w:t>
            </w:r>
          </w:p>
        </w:tc>
      </w:tr>
    </w:tbl>
    <w:p>
      <w:pPr>
        <w:pStyle w:val="12"/>
        <w:spacing w:lineRule="auto" w:line="276"/>
        <w:jc w:val="center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</w:r>
    </w:p>
    <w:sectPr>
      <w:headerReference w:type="even" r:id="rId11"/>
      <w:headerReference w:type="default" r:id="rId12"/>
      <w:headerReference w:type="first" r:id="rId13"/>
      <w:footerReference w:type="even" r:id="rId14"/>
      <w:footerReference w:type="default" r:id="rId15"/>
      <w:footerReference w:type="first" r:id="rId16"/>
      <w:type w:val="nextPage"/>
      <w:pgSz w:w="11906" w:h="16838"/>
      <w:pgMar w:left="1134" w:right="707" w:gutter="0" w:header="709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Symbol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Wingdings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 Narrow">
    <w:charset w:val="01" w:characterSet="utf-8"/>
    <w:family w:val="swiss"/>
    <w:pitch w:val="variable"/>
  </w:font>
  <w:font w:name="Symbol">
    <w:charset w:val="02"/>
    <w:family w:val="auto"/>
    <w:pitch w:val="default"/>
  </w:font>
  <w:font w:name="Cambria">
    <w:charset w:val="01"/>
    <w:family w:val="roman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30</w:t>
    </w:r>
    <w:r>
      <w:rPr>
        <w:rStyle w:val="PageNumber"/>
      </w:rPr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suff w:val="space"/>
      <w:lvlText w:val="%1"/>
      <w:lvlJc w:val="start"/>
      <w:pPr>
        <w:tabs>
          <w:tab w:val="num" w:pos="0"/>
        </w:tabs>
        <w:ind w:start="851" w:hanging="0"/>
      </w:pPr>
      <w:rPr>
        <w:color w:val="000000"/>
      </w:rPr>
    </w:lvl>
    <w:lvl w:ilvl="1">
      <w:start w:val="1"/>
      <w:numFmt w:val="decimal"/>
      <w:suff w:val="space"/>
      <w:lvlText w:val="%1.%2"/>
      <w:lvlJc w:val="start"/>
      <w:pPr>
        <w:tabs>
          <w:tab w:val="num" w:pos="0"/>
        </w:tabs>
        <w:ind w:start="4395" w:hanging="0"/>
      </w:pPr>
      <w:rPr/>
    </w:lvl>
    <w:lvl w:ilvl="2">
      <w:start w:val="1"/>
      <w:numFmt w:val="decimal"/>
      <w:pStyle w:val="Heading3"/>
      <w:suff w:val="space"/>
      <w:lvlText w:val="%1.%2.%3"/>
      <w:lvlJc w:val="start"/>
      <w:pPr>
        <w:tabs>
          <w:tab w:val="num" w:pos="0"/>
        </w:tabs>
        <w:ind w:start="5388" w:hanging="0"/>
      </w:pPr>
      <w:rPr/>
    </w:lvl>
    <w:lvl w:ilvl="3">
      <w:start w:val="1"/>
      <w:numFmt w:val="decimal"/>
      <w:pStyle w:val="Heading4"/>
      <w:suff w:val="space"/>
      <w:lvlText w:val="%1.%2.%3.%4"/>
      <w:lvlJc w:val="start"/>
      <w:pPr>
        <w:tabs>
          <w:tab w:val="num" w:pos="0"/>
        </w:tabs>
        <w:ind w:start="851" w:hanging="0"/>
      </w:pPr>
      <w:rPr/>
    </w:lvl>
    <w:lvl w:ilvl="4">
      <w:start w:val="1"/>
      <w:numFmt w:val="decimal"/>
      <w:pStyle w:val="Heading5"/>
      <w:suff w:val="space"/>
      <w:lvlText w:val="%1.%2.%3.%4.%5"/>
      <w:lvlJc w:val="start"/>
      <w:pPr>
        <w:tabs>
          <w:tab w:val="num" w:pos="0"/>
        </w:tabs>
        <w:ind w:start="851" w:hanging="0"/>
      </w:pPr>
      <w:rPr/>
    </w:lvl>
    <w:lvl w:ilvl="5">
      <w:start w:val="1"/>
      <w:numFmt w:val="decimal"/>
      <w:pStyle w:val="Heading6"/>
      <w:suff w:val="space"/>
      <w:lvlText w:val="%1.%2.%3.%4.%5.%6"/>
      <w:lvlJc w:val="start"/>
      <w:pPr>
        <w:tabs>
          <w:tab w:val="num" w:pos="0"/>
        </w:tabs>
        <w:ind w:start="851" w:hanging="0"/>
      </w:pPr>
      <w:rPr/>
    </w:lvl>
    <w:lvl w:ilvl="6">
      <w:start w:val="1"/>
      <w:numFmt w:val="decimal"/>
      <w:pStyle w:val="Heading7"/>
      <w:suff w:val="space"/>
      <w:lvlText w:val="%1.%2.%3.%4.%5.%6.%7"/>
      <w:lvlJc w:val="start"/>
      <w:pPr>
        <w:tabs>
          <w:tab w:val="num" w:pos="0"/>
        </w:tabs>
        <w:ind w:start="851" w:hanging="0"/>
      </w:pPr>
      <w:rPr/>
    </w:lvl>
    <w:lvl w:ilvl="7">
      <w:start w:val="1"/>
      <w:numFmt w:val="decimal"/>
      <w:pStyle w:val="Heading8"/>
      <w:suff w:val="space"/>
      <w:lvlText w:val="%1.%2.%3.%4.%5.%6.%7.%8"/>
      <w:lvlJc w:val="start"/>
      <w:pPr>
        <w:tabs>
          <w:tab w:val="num" w:pos="0"/>
        </w:tabs>
        <w:ind w:start="851" w:hanging="0"/>
      </w:pPr>
      <w:rPr/>
    </w:lvl>
    <w:lvl w:ilvl="8">
      <w:start w:val="1"/>
      <w:numFmt w:val="decimal"/>
      <w:pStyle w:val="Heading9"/>
      <w:suff w:val="space"/>
      <w:lvlText w:val="%1.%2.%3.%4.%5.%6.%7.%8.%9"/>
      <w:lvlJc w:val="start"/>
      <w:pPr>
        <w:tabs>
          <w:tab w:val="num" w:pos="0"/>
        </w:tabs>
        <w:ind w:start="851" w:hanging="0"/>
      </w:pPr>
      <w:rPr/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1353" w:hanging="360"/>
      </w:pPr>
      <w:rPr/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1429" w:hanging="360"/>
      </w:pPr>
      <w:rPr/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color w:val="000000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1571"/>
        </w:tabs>
        <w:ind w:start="1571" w:hanging="358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6">
    <w:lvl w:ilvl="0">
      <w:start w:val="1"/>
      <w:numFmt w:val="bullet"/>
      <w:lvlText w:val="‒"/>
      <w:lvlJc w:val="start"/>
      <w:pPr>
        <w:tabs>
          <w:tab w:val="num" w:pos="0"/>
        </w:tabs>
        <w:ind w:start="1429" w:hanging="360"/>
      </w:pPr>
      <w:rPr>
        <w:rFonts w:ascii="Times New Roman" w:hAnsi="Times New Roman" w:cs="Times New Roman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7">
    <w:lvl w:ilvl="0">
      <w:start w:val="1"/>
      <w:numFmt w:val="bullet"/>
      <w:lvlText w:val="‒"/>
      <w:lvlJc w:val="start"/>
      <w:pPr>
        <w:tabs>
          <w:tab w:val="num" w:pos="0"/>
        </w:tabs>
        <w:ind w:start="1571" w:hanging="360"/>
      </w:pPr>
      <w:rPr>
        <w:rFonts w:ascii="Times New Roman" w:hAnsi="Times New Roman" w:cs="Times New Roman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8">
    <w:lvl w:ilvl="0">
      <w:start w:val="1"/>
      <w:numFmt w:val="bullet"/>
      <w:lvlText w:val="-"/>
      <w:lvlJc w:val="start"/>
      <w:pPr>
        <w:tabs>
          <w:tab w:val="num" w:pos="0"/>
        </w:tabs>
        <w:ind w:start="1495" w:hanging="360"/>
      </w:pPr>
      <w:rPr>
        <w:rFonts w:ascii="Times New Roman" w:hAnsi="Times New Roman" w:cs="Times New Roman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1571"/>
        </w:tabs>
        <w:ind w:start="1571" w:hanging="360"/>
      </w:pPr>
      <w:rPr/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0">
    <w:lvl w:ilvl="0">
      <w:start w:val="1"/>
      <w:numFmt w:val="bullet"/>
      <w:lvlText w:val="‒"/>
      <w:lvlJc w:val="start"/>
      <w:pPr>
        <w:tabs>
          <w:tab w:val="num" w:pos="0"/>
        </w:tabs>
        <w:ind w:start="1429" w:hanging="360"/>
      </w:pPr>
      <w:rPr>
        <w:rFonts w:ascii="Cambria" w:hAnsi="Cambria" w:cs="Cambria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1">
    <w:lvl w:ilvl="0">
      <w:numFmt w:val="bullet"/>
      <w:lvlText w:val="-"/>
      <w:lvlJc w:val="start"/>
      <w:pPr>
        <w:tabs>
          <w:tab w:val="num" w:pos="0"/>
        </w:tabs>
        <w:ind w:start="1571" w:hanging="360"/>
      </w:pPr>
      <w:rPr>
        <w:rFonts w:ascii="Times New Roman" w:hAnsi="Times New Roman" w:cs="Times New Roman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2">
    <w:lvl w:ilvl="0">
      <w:start w:val="1"/>
      <w:numFmt w:val="bullet"/>
      <w:lvlText w:val="-"/>
      <w:lvlJc w:val="start"/>
      <w:pPr>
        <w:tabs>
          <w:tab w:val="num" w:pos="0"/>
        </w:tabs>
        <w:ind w:start="1486" w:hanging="360"/>
      </w:pPr>
      <w:rPr>
        <w:rFonts w:ascii="Courier New" w:hAnsi="Courier New" w:cs="Courier New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3">
    <w:lvl w:ilvl="0">
      <w:numFmt w:val="bullet"/>
      <w:lvlText w:val="–"/>
      <w:lvlJc w:val="start"/>
      <w:pPr>
        <w:tabs>
          <w:tab w:val="num" w:pos="1620"/>
        </w:tabs>
        <w:ind w:start="1620" w:hanging="769"/>
      </w:pPr>
      <w:rPr>
        <w:rFonts w:ascii="Times New Roman" w:hAnsi="Times New Roman" w:cs="Times New Roman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4">
    <w:lvl w:ilvl="0">
      <w:start w:val="1"/>
      <w:numFmt w:val="bullet"/>
      <w:lvlText w:val="‒"/>
      <w:lvlJc w:val="start"/>
      <w:pPr>
        <w:tabs>
          <w:tab w:val="num" w:pos="0"/>
        </w:tabs>
        <w:ind w:start="1571" w:hanging="360"/>
      </w:pPr>
      <w:rPr>
        <w:rFonts w:ascii="Cambria" w:hAnsi="Cambria" w:cs="Cambria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5">
    <w:lvl w:ilvl="0">
      <w:start w:val="1"/>
      <w:numFmt w:val="upperRoman"/>
      <w:lvlText w:val="%1."/>
      <w:lvlJc w:val="start"/>
      <w:pPr>
        <w:tabs>
          <w:tab w:val="num" w:pos="0"/>
        </w:tabs>
        <w:ind w:start="2171" w:hanging="1320"/>
      </w:pPr>
      <w:rPr/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6">
    <w:lvl w:ilvl="0">
      <w:start w:val="1"/>
      <w:numFmt w:val="decimal"/>
      <w:lvlText w:val="%1."/>
      <w:lvlJc w:val="start"/>
      <w:pPr>
        <w:tabs>
          <w:tab w:val="num" w:pos="708"/>
        </w:tabs>
        <w:ind w:start="720" w:hanging="360"/>
      </w:pPr>
      <w:rPr/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7">
    <w:lvl w:ilvl="0">
      <w:start w:val="1"/>
      <w:numFmt w:val="decimal"/>
      <w:lvlText w:val="%1."/>
      <w:lvlJc w:val="start"/>
      <w:pPr>
        <w:tabs>
          <w:tab w:val="num" w:pos="0"/>
        </w:tabs>
        <w:ind w:start="450" w:hanging="45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1571" w:hanging="72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422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3633" w:hanging="108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4484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5695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6906" w:hanging="180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7757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8968" w:hanging="2160"/>
      </w:pPr>
      <w:rPr/>
    </w:lvl>
  </w:abstractNum>
  <w:abstractNum w:abstractNumId="18">
    <w:lvl w:ilvl="0">
      <w:start w:val="1"/>
      <w:numFmt w:val="bullet"/>
      <w:suff w:val="space"/>
      <w:lvlText w:val="-"/>
      <w:lvlJc w:val="start"/>
      <w:pPr>
        <w:tabs>
          <w:tab w:val="num" w:pos="0"/>
        </w:tabs>
        <w:ind w:start="1571" w:hanging="360"/>
      </w:pPr>
      <w:rPr>
        <w:rFonts w:ascii="Courier New" w:hAnsi="Courier New" w:cs="Courier New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9">
    <w:lvl w:ilvl="0">
      <w:start w:val="1"/>
      <w:numFmt w:val="bullet"/>
      <w:suff w:val="space"/>
      <w:lvlText w:val="-"/>
      <w:lvlJc w:val="start"/>
      <w:pPr>
        <w:tabs>
          <w:tab w:val="num" w:pos="0"/>
        </w:tabs>
        <w:ind w:start="1571" w:hanging="360"/>
      </w:pPr>
      <w:rPr>
        <w:rFonts w:ascii="Courier New" w:hAnsi="Courier New" w:cs="Courier New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12"/>
    <w:next w:val="12"/>
    <w:uiPriority w:val="9"/>
    <w:qFormat/>
    <w:pPr>
      <w:keepNext w:val="true"/>
      <w:pageBreakBefore/>
      <w:numPr>
        <w:ilvl w:val="0"/>
        <w:numId w:val="1"/>
      </w:numPr>
      <w:spacing w:lineRule="auto" w:line="276"/>
      <w:ind w:start="0"/>
      <w:jc w:val="center"/>
      <w:outlineLvl w:val="0"/>
    </w:pPr>
    <w:rPr>
      <w:b/>
      <w:bCs/>
      <w:caps/>
      <w:kern w:val="2"/>
      <w:sz w:val="28"/>
      <w:szCs w:val="28"/>
    </w:rPr>
  </w:style>
  <w:style w:type="paragraph" w:styleId="Heading2">
    <w:name w:val="heading 2"/>
    <w:basedOn w:val="12"/>
    <w:next w:val="12"/>
    <w:uiPriority w:val="9"/>
    <w:unhideWhenUsed/>
    <w:qFormat/>
    <w:pPr>
      <w:keepNext w:val="true"/>
      <w:spacing w:lineRule="auto" w:line="276"/>
      <w:ind w:hanging="0" w:start="851"/>
      <w:jc w:val="start"/>
      <w:outlineLvl w:val="1"/>
    </w:pPr>
    <w:rPr>
      <w:b/>
      <w:bCs/>
      <w:sz w:val="28"/>
      <w:szCs w:val="32"/>
    </w:rPr>
  </w:style>
  <w:style w:type="paragraph" w:styleId="Heading3">
    <w:name w:val="heading 3"/>
    <w:basedOn w:val="12"/>
    <w:next w:val="12"/>
    <w:uiPriority w:val="9"/>
    <w:unhideWhenUsed/>
    <w:qFormat/>
    <w:pPr>
      <w:keepNext w:val="true"/>
      <w:numPr>
        <w:ilvl w:val="2"/>
        <w:numId w:val="1"/>
      </w:numPr>
      <w:spacing w:lineRule="auto" w:line="276"/>
      <w:outlineLvl w:val="2"/>
    </w:pPr>
    <w:rPr>
      <w:b/>
      <w:bCs/>
      <w:sz w:val="28"/>
      <w:szCs w:val="28"/>
    </w:rPr>
  </w:style>
  <w:style w:type="paragraph" w:styleId="Heading4">
    <w:name w:val="heading 4"/>
    <w:basedOn w:val="12"/>
    <w:next w:val="12"/>
    <w:uiPriority w:val="9"/>
    <w:unhideWhenUsed/>
    <w:qFormat/>
    <w:pPr>
      <w:keepNext w:val="true"/>
      <w:numPr>
        <w:ilvl w:val="3"/>
        <w:numId w:val="1"/>
      </w:numPr>
      <w:spacing w:lineRule="auto" w:line="276"/>
      <w:ind w:start="0"/>
      <w:outlineLvl w:val="3"/>
    </w:pPr>
    <w:rPr>
      <w:b/>
      <w:bCs/>
      <w:sz w:val="28"/>
      <w:szCs w:val="28"/>
    </w:rPr>
  </w:style>
  <w:style w:type="paragraph" w:styleId="Heading5">
    <w:name w:val="heading 5"/>
    <w:basedOn w:val="12"/>
    <w:next w:val="12"/>
    <w:uiPriority w:val="9"/>
    <w:semiHidden/>
    <w:unhideWhenUsed/>
    <w:qFormat/>
    <w:pPr>
      <w:numPr>
        <w:ilvl w:val="4"/>
        <w:numId w:val="1"/>
      </w:numPr>
      <w:spacing w:before="240" w:after="60"/>
      <w:ind w:start="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color w:val="000000"/>
    </w:rPr>
  </w:style>
  <w:style w:type="character" w:styleId="WW8Num1z1" w:customStyle="1">
    <w:name w:val="WW8Num1z1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6z0" w:customStyle="1">
    <w:name w:val="WW8Num6z0"/>
    <w:qFormat/>
    <w:rPr>
      <w:color w:val="000000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8z0" w:customStyle="1">
    <w:name w:val="WW8Num8z0"/>
    <w:qFormat/>
    <w:rPr>
      <w:rFonts w:ascii="Times New Roman" w:hAnsi="Times New Roman" w:cs="Times New Roman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>
      <w:rFonts w:ascii="Times New Roman" w:hAnsi="Times New Roman" w:cs="Times New Roman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>
      <w:rFonts w:ascii="Times New Roman" w:hAnsi="Times New Roman" w:cs="Times New Roman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Courier New" w:hAnsi="Courier New" w:cs="Courier New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2z3" w:customStyle="1">
    <w:name w:val="WW8Num12z3"/>
    <w:qFormat/>
    <w:rPr>
      <w:rFonts w:ascii="Symbol" w:hAnsi="Symbol" w:cs="Symbol"/>
    </w:rPr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6z0" w:customStyle="1">
    <w:name w:val="WW8Num16z0"/>
    <w:qFormat/>
    <w:rPr>
      <w:rFonts w:ascii="Cambria" w:hAnsi="Cambria" w:cs="Cambria"/>
    </w:rPr>
  </w:style>
  <w:style w:type="character" w:styleId="WW8Num16z1" w:customStyle="1">
    <w:name w:val="WW8Num16z1"/>
    <w:qFormat/>
    <w:rPr>
      <w:rFonts w:ascii="Tahoma" w:hAnsi="Tahoma" w:cs="Tahoma"/>
    </w:rPr>
  </w:style>
  <w:style w:type="character" w:styleId="WW8Num16z2" w:customStyle="1">
    <w:name w:val="WW8Num16z2"/>
    <w:qFormat/>
    <w:rPr>
      <w:rFonts w:ascii="Calibri" w:hAnsi="Calibri" w:cs="Calibri"/>
    </w:rPr>
  </w:style>
  <w:style w:type="character" w:styleId="WW8Num16z3" w:customStyle="1">
    <w:name w:val="WW8Num16z3"/>
    <w:qFormat/>
    <w:rPr>
      <w:rFonts w:ascii="Arial" w:hAnsi="Arial" w:cs="Arial"/>
    </w:rPr>
  </w:style>
  <w:style w:type="character" w:styleId="WW8Num17z0" w:customStyle="1">
    <w:name w:val="WW8Num17z0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>
      <w:rFonts w:ascii="Times New Roman" w:hAnsi="Times New Roman" w:eastAsia="Calibri" w:cs="Times New Roman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2" w:customStyle="1">
    <w:name w:val="WW8Num18z2"/>
    <w:qFormat/>
    <w:rPr>
      <w:rFonts w:ascii="Wingdings" w:hAnsi="Wingdings" w:cs="Wingdings"/>
    </w:rPr>
  </w:style>
  <w:style w:type="character" w:styleId="WW8Num18z3" w:customStyle="1">
    <w:name w:val="WW8Num18z3"/>
    <w:qFormat/>
    <w:rPr>
      <w:rFonts w:ascii="Symbol" w:hAnsi="Symbol" w:cs="Symbol"/>
    </w:rPr>
  </w:style>
  <w:style w:type="character" w:styleId="WW8Num19z0" w:customStyle="1">
    <w:name w:val="WW8Num19z0"/>
    <w:qFormat/>
    <w:rPr>
      <w:rFonts w:ascii="Courier New" w:hAnsi="Courier New" w:cs="Courier New"/>
    </w:rPr>
  </w:style>
  <w:style w:type="character" w:styleId="WW8Num19z2" w:customStyle="1">
    <w:name w:val="WW8Num19z2"/>
    <w:qFormat/>
    <w:rPr>
      <w:rFonts w:ascii="Wingdings" w:hAnsi="Wingdings" w:cs="Wingdings"/>
    </w:rPr>
  </w:style>
  <w:style w:type="character" w:styleId="WW8Num19z3" w:customStyle="1">
    <w:name w:val="WW8Num19z3"/>
    <w:qFormat/>
    <w:rPr>
      <w:rFonts w:ascii="Symbol" w:hAnsi="Symbol" w:cs="Symbol"/>
    </w:rPr>
  </w:style>
  <w:style w:type="character" w:styleId="WW8Num20z0" w:customStyle="1">
    <w:name w:val="WW8Num20z0"/>
    <w:qFormat/>
    <w:rPr>
      <w:rFonts w:ascii="Times New Roman" w:hAnsi="Times New Roman" w:cs="Times New Roman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2" w:customStyle="1">
    <w:name w:val="WW8Num20z2"/>
    <w:qFormat/>
    <w:rPr>
      <w:rFonts w:ascii="Wingdings" w:hAnsi="Wingdings" w:cs="Wingdings"/>
    </w:rPr>
  </w:style>
  <w:style w:type="character" w:styleId="WW8Num20z3" w:customStyle="1">
    <w:name w:val="WW8Num20z3"/>
    <w:qFormat/>
    <w:rPr>
      <w:rFonts w:ascii="Symbol" w:hAnsi="Symbol" w:cs="Symbol"/>
    </w:rPr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>
      <w:rFonts w:ascii="Cambria" w:hAnsi="Cambria" w:cs="Cambria"/>
    </w:rPr>
  </w:style>
  <w:style w:type="character" w:styleId="WW8Num23z1" w:customStyle="1">
    <w:name w:val="WW8Num23z1"/>
    <w:qFormat/>
    <w:rPr>
      <w:rFonts w:ascii="Tahoma" w:hAnsi="Tahoma" w:cs="Tahoma"/>
    </w:rPr>
  </w:style>
  <w:style w:type="character" w:styleId="WW8Num23z2" w:customStyle="1">
    <w:name w:val="WW8Num23z2"/>
    <w:qFormat/>
    <w:rPr>
      <w:rFonts w:ascii="Calibri" w:hAnsi="Calibri" w:cs="Calibri"/>
    </w:rPr>
  </w:style>
  <w:style w:type="character" w:styleId="WW8Num23z3" w:customStyle="1">
    <w:name w:val="WW8Num23z3"/>
    <w:qFormat/>
    <w:rPr>
      <w:rFonts w:ascii="Arial" w:hAnsi="Arial" w:cs="Arial"/>
    </w:rPr>
  </w:style>
  <w:style w:type="character" w:styleId="WW8Num24z0" w:customStyle="1">
    <w:name w:val="WW8Num24z0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/>
  </w:style>
  <w:style w:type="character" w:styleId="WW8Num27z0" w:customStyle="1">
    <w:name w:val="WW8Num27z0"/>
    <w:qFormat/>
    <w:rPr/>
  </w:style>
  <w:style w:type="character" w:styleId="WW8Num28z0" w:customStyle="1">
    <w:name w:val="WW8Num28z0"/>
    <w:qFormat/>
    <w:rPr>
      <w:rFonts w:ascii="Courier New" w:hAnsi="Courier New" w:cs="Courier New"/>
    </w:rPr>
  </w:style>
  <w:style w:type="character" w:styleId="WW8Num28z2" w:customStyle="1">
    <w:name w:val="WW8Num28z2"/>
    <w:qFormat/>
    <w:rPr>
      <w:rFonts w:ascii="Wingdings" w:hAnsi="Wingdings" w:cs="Wingdings"/>
    </w:rPr>
  </w:style>
  <w:style w:type="character" w:styleId="WW8Num28z3" w:customStyle="1">
    <w:name w:val="WW8Num28z3"/>
    <w:qFormat/>
    <w:rPr>
      <w:rFonts w:ascii="Symbol" w:hAnsi="Symbol" w:cs="Symbol"/>
    </w:rPr>
  </w:style>
  <w:style w:type="character" w:styleId="WW8Num29z2" w:customStyle="1">
    <w:name w:val="WW8Num29z2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515151"/>
      <w:spacing w:val="0"/>
      <w:w w:val="100"/>
      <w:position w:val="0"/>
      <w:sz w:val="16"/>
      <w:szCs w:val="16"/>
      <w:u w:val="none"/>
      <w:shd w:fill="auto" w:val="clear"/>
      <w:vertAlign w:val="baseline"/>
      <w:lang w:val="ru-RU" w:bidi="ru-RU"/>
    </w:rPr>
  </w:style>
  <w:style w:type="character" w:styleId="WW8Num30z0" w:customStyle="1">
    <w:name w:val="WW8Num30z0"/>
    <w:qFormat/>
    <w:rPr>
      <w:rFonts w:ascii="Courier New" w:hAnsi="Courier New" w:cs="Courier New"/>
    </w:rPr>
  </w:style>
  <w:style w:type="character" w:styleId="WW8Num30z2" w:customStyle="1">
    <w:name w:val="WW8Num30z2"/>
    <w:qFormat/>
    <w:rPr>
      <w:rFonts w:ascii="Wingdings" w:hAnsi="Wingdings" w:cs="Wingdings"/>
    </w:rPr>
  </w:style>
  <w:style w:type="character" w:styleId="WW8Num30z3" w:customStyle="1">
    <w:name w:val="WW8Num30z3"/>
    <w:qFormat/>
    <w:rPr>
      <w:rFonts w:ascii="Symbol" w:hAnsi="Symbol" w:cs="Symbol"/>
    </w:rPr>
  </w:style>
  <w:style w:type="character" w:styleId="WW8Num31z0" w:customStyle="1">
    <w:name w:val="WW8Num31z0"/>
    <w:qFormat/>
    <w:rPr>
      <w:rFonts w:ascii="Times New Roman" w:hAnsi="Times New Roman" w:cs="Times New Roman"/>
    </w:rPr>
  </w:style>
  <w:style w:type="character" w:styleId="WW8Num31z1" w:customStyle="1">
    <w:name w:val="WW8Num31z1"/>
    <w:qFormat/>
    <w:rPr>
      <w:rFonts w:ascii="Times New Roman" w:hAnsi="Times New Roman" w:eastAsia="Calibri" w:cs="Times New Roman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WW8Num31z4" w:customStyle="1">
    <w:name w:val="WW8Num31z4"/>
    <w:qFormat/>
    <w:rPr>
      <w:rFonts w:ascii="Courier New" w:hAnsi="Courier New" w:cs="Courier New"/>
    </w:rPr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>
      <w:rFonts w:ascii="Courier New" w:hAnsi="Courier New" w:cs="Courier New"/>
    </w:rPr>
  </w:style>
  <w:style w:type="character" w:styleId="WW8Num33z2" w:customStyle="1">
    <w:name w:val="WW8Num33z2"/>
    <w:qFormat/>
    <w:rPr>
      <w:rFonts w:ascii="Wingdings" w:hAnsi="Wingdings" w:cs="Wingdings"/>
    </w:rPr>
  </w:style>
  <w:style w:type="character" w:styleId="WW8Num33z3" w:customStyle="1">
    <w:name w:val="WW8Num33z3"/>
    <w:qFormat/>
    <w:rPr>
      <w:rFonts w:ascii="Symbol" w:hAnsi="Symbol" w:cs="Symbol"/>
    </w:rPr>
  </w:style>
  <w:style w:type="character" w:styleId="WW8Num34z0" w:customStyle="1">
    <w:name w:val="WW8Num34z0"/>
    <w:qFormat/>
    <w:rPr>
      <w:rFonts w:ascii="Courier New" w:hAnsi="Courier New" w:cs="Courier New"/>
    </w:rPr>
  </w:style>
  <w:style w:type="character" w:styleId="WW8Num34z2" w:customStyle="1">
    <w:name w:val="WW8Num34z2"/>
    <w:qFormat/>
    <w:rPr>
      <w:rFonts w:ascii="Wingdings" w:hAnsi="Wingdings" w:cs="Wingdings"/>
    </w:rPr>
  </w:style>
  <w:style w:type="character" w:styleId="WW8Num34z3" w:customStyle="1">
    <w:name w:val="WW8Num34z3"/>
    <w:qFormat/>
    <w:rPr>
      <w:rFonts w:ascii="Symbol" w:hAnsi="Symbol" w:cs="Symbol"/>
    </w:rPr>
  </w:style>
  <w:style w:type="character" w:styleId="WW8Num35z0" w:customStyle="1">
    <w:name w:val="WW8Num35z0"/>
    <w:qFormat/>
    <w:rPr/>
  </w:style>
  <w:style w:type="character" w:styleId="WW8Num36z0" w:customStyle="1">
    <w:name w:val="WW8Num36z0"/>
    <w:qFormat/>
    <w:rPr/>
  </w:style>
  <w:style w:type="character" w:styleId="WW8Num37z0" w:customStyle="1">
    <w:name w:val="WW8Num37z0"/>
    <w:qFormat/>
    <w:rPr>
      <w:rFonts w:ascii="Courier New" w:hAnsi="Courier New" w:cs="Courier New"/>
    </w:rPr>
  </w:style>
  <w:style w:type="character" w:styleId="WW8Num37z2" w:customStyle="1">
    <w:name w:val="WW8Num37z2"/>
    <w:qFormat/>
    <w:rPr>
      <w:rFonts w:ascii="Wingdings" w:hAnsi="Wingdings" w:cs="Wingdings"/>
    </w:rPr>
  </w:style>
  <w:style w:type="character" w:styleId="WW8Num37z3" w:customStyle="1">
    <w:name w:val="WW8Num37z3"/>
    <w:qFormat/>
    <w:rPr>
      <w:rFonts w:ascii="Symbol" w:hAnsi="Symbol" w:cs="Symbol"/>
    </w:rPr>
  </w:style>
  <w:style w:type="character" w:styleId="WW8Num38z0" w:customStyle="1">
    <w:name w:val="WW8Num38z0"/>
    <w:qFormat/>
    <w:rPr>
      <w:rFonts w:ascii="Courier New" w:hAnsi="Courier New" w:cs="Courier New"/>
    </w:rPr>
  </w:style>
  <w:style w:type="character" w:styleId="WW8Num38z2" w:customStyle="1">
    <w:name w:val="WW8Num38z2"/>
    <w:qFormat/>
    <w:rPr>
      <w:rFonts w:ascii="Wingdings" w:hAnsi="Wingdings" w:cs="Wingdings"/>
    </w:rPr>
  </w:style>
  <w:style w:type="character" w:styleId="WW8Num38z3" w:customStyle="1">
    <w:name w:val="WW8Num38z3"/>
    <w:qFormat/>
    <w:rPr>
      <w:rFonts w:ascii="Symbol" w:hAnsi="Symbol" w:cs="Symbol"/>
    </w:rPr>
  </w:style>
  <w:style w:type="character" w:styleId="WW8Num39z0" w:customStyle="1">
    <w:name w:val="WW8Num39z0"/>
    <w:qFormat/>
    <w:rPr/>
  </w:style>
  <w:style w:type="character" w:styleId="WW8Num40z0" w:customStyle="1">
    <w:name w:val="WW8Num40z0"/>
    <w:qFormat/>
    <w:rPr>
      <w:rFonts w:ascii="Times New Roman" w:hAnsi="Times New Roman" w:eastAsia="Calibri" w:cs="Times New Roman"/>
    </w:rPr>
  </w:style>
  <w:style w:type="character" w:styleId="WW8Num40z1" w:customStyle="1">
    <w:name w:val="WW8Num40z1"/>
    <w:qFormat/>
    <w:rPr>
      <w:rFonts w:ascii="Courier New" w:hAnsi="Courier New" w:cs="Courier New"/>
    </w:rPr>
  </w:style>
  <w:style w:type="character" w:styleId="WW8Num40z2" w:customStyle="1">
    <w:name w:val="WW8Num40z2"/>
    <w:qFormat/>
    <w:rPr>
      <w:rFonts w:ascii="Wingdings" w:hAnsi="Wingdings" w:cs="Wingdings"/>
    </w:rPr>
  </w:style>
  <w:style w:type="character" w:styleId="WW8Num40z3" w:customStyle="1">
    <w:name w:val="WW8Num40z3"/>
    <w:qFormat/>
    <w:rPr>
      <w:rFonts w:ascii="Symbol" w:hAnsi="Symbol" w:cs="Symbol"/>
    </w:rPr>
  </w:style>
  <w:style w:type="character" w:styleId="CharChar" w:customStyle="1">
    <w:name w:val="Обычный Char Char"/>
    <w:qFormat/>
    <w:rPr>
      <w:sz w:val="24"/>
      <w:szCs w:val="24"/>
      <w:lang w:val="ru-RU" w:bidi="ar-SA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  <w:rPr/>
  </w:style>
  <w:style w:type="character" w:styleId="CharChar1" w:customStyle="1">
    <w:name w:val="Комментарии Char Char"/>
    <w:qFormat/>
    <w:rPr>
      <w:color w:val="FF9900"/>
      <w:sz w:val="24"/>
      <w:szCs w:val="24"/>
      <w:lang w:val="ru-RU" w:bidi="ar-SA"/>
    </w:rPr>
  </w:style>
  <w:style w:type="character" w:styleId="CharChar2" w:customStyle="1">
    <w:name w:val="Подзаголовок приложения Char Char"/>
    <w:qFormat/>
    <w:rPr>
      <w:b/>
      <w:sz w:val="28"/>
      <w:szCs w:val="28"/>
      <w:lang w:val="ru-RU" w:bidi="ar-SA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Style5" w:customStyle="1">
    <w:name w:val="Без интервала Знак"/>
    <w:qFormat/>
    <w:rPr>
      <w:rFonts w:ascii="Arial" w:hAnsi="Arial" w:cs="Arial"/>
      <w:sz w:val="28"/>
      <w:szCs w:val="22"/>
      <w:lang w:val="en-US" w:bidi="en-US"/>
    </w:rPr>
  </w:style>
  <w:style w:type="character" w:styleId="Style6" w:customStyle="1">
    <w:name w:val="Текст примечания Знак"/>
    <w:basedOn w:val="DefaultParagraphFont"/>
    <w:qFormat/>
    <w:rPr/>
  </w:style>
  <w:style w:type="character" w:styleId="Style7" w:customStyle="1">
    <w:name w:val="Абзац списка Знак"/>
    <w:qFormat/>
    <w:rPr>
      <w:sz w:val="24"/>
      <w:szCs w:val="24"/>
    </w:rPr>
  </w:style>
  <w:style w:type="character" w:styleId="Style8" w:customStyle="1">
    <w:name w:val="Текст_Сенсор Знак"/>
    <w:qFormat/>
    <w:rPr>
      <w:sz w:val="24"/>
      <w:szCs w:val="28"/>
    </w:rPr>
  </w:style>
  <w:style w:type="character" w:styleId="Style9" w:customStyle="1">
    <w:name w:val="Текст список Знак"/>
    <w:qFormat/>
    <w:rPr>
      <w:sz w:val="24"/>
      <w:szCs w:val="28"/>
      <w:lang w:bidi="en-US"/>
    </w:rPr>
  </w:style>
  <w:style w:type="character" w:styleId="Style10" w:customStyle="1">
    <w:name w:val="Основной текст_"/>
    <w:qFormat/>
    <w:rPr>
      <w:rFonts w:ascii="Arial" w:hAnsi="Arial" w:eastAsia="Arial" w:cs="Arial"/>
      <w:color w:val="515151"/>
      <w:sz w:val="16"/>
      <w:szCs w:val="16"/>
    </w:rPr>
  </w:style>
  <w:style w:type="character" w:styleId="1" w:customStyle="1">
    <w:name w:val="Заголовок 1 Знак"/>
    <w:qFormat/>
    <w:rPr>
      <w:b/>
      <w:bCs/>
      <w:caps/>
      <w:kern w:val="2"/>
      <w:sz w:val="28"/>
      <w:szCs w:val="28"/>
    </w:rPr>
  </w:style>
  <w:style w:type="character" w:styleId="11" w:customStyle="1">
    <w:name w:val="Неразрешенное упоминание1"/>
    <w:qFormat/>
    <w:rPr>
      <w:color w:val="605E5C"/>
      <w:shd w:fill="E1DFDD" w:val="clear"/>
    </w:rPr>
  </w:style>
  <w:style w:type="character" w:styleId="user" w:customStyle="1">
    <w:name w:val="Ссылка указателя (user)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next w:val="Normal"/>
    <w:qFormat/>
    <w:pPr/>
    <w:rPr>
      <w:b/>
      <w:bCs/>
      <w:sz w:val="20"/>
      <w:szCs w:val="20"/>
    </w:rPr>
  </w:style>
  <w:style w:type="paragraph" w:styleId="Style12">
    <w:name w:val="Указатель"/>
    <w:basedOn w:val="Normal"/>
    <w:qFormat/>
    <w:pPr>
      <w:suppressLineNumbers/>
    </w:pPr>
    <w:rPr>
      <w:rFonts w:cs="Noto Sans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user2" w:customStyle="1">
    <w:name w:val="Указатель (user)"/>
    <w:basedOn w:val="Normal"/>
    <w:qFormat/>
    <w:pPr>
      <w:suppressLineNumbers/>
    </w:pPr>
    <w:rPr>
      <w:rFonts w:cs="FreeSans"/>
    </w:rPr>
  </w:style>
  <w:style w:type="paragraph" w:styleId="12" w:customStyle="1">
    <w:name w:val="Обычный1"/>
    <w:basedOn w:val="Normal"/>
    <w:qFormat/>
    <w:pPr>
      <w:spacing w:lineRule="auto" w:line="360"/>
      <w:ind w:firstLine="851"/>
      <w:jc w:val="both"/>
    </w:pPr>
    <w:rPr/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TOC1">
    <w:name w:val="toc 1"/>
    <w:basedOn w:val="Normal"/>
    <w:next w:val="Normal"/>
    <w:uiPriority w:val="39"/>
    <w:pPr/>
    <w:rPr/>
  </w:style>
  <w:style w:type="paragraph" w:styleId="TOC2">
    <w:name w:val="toc 2"/>
    <w:basedOn w:val="Normal"/>
    <w:next w:val="Normal"/>
    <w:uiPriority w:val="39"/>
    <w:pPr/>
    <w:rPr/>
  </w:style>
  <w:style w:type="paragraph" w:styleId="TOC3">
    <w:name w:val="toc 3"/>
    <w:basedOn w:val="Normal"/>
    <w:next w:val="Normal"/>
    <w:uiPriority w:val="39"/>
    <w:pPr>
      <w:ind w:start="480"/>
    </w:pPr>
    <w:rPr/>
  </w:style>
  <w:style w:type="paragraph" w:styleId="Style13" w:customStyle="1">
    <w:name w:val="ЗАГОЛОВОК (титульная)"/>
    <w:basedOn w:val="12"/>
    <w:next w:val="12"/>
    <w:qFormat/>
    <w:pPr>
      <w:ind w:hanging="0"/>
      <w:jc w:val="center"/>
      <w:outlineLvl w:val="0"/>
    </w:pPr>
    <w:rPr>
      <w:b/>
      <w:bCs/>
      <w:caps/>
      <w:sz w:val="28"/>
      <w:szCs w:val="28"/>
    </w:rPr>
  </w:style>
  <w:style w:type="paragraph" w:styleId="Style14" w:customStyle="1">
    <w:name w:val="Подзаголовок (титульная)"/>
    <w:basedOn w:val="12"/>
    <w:next w:val="12"/>
    <w:qFormat/>
    <w:pPr>
      <w:ind w:hanging="0"/>
      <w:jc w:val="center"/>
    </w:pPr>
    <w:rPr>
      <w:bCs/>
      <w:sz w:val="28"/>
    </w:rPr>
  </w:style>
  <w:style w:type="paragraph" w:styleId="Style15" w:customStyle="1">
    <w:name w:val="Комментарии"/>
    <w:basedOn w:val="12"/>
    <w:qFormat/>
    <w:pPr/>
    <w:rPr>
      <w:color w:val="FF9900"/>
    </w:rPr>
  </w:style>
  <w:style w:type="paragraph" w:styleId="Style16" w:customStyle="1">
    <w:name w:val="Рисунок"/>
    <w:basedOn w:val="12"/>
    <w:next w:val="12"/>
    <w:qFormat/>
    <w:pPr>
      <w:keepNext w:val="true"/>
      <w:ind w:hanging="0"/>
      <w:jc w:val="center"/>
    </w:pPr>
    <w:rPr/>
  </w:style>
  <w:style w:type="paragraph" w:styleId="Style17" w:customStyle="1">
    <w:name w:val="Рисунок подпись"/>
    <w:basedOn w:val="12"/>
    <w:next w:val="12"/>
    <w:qFormat/>
    <w:pPr>
      <w:ind w:hanging="0"/>
      <w:jc w:val="center"/>
    </w:pPr>
    <w:rPr>
      <w:b/>
      <w:lang w:val="en-US"/>
    </w:rPr>
  </w:style>
  <w:style w:type="paragraph" w:styleId="Style18" w:customStyle="1">
    <w:name w:val="Таблица название таблицы"/>
    <w:basedOn w:val="12"/>
    <w:next w:val="12"/>
    <w:qFormat/>
    <w:pPr>
      <w:keepNext w:val="true"/>
      <w:ind w:hanging="0"/>
    </w:pPr>
    <w:rPr>
      <w:b/>
    </w:rPr>
  </w:style>
  <w:style w:type="paragraph" w:styleId="Style19" w:customStyle="1">
    <w:name w:val="Таблица название столбцов"/>
    <w:basedOn w:val="Style18"/>
    <w:next w:val="12"/>
    <w:qFormat/>
    <w:pPr>
      <w:spacing w:before="120" w:after="120"/>
      <w:jc w:val="center"/>
    </w:pPr>
    <w:rPr/>
  </w:style>
  <w:style w:type="paragraph" w:styleId="Style20" w:customStyle="1">
    <w:name w:val="Таблица текст"/>
    <w:basedOn w:val="12"/>
    <w:qFormat/>
    <w:pPr>
      <w:spacing w:lineRule="auto" w:line="240"/>
      <w:jc w:val="center"/>
    </w:pPr>
    <w:rPr/>
  </w:style>
  <w:style w:type="paragraph" w:styleId="21" w:customStyle="1">
    <w:name w:val="Список 21"/>
    <w:basedOn w:val="12"/>
    <w:qFormat/>
    <w:pPr>
      <w:numPr>
        <w:ilvl w:val="0"/>
        <w:numId w:val="13"/>
      </w:numPr>
    </w:pPr>
    <w:rPr>
      <w:lang w:val="en-US"/>
    </w:rPr>
  </w:style>
  <w:style w:type="paragraph" w:styleId="31" w:customStyle="1">
    <w:name w:val="Список 31"/>
    <w:basedOn w:val="12"/>
    <w:qFormat/>
    <w:pPr>
      <w:numPr>
        <w:ilvl w:val="0"/>
        <w:numId w:val="9"/>
      </w:numPr>
    </w:pPr>
    <w:rPr/>
  </w:style>
  <w:style w:type="paragraph" w:styleId="Style21" w:customStyle="1">
    <w:name w:val="ЗАГОЛОВОК ПРИЛОЖЕНИЯ"/>
    <w:basedOn w:val="Heading1"/>
    <w:next w:val="Normal"/>
    <w:qFormat/>
    <w:pPr>
      <w:pageBreakBefore w:val="false"/>
      <w:numPr>
        <w:ilvl w:val="0"/>
        <w:numId w:val="0"/>
      </w:numPr>
      <w:spacing w:lineRule="auto" w:line="240"/>
      <w:ind w:firstLine="851" w:start="0"/>
      <w:jc w:val="end"/>
      <w:outlineLvl w:val="9"/>
    </w:pPr>
    <w:rPr/>
  </w:style>
  <w:style w:type="paragraph" w:styleId="Style22" w:customStyle="1">
    <w:name w:val="Подзаголовок приложения"/>
    <w:basedOn w:val="12"/>
    <w:next w:val="12"/>
    <w:qFormat/>
    <w:pPr>
      <w:ind w:hanging="0"/>
      <w:jc w:val="center"/>
    </w:pPr>
    <w:rPr>
      <w:b/>
      <w:sz w:val="28"/>
      <w:szCs w:val="28"/>
    </w:rPr>
  </w:style>
  <w:style w:type="paragraph" w:styleId="13" w:customStyle="1">
    <w:name w:val="Дата1"/>
    <w:basedOn w:val="12"/>
    <w:next w:val="12"/>
    <w:qFormat/>
    <w:pPr>
      <w:ind w:hanging="0"/>
      <w:jc w:val="center"/>
    </w:pPr>
    <w:rPr/>
  </w:style>
  <w:style w:type="paragraph" w:styleId="TOC4">
    <w:name w:val="toc 4"/>
    <w:basedOn w:val="Normal"/>
    <w:next w:val="Normal"/>
    <w:pPr>
      <w:ind w:start="851"/>
    </w:pPr>
    <w:rPr/>
  </w:style>
  <w:style w:type="paragraph" w:styleId="-" w:customStyle="1">
    <w:name w:val="Комментарии - список"/>
    <w:basedOn w:val="21"/>
    <w:qFormat/>
    <w:pPr/>
    <w:rPr>
      <w:color w:val="FF9900"/>
    </w:rPr>
  </w:style>
  <w:style w:type="paragraph" w:styleId="14" w:customStyle="1">
    <w:name w:val="Список1"/>
    <w:basedOn w:val="12"/>
    <w:qFormat/>
    <w:pPr>
      <w:numPr>
        <w:ilvl w:val="0"/>
        <w:numId w:val="5"/>
      </w:numPr>
    </w:pPr>
    <w:rPr/>
  </w:style>
  <w:style w:type="paragraph" w:styleId="Style23" w:customStyle="1">
    <w:name w:val="Таблица текст в ячейках"/>
    <w:basedOn w:val="Style20"/>
    <w:qFormat/>
    <w:pPr>
      <w:spacing w:lineRule="auto" w:line="360" w:before="120" w:after="120"/>
      <w:jc w:val="start"/>
    </w:pPr>
    <w:rPr/>
  </w:style>
  <w:style w:type="paragraph" w:styleId="CommentText">
    <w:name w:val="annotation text"/>
    <w:basedOn w:val="Normal"/>
    <w:qFormat/>
    <w:pPr/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TableParagraph" w:customStyle="1">
    <w:name w:val="Table Paragraph"/>
    <w:basedOn w:val="Normal"/>
    <w:qFormat/>
    <w:pPr>
      <w:widowControl w:val="false"/>
    </w:pPr>
    <w:rPr>
      <w:rFonts w:ascii="Arial Narrow" w:hAnsi="Arial Narrow" w:eastAsia="Arial Narrow" w:cs="Arial Narrow"/>
      <w:sz w:val="22"/>
      <w:szCs w:val="22"/>
      <w:lang w:bidi="ru-RU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8"/>
      <w:szCs w:val="22"/>
      <w:lang w:val="en-US" w:eastAsia="zh-CN" w:bidi="en-US"/>
    </w:rPr>
  </w:style>
  <w:style w:type="paragraph" w:styleId="IndexHeading">
    <w:name w:val="index heading"/>
    <w:basedOn w:val="user1"/>
    <w:pPr/>
    <w:rPr/>
  </w:style>
  <w:style w:type="paragraph" w:styleId="TOCHeading">
    <w:name w:val="TOC Heading"/>
    <w:basedOn w:val="Heading1"/>
    <w:next w:val="Normal"/>
    <w:qFormat/>
    <w:pPr>
      <w:keepLines/>
      <w:pageBreakBefore w:val="false"/>
      <w:numPr>
        <w:ilvl w:val="0"/>
        <w:numId w:val="0"/>
      </w:numPr>
      <w:spacing w:before="480" w:after="120"/>
      <w:ind w:firstLine="851" w:start="0"/>
      <w:jc w:val="start"/>
      <w:outlineLvl w:val="9"/>
    </w:pPr>
    <w:rPr>
      <w:rFonts w:ascii="Cambria" w:hAnsi="Cambria" w:cs="Cambria"/>
      <w:caps w:val="false"/>
      <w:smallCaps w:val="false"/>
      <w:color w:val="365F91"/>
      <w:kern w:val="0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>
      <w:lang w:val="en-US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15" w:customStyle="1">
    <w:name w:val="Обычный (веб)1"/>
    <w:basedOn w:val="Normal"/>
    <w:qFormat/>
    <w:pPr>
      <w:spacing w:before="280" w:after="280"/>
    </w:pPr>
    <w:rPr/>
  </w:style>
  <w:style w:type="paragraph" w:styleId="Style24" w:customStyle="1">
    <w:name w:val="Текст_Сенсор"/>
    <w:basedOn w:val="Normal"/>
    <w:qFormat/>
    <w:pPr>
      <w:spacing w:lineRule="auto" w:line="276" w:before="0" w:after="0"/>
      <w:ind w:firstLine="709" w:start="57"/>
      <w:contextualSpacing/>
      <w:jc w:val="both"/>
    </w:pPr>
    <w:rPr>
      <w:szCs w:val="28"/>
    </w:rPr>
  </w:style>
  <w:style w:type="paragraph" w:styleId="Style25" w:customStyle="1">
    <w:name w:val="Текст список"/>
    <w:basedOn w:val="Style24"/>
    <w:qFormat/>
    <w:pPr>
      <w:numPr>
        <w:ilvl w:val="0"/>
        <w:numId w:val="12"/>
      </w:numPr>
      <w:tabs>
        <w:tab w:val="clear" w:pos="708"/>
        <w:tab w:val="left" w:pos="1134" w:leader="none"/>
      </w:tabs>
      <w:ind w:firstLine="709" w:start="57" w:end="15"/>
    </w:pPr>
    <w:rPr>
      <w:lang w:bidi="en-US"/>
    </w:rPr>
  </w:style>
  <w:style w:type="paragraph" w:styleId="16" w:customStyle="1">
    <w:name w:val="Основной текст1"/>
    <w:basedOn w:val="Normal"/>
    <w:qFormat/>
    <w:pPr>
      <w:widowControl w:val="false"/>
      <w:spacing w:lineRule="auto" w:line="264"/>
      <w:ind w:firstLine="400"/>
    </w:pPr>
    <w:rPr>
      <w:rFonts w:ascii="Arial" w:hAnsi="Arial" w:eastAsia="Arial" w:cs="Arial"/>
      <w:color w:val="515151"/>
      <w:sz w:val="16"/>
      <w:szCs w:val="16"/>
    </w:rPr>
  </w:style>
  <w:style w:type="paragraph" w:styleId="user3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 w:customStyle="1">
    <w:name w:val="Заголовок таблицы (user)"/>
    <w:basedOn w:val="user3"/>
    <w:qFormat/>
    <w:pPr>
      <w:jc w:val="center"/>
    </w:pPr>
    <w:rPr>
      <w:b/>
      <w:bCs/>
    </w:rPr>
  </w:style>
  <w:style w:type="paragraph" w:styleId="user5" w:customStyle="1">
    <w:name w:val="Колонтитулы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6">
    <w:name w:val="Колонтитулы"/>
    <w:basedOn w:val="Normal"/>
    <w:qFormat/>
    <w:pPr/>
    <w:rPr/>
  </w:style>
  <w:style w:type="paragraph" w:styleId="Header">
    <w:name w:val="header"/>
    <w:basedOn w:val="user5"/>
    <w:pPr/>
    <w:rPr/>
  </w:style>
  <w:style w:type="paragraph" w:styleId="Footer">
    <w:name w:val="footer"/>
    <w:basedOn w:val="user5"/>
    <w:pPr>
      <w:tabs>
        <w:tab w:val="clear" w:pos="4819"/>
        <w:tab w:val="clear" w:pos="9638"/>
        <w:tab w:val="center" w:pos="4535" w:leader="none"/>
        <w:tab w:val="right" w:pos="9071" w:leader="none"/>
      </w:tabs>
    </w:pPr>
    <w:rPr/>
  </w:style>
  <w:style w:type="paragraph" w:styleId="user6">
    <w:name w:val="Верхний колонтитул слева (user)"/>
    <w:basedOn w:val="Header"/>
    <w:qFormat/>
    <w:pPr/>
    <w:rPr/>
  </w:style>
  <w:style w:type="numbering" w:styleId="user7" w:default="1">
    <w:name w:val="Без списка (user)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17" w:customStyle="1">
    <w:name w:val="WW8Num17"/>
    <w:qFormat/>
  </w:style>
  <w:style w:type="numbering" w:styleId="WW8Num18" w:customStyle="1">
    <w:name w:val="WW8Num18"/>
    <w:qFormat/>
  </w:style>
  <w:style w:type="numbering" w:styleId="WW8Num19" w:customStyle="1">
    <w:name w:val="WW8Num19"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22" w:customStyle="1">
    <w:name w:val="WW8Num22"/>
    <w:qFormat/>
  </w:style>
  <w:style w:type="numbering" w:styleId="WW8Num23" w:customStyle="1">
    <w:name w:val="WW8Num23"/>
    <w:qFormat/>
  </w:style>
  <w:style w:type="numbering" w:styleId="WW8Num24" w:customStyle="1">
    <w:name w:val="WW8Num24"/>
    <w:qFormat/>
  </w:style>
  <w:style w:type="numbering" w:styleId="WW8Num25" w:customStyle="1">
    <w:name w:val="WW8Num25"/>
    <w:qFormat/>
  </w:style>
  <w:style w:type="numbering" w:styleId="WW8Num26" w:customStyle="1">
    <w:name w:val="WW8Num26"/>
    <w:qFormat/>
  </w:style>
  <w:style w:type="numbering" w:styleId="WW8Num27" w:customStyle="1">
    <w:name w:val="WW8Num27"/>
    <w:qFormat/>
  </w:style>
  <w:style w:type="numbering" w:styleId="WW8Num28" w:customStyle="1">
    <w:name w:val="WW8Num28"/>
    <w:qFormat/>
  </w:style>
  <w:style w:type="numbering" w:styleId="WW8Num29" w:customStyle="1">
    <w:name w:val="WW8Num29"/>
    <w:qFormat/>
  </w:style>
  <w:style w:type="numbering" w:styleId="WW8Num30" w:customStyle="1">
    <w:name w:val="WW8Num30"/>
    <w:qFormat/>
  </w:style>
  <w:style w:type="numbering" w:styleId="WW8Num31" w:customStyle="1">
    <w:name w:val="WW8Num31"/>
    <w:qFormat/>
  </w:style>
  <w:style w:type="numbering" w:styleId="WW8Num32" w:customStyle="1">
    <w:name w:val="WW8Num32"/>
    <w:qFormat/>
  </w:style>
  <w:style w:type="numbering" w:styleId="WW8Num33" w:customStyle="1">
    <w:name w:val="WW8Num33"/>
    <w:qFormat/>
  </w:style>
  <w:style w:type="numbering" w:styleId="WW8Num34" w:customStyle="1">
    <w:name w:val="WW8Num34"/>
    <w:qFormat/>
  </w:style>
  <w:style w:type="numbering" w:styleId="WW8Num35" w:customStyle="1">
    <w:name w:val="WW8Num35"/>
    <w:qFormat/>
  </w:style>
  <w:style w:type="numbering" w:styleId="WW8Num36" w:customStyle="1">
    <w:name w:val="WW8Num36"/>
    <w:qFormat/>
  </w:style>
  <w:style w:type="numbering" w:styleId="WW8Num37" w:customStyle="1">
    <w:name w:val="WW8Num37"/>
    <w:qFormat/>
  </w:style>
  <w:style w:type="numbering" w:styleId="WW8Num38" w:customStyle="1">
    <w:name w:val="WW8Num38"/>
    <w:qFormat/>
  </w:style>
  <w:style w:type="numbering" w:styleId="WW8Num39" w:customStyle="1">
    <w:name w:val="WW8Num39"/>
    <w:qFormat/>
  </w:style>
  <w:style w:type="numbering" w:styleId="WW8Num40" w:customStyle="1">
    <w:name w:val="WW8Num40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2"/>
    <w:rsid w:val="00586112"/>
    <w:rPr>
      <w:sz w:val="20"/>
      <w:szCs w:val="20"/>
      <w:lang w:val="ru-RU" w:eastAsia="ru-RU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footer" Target="footer6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Application>LibreOffice/25.8.7.3$Linux_X86_64 LibreOffice_project/30742500f2d3eb4366ac312fa33d3dcabdb3eba5</Application>
  <AppVersion>15.0000</AppVersion>
  <Pages>30</Pages>
  <Words>6745</Words>
  <Characters>48052</Characters>
  <CharactersWithSpaces>53845</CharactersWithSpaces>
  <Paragraphs>878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2026-09-23T09:27:00Z</dcterms:created>
  <dc:creator>RuGost</dc:creator>
  <dc:description/>
  <dc:language>en-US</dc:language>
  <cp:lastModifiedBy/>
  <cp:lastPrinted>2004-12-03T14:11:00Z</cp:lastPrinted>
  <dcterms:modified xsi:type="dcterms:W3CDTF">2026-10-29T11:20:49Z</dcterms:modified>
  <cp:revision>8</cp:revision>
  <dc:subject/>
  <dc:title>Техническое задание на АС ГОСТ 34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