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bidi w:val="0"/>
        <w:spacing w:lineRule="auto" w:line="240" w:before="0" w:after="0"/>
        <w:ind w:firstLine="709"/>
        <w:jc w:val="center"/>
        <w:rPr>
          <w:rFonts w:ascii="Times New Roman" w:hAnsi="Times New Roman"/>
        </w:rPr>
      </w:pPr>
      <w:r>
        <w:rPr>
          <w:rFonts w:cs="Times New Roman" w:ascii="Times New Roman" w:hAnsi="Times New Roman"/>
          <w:b/>
          <w:sz w:val="24"/>
          <w:szCs w:val="24"/>
        </w:rPr>
        <w:t>Техническое задание</w:t>
      </w:r>
    </w:p>
    <w:p>
      <w:pPr>
        <w:pStyle w:val="ConsPlusNormal"/>
        <w:spacing w:lineRule="auto" w:line="276"/>
        <w:ind w:firstLine="567"/>
        <w:jc w:val="center"/>
        <w:rPr>
          <w:rFonts w:ascii="Times New Roman" w:hAnsi="Times New Roman"/>
        </w:rPr>
      </w:pPr>
      <w:r>
        <w:rPr>
          <w:rFonts w:cs="Times New Roman" w:ascii="Times New Roman" w:hAnsi="Times New Roman"/>
          <w:sz w:val="24"/>
          <w:szCs w:val="24"/>
        </w:rPr>
        <w:t xml:space="preserve">на выполнение первого этапа работ по созданию локальной системы оповещения населения комплекса гидротехнических сооружений инженерной защиты г. Абакана, комплекса гидротехнических сооружений инженерной защиты г. Абакана (район Нижняя Согра), комплекса гидротехнических сооружений инженерной защиты рп. Усть-Абакан </w:t>
      </w:r>
    </w:p>
    <w:p>
      <w:pPr>
        <w:pStyle w:val="Normal"/>
        <w:widowControl w:val="false"/>
        <w:bidi w:val="0"/>
        <w:spacing w:lineRule="auto" w:line="240" w:before="0" w:after="0"/>
        <w:jc w:val="center"/>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jc w:val="both"/>
        <w:rPr>
          <w:rFonts w:ascii="Times New Roman" w:hAnsi="Times New Roman"/>
        </w:rPr>
      </w:pPr>
      <w:r>
        <w:rPr>
          <w:rFonts w:cs="Times New Roman" w:ascii="Times New Roman" w:hAnsi="Times New Roman"/>
          <w:b/>
          <w:bCs/>
          <w:sz w:val="24"/>
          <w:szCs w:val="24"/>
          <w:shd w:fill="FFFFFF" w:val="clear"/>
        </w:rPr>
        <w:t>1 Общие сведения</w:t>
      </w:r>
    </w:p>
    <w:p>
      <w:pPr>
        <w:pStyle w:val="Normal"/>
        <w:widowControl w:val="false"/>
        <w:bidi w:val="0"/>
        <w:spacing w:lineRule="auto" w:line="240" w:before="0" w:after="0"/>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jc w:val="both"/>
        <w:rPr>
          <w:rFonts w:ascii="Times New Roman" w:hAnsi="Times New Roman"/>
        </w:rPr>
      </w:pPr>
      <w:r>
        <w:rPr>
          <w:rFonts w:cs="Times New Roman" w:ascii="Times New Roman" w:hAnsi="Times New Roman"/>
          <w:b/>
          <w:bCs/>
          <w:sz w:val="24"/>
          <w:szCs w:val="24"/>
          <w:shd w:fill="FFFFFF" w:val="clear"/>
        </w:rPr>
        <w:t xml:space="preserve">1.1 Полное наименование системы и ее условное обозначение </w:t>
      </w:r>
    </w:p>
    <w:p>
      <w:pPr>
        <w:pStyle w:val="Normal"/>
        <w:widowControl w:val="false"/>
        <w:bidi w:val="0"/>
        <w:spacing w:lineRule="auto" w:line="240" w:before="0" w:after="0"/>
        <w:ind w:firstLine="708"/>
        <w:jc w:val="both"/>
        <w:rPr>
          <w:rFonts w:ascii="Times New Roman" w:hAnsi="Times New Roman"/>
        </w:rPr>
      </w:pPr>
      <w:r>
        <w:rPr>
          <w:rFonts w:cs="Times New Roman" w:ascii="Times New Roman" w:hAnsi="Times New Roman"/>
          <w:sz w:val="24"/>
          <w:szCs w:val="24"/>
          <w:shd w:fill="FFFFFF" w:val="clear"/>
        </w:rPr>
        <w:t xml:space="preserve">Полное наименование системы: Локальная система оповещения населения комплекса гидротехнических сооружений инженерной защиты г. Абакана, комплекса гидротехнических сооружений инженерной защиты г. Абакана (район Нижняя Согра), комплекса гидротехнических сооружений инженерной защиты рп. Усть-Абакана. </w:t>
      </w:r>
    </w:p>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Краткое наименование системы: ЛСОН ГТС ИЗ г. Абакана, рп. Усть-Абакана. </w:t>
      </w:r>
    </w:p>
    <w:p>
      <w:pPr>
        <w:pStyle w:val="Normal"/>
        <w:widowControl w:val="false"/>
        <w:bidi w:val="0"/>
        <w:spacing w:lineRule="auto" w:line="240" w:before="0" w:after="0"/>
        <w:jc w:val="both"/>
        <w:rPr>
          <w:rFonts w:ascii="Times New Roman" w:hAnsi="Times New Roman" w:cs="Times New Roman"/>
          <w:b/>
          <w:bCs/>
          <w:sz w:val="24"/>
          <w:szCs w:val="24"/>
          <w:shd w:fill="FFFFFF" w:val="clear"/>
        </w:rPr>
      </w:pPr>
      <w:r>
        <w:rPr>
          <w:rFonts w:cs="Times New Roman" w:ascii="Times New Roman" w:hAnsi="Times New Roman"/>
          <w:b/>
          <w:bCs/>
          <w:sz w:val="24"/>
          <w:szCs w:val="24"/>
          <w:shd w:fill="FFFFFF" w:val="clear"/>
        </w:rPr>
      </w:r>
    </w:p>
    <w:p>
      <w:pPr>
        <w:pStyle w:val="Normal"/>
        <w:widowControl w:val="false"/>
        <w:bidi w:val="0"/>
        <w:spacing w:lineRule="auto" w:line="240" w:before="0" w:after="0"/>
        <w:jc w:val="both"/>
        <w:rPr>
          <w:rFonts w:ascii="Times New Roman" w:hAnsi="Times New Roman"/>
        </w:rPr>
      </w:pPr>
      <w:r>
        <w:rPr>
          <w:rFonts w:cs="Times New Roman" w:ascii="Times New Roman" w:hAnsi="Times New Roman"/>
          <w:b/>
          <w:bCs/>
          <w:sz w:val="24"/>
          <w:szCs w:val="24"/>
          <w:shd w:fill="FFFFFF" w:val="clear"/>
        </w:rPr>
        <w:t xml:space="preserve">1.2 Основания проведения работ </w:t>
      </w:r>
    </w:p>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Федеральные законы: </w:t>
      </w:r>
    </w:p>
    <w:p>
      <w:pPr>
        <w:pStyle w:val="Normal"/>
        <w:widowControl w:val="false"/>
        <w:numPr>
          <w:ilvl w:val="0"/>
          <w:numId w:val="1"/>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от 21 декабря 1994 г. № 68-ФЗ «О защите населения и территорий от чрезвычайных ситуаций природного и техногенного характера»; </w:t>
      </w:r>
    </w:p>
    <w:p>
      <w:pPr>
        <w:pStyle w:val="Normal"/>
        <w:widowControl w:val="false"/>
        <w:numPr>
          <w:ilvl w:val="0"/>
          <w:numId w:val="1"/>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от 12 февраля 1998 г. № 28-ФЗ «О гражданской обороне»; </w:t>
      </w:r>
    </w:p>
    <w:p>
      <w:pPr>
        <w:pStyle w:val="Normal"/>
        <w:widowControl w:val="false"/>
        <w:numPr>
          <w:ilvl w:val="0"/>
          <w:numId w:val="1"/>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от 21 июля 1997 г. № 116-ФЗ «О промышленной безопасности опасных производственных объектов»; </w:t>
      </w:r>
    </w:p>
    <w:p>
      <w:pPr>
        <w:pStyle w:val="Normal"/>
        <w:widowControl w:val="false"/>
        <w:numPr>
          <w:ilvl w:val="0"/>
          <w:numId w:val="1"/>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от 7 июля 2003 г. № 126-ФЗ «О связи».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Указ Президента Российской Федерации: </w:t>
      </w:r>
    </w:p>
    <w:p>
      <w:pPr>
        <w:pStyle w:val="Normal"/>
        <w:widowControl w:val="false"/>
        <w:numPr>
          <w:ilvl w:val="0"/>
          <w:numId w:val="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от 13.11.2012 г. № 1522 «О создании комплексной системы экстренного оповещения населения об угрозе возникновения или о возникновении чрезвычайных ситуаций».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Постановления Правительства Российской Федерации: </w:t>
      </w:r>
    </w:p>
    <w:p>
      <w:pPr>
        <w:pStyle w:val="Normal"/>
        <w:widowControl w:val="false"/>
        <w:numPr>
          <w:ilvl w:val="0"/>
          <w:numId w:val="3"/>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от 30 декабря 2003 г. № 794 «О единой государственной системе предупреждения и ликвидации чрезвычайных ситуаций»; </w:t>
      </w:r>
    </w:p>
    <w:p>
      <w:pPr>
        <w:pStyle w:val="Normal"/>
        <w:widowControl w:val="false"/>
        <w:numPr>
          <w:ilvl w:val="0"/>
          <w:numId w:val="3"/>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от 26 ноября 2007 г. № 804 «Об утверждении положения о гражданской обороне в Российской Федерации»; </w:t>
      </w:r>
    </w:p>
    <w:p>
      <w:pPr>
        <w:pStyle w:val="Normal"/>
        <w:widowControl w:val="false"/>
        <w:numPr>
          <w:ilvl w:val="0"/>
          <w:numId w:val="3"/>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от 18.04.2014 № 360 (ред. от 24.05.2024 г.) «О зонах затопления, подтопления»; </w:t>
      </w:r>
    </w:p>
    <w:p>
      <w:pPr>
        <w:pStyle w:val="Normal"/>
        <w:widowControl w:val="false"/>
        <w:numPr>
          <w:ilvl w:val="0"/>
          <w:numId w:val="3"/>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от 17 мая 2023 г. № 769 «О порядке создания, реконструкции и поддержания в состоянии постоянной готовности к использованию систем оповещения населения». </w:t>
      </w:r>
    </w:p>
    <w:p>
      <w:pPr>
        <w:pStyle w:val="Normal"/>
        <w:widowControl w:val="false"/>
        <w:bidi w:val="0"/>
        <w:spacing w:lineRule="auto" w:line="240" w:before="0" w:after="0"/>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Приказы МЧС России, Минцифры России: </w:t>
      </w:r>
    </w:p>
    <w:p>
      <w:pPr>
        <w:pStyle w:val="Normal"/>
        <w:widowControl w:val="false"/>
        <w:numPr>
          <w:ilvl w:val="0"/>
          <w:numId w:val="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от 31 июля 2020 г. № 587/365 «Об утверждении Положения о системах оповещения населения» (зарегистрирован в Минюсте России, регистрационный номер 60567 от 26 октября 2020 г.); </w:t>
      </w:r>
    </w:p>
    <w:p>
      <w:pPr>
        <w:pStyle w:val="Normal"/>
        <w:widowControl w:val="false"/>
        <w:numPr>
          <w:ilvl w:val="0"/>
          <w:numId w:val="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от 31 июля 2020 г. № 579/366 «Об утверждении Положения по организации эксплуатационно-технического обслуживания систем оповещения населения» (зарегистрирован в Минюсте России, регистрационный номер 60566 от 26 октября 2020 г.).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Приказ МЧС России, МВД России и ФСБ России: </w:t>
      </w:r>
    </w:p>
    <w:p>
      <w:pPr>
        <w:pStyle w:val="Normal"/>
        <w:widowControl w:val="false"/>
        <w:numPr>
          <w:ilvl w:val="0"/>
          <w:numId w:val="5"/>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от 31 мая 2005 г. №428/432/321 «О порядке размещения современных технических средств массовой информации в местах массового пребывания людей в целях подготовки населения в области гражданской обороны, защиты от чрезвычайных ситуаций, обеспечения пожарной безопасности и охраны общественного порядка, а также своевременного оповещения и оперативного информирования граждан о чрезвычайных ситуациях и угрозе террористических акций» (зарегистрирован в Минюсте России, регистрационный номер 6700 от 9 июня 2005 г.).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Технический регламент: </w:t>
      </w:r>
    </w:p>
    <w:p>
      <w:pPr>
        <w:pStyle w:val="Normal"/>
        <w:widowControl w:val="false"/>
        <w:numPr>
          <w:ilvl w:val="0"/>
          <w:numId w:val="6"/>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ТР ЕАЭС 050/2021 «Технический регламент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w:t>
      </w:r>
    </w:p>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Государственные стандарты: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 </w:t>
      </w:r>
      <w:r>
        <w:rPr>
          <w:rFonts w:cs="Times New Roman" w:ascii="Times New Roman" w:hAnsi="Times New Roman"/>
          <w:sz w:val="24"/>
          <w:szCs w:val="24"/>
          <w:shd w:fill="FFFFFF" w:val="clear"/>
        </w:rPr>
        <w:t xml:space="preserve">ГОСТ Р 22.7.05-2022 «Гражданская оборона. Локальные системы оповещения в районах размещения потенциально опасных объектов»;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 </w:t>
      </w:r>
      <w:r>
        <w:rPr>
          <w:rFonts w:cs="Times New Roman" w:ascii="Times New Roman" w:hAnsi="Times New Roman"/>
          <w:sz w:val="24"/>
          <w:szCs w:val="24"/>
          <w:shd w:fill="FFFFFF" w:val="clear"/>
        </w:rPr>
        <w:t xml:space="preserve">ГОСТ Р 42.3.01-2021 «Гражданская оборона. Технические средства оповещения населения. Классификация. Общие технические требования» (с учётом изм. №1);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 </w:t>
      </w:r>
      <w:r>
        <w:rPr>
          <w:rFonts w:cs="Times New Roman" w:ascii="Times New Roman" w:hAnsi="Times New Roman"/>
          <w:sz w:val="24"/>
          <w:szCs w:val="24"/>
          <w:shd w:fill="FFFFFF" w:val="clear"/>
        </w:rPr>
        <w:t xml:space="preserve">ГОСТ Р 22.1.03-2025 «Безопасность в чрезвычайных ситуациях. Объектовая система мониторинга чрезвычайных ситуаций техногенного характера. Общие технические требования»;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 </w:t>
      </w:r>
      <w:r>
        <w:rPr>
          <w:rFonts w:cs="Times New Roman" w:ascii="Times New Roman" w:hAnsi="Times New Roman"/>
          <w:sz w:val="24"/>
          <w:szCs w:val="24"/>
          <w:shd w:fill="FFFFFF" w:val="clear"/>
        </w:rPr>
        <w:t xml:space="preserve">ГОСТ Р 22.1.08-2023 «Безопасность в чрезвычайных ситуациях. Мониторинг и прогнозирование опасных гидрологических явлений и процессов. Общие технические требования».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Методические рекомендации: </w:t>
      </w:r>
    </w:p>
    <w:p>
      <w:pPr>
        <w:pStyle w:val="Normal"/>
        <w:widowControl w:val="false"/>
        <w:numPr>
          <w:ilvl w:val="0"/>
          <w:numId w:val="7"/>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Методические рекомендации по поддержанию в состоянии постоянной готовности к использованию систем оповещения населения, утверждены протоколом заседания рабочей группы Правительственной комиссии по предупреждению и ликвидации чрезвычайных ситуаций и обеспечению пожарной безопасности по координации создания и поддержания в постоянной готовности систем оповещения населения от 26.06.2024 г. № 2; </w:t>
      </w:r>
    </w:p>
    <w:p>
      <w:pPr>
        <w:pStyle w:val="Normal"/>
        <w:widowControl w:val="false"/>
        <w:numPr>
          <w:ilvl w:val="0"/>
          <w:numId w:val="7"/>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Методические рекомендации по организации оповещения населения, одобренные протоколом заседания рабочей группы Правительственной комиссии по предупреждению и ликвидации чрезвычайных ситуаций и обеспечению пожарной безопасности по координации создания и поддержания в постоянной готовности систем оповещения населения от 12.03.2025 г. № 3.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Законы и постановления Правительства Республики Хакасия: </w:t>
      </w:r>
    </w:p>
    <w:p>
      <w:pPr>
        <w:pStyle w:val="Normal"/>
        <w:widowControl w:val="false"/>
        <w:numPr>
          <w:ilvl w:val="0"/>
          <w:numId w:val="8"/>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Закон Республики Хакасия от 17 ноября 1998 года № 43 «О защите населения и территорий от чрезвычайных ситуаций природного и техногенного характера в Республике Хакасия»; </w:t>
      </w:r>
    </w:p>
    <w:p>
      <w:pPr>
        <w:pStyle w:val="Normal"/>
        <w:widowControl w:val="false"/>
        <w:numPr>
          <w:ilvl w:val="0"/>
          <w:numId w:val="8"/>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Постановление Правительства Республики Хакасия от 18 мая 2009 года № 184 «О системе и порядке оповещения и информирования населения об опасностях, возникающих при военных конфликтах или вследствие этих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конфликтов, а также при угрозе возникновения или возникновении чрезвычайных ситуаций природного и техногенного характера на территории Республики Хакасия»;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 </w:t>
      </w:r>
      <w:r>
        <w:rPr>
          <w:rFonts w:cs="Times New Roman" w:ascii="Times New Roman" w:hAnsi="Times New Roman"/>
          <w:sz w:val="24"/>
          <w:szCs w:val="24"/>
          <w:shd w:fill="FFFFFF" w:val="clear"/>
        </w:rPr>
        <w:t xml:space="preserve">Постановление Правительства Республики Хакасия от 16 декабря 2014 года № 680 «Об утверждении границ зон экстренного оповещения населения об угрозе возникновения чрезвычайных ситуаций на территории Республики Хакасия и признании утратившим силу постановления Президиума Правительства Республики Хакасия от 22.03.2013 № 20-п». </w:t>
      </w:r>
    </w:p>
    <w:p>
      <w:pPr>
        <w:pStyle w:val="Normal"/>
        <w:widowControl w:val="false"/>
        <w:bidi w:val="0"/>
        <w:spacing w:lineRule="auto" w:line="240" w:before="0" w:after="0"/>
        <w:jc w:val="both"/>
        <w:rPr>
          <w:rFonts w:ascii="Times New Roman" w:hAnsi="Times New Roman"/>
        </w:rPr>
      </w:pPr>
      <w:r>
        <w:rPr>
          <w:rFonts w:cs="Times New Roman" w:ascii="Times New Roman" w:hAnsi="Times New Roman"/>
          <w:b/>
          <w:bCs/>
          <w:sz w:val="24"/>
          <w:szCs w:val="24"/>
          <w:shd w:fill="FFFFFF" w:val="clear"/>
        </w:rPr>
        <w:t xml:space="preserve">1.3 Плановые сроки начала и окончания работ </w:t>
      </w:r>
    </w:p>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Начало работ — с даты заключения договора. </w:t>
      </w:r>
    </w:p>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Окончание работ — до 11.12.2026 г.</w:t>
      </w:r>
    </w:p>
    <w:p>
      <w:pPr>
        <w:pStyle w:val="Normal"/>
        <w:widowControl w:val="false"/>
        <w:bidi w:val="0"/>
        <w:spacing w:lineRule="auto" w:line="240" w:before="0" w:after="0"/>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jc w:val="both"/>
        <w:rPr>
          <w:sz w:val="24"/>
          <w:szCs w:val="24"/>
        </w:rPr>
      </w:pPr>
      <w:r>
        <w:rPr>
          <w:rFonts w:ascii="Times New Roman" w:hAnsi="Times New Roman"/>
          <w:b/>
          <w:bCs/>
          <w:sz w:val="24"/>
          <w:szCs w:val="24"/>
          <w:lang w:eastAsia="ru-RU"/>
        </w:rPr>
        <w:t>Место выполнения работ:</w:t>
      </w:r>
    </w:p>
    <w:p>
      <w:pPr>
        <w:pStyle w:val="Normal"/>
        <w:widowControl w:val="false"/>
        <w:bidi w:val="0"/>
        <w:spacing w:lineRule="auto" w:line="240" w:before="0" w:after="0"/>
        <w:jc w:val="both"/>
        <w:rPr>
          <w:rFonts w:ascii="Times New Roman" w:hAnsi="Times New Roman"/>
          <w:bCs/>
          <w:sz w:val="24"/>
          <w:szCs w:val="24"/>
          <w:lang w:eastAsia="ru-RU"/>
        </w:rPr>
      </w:pPr>
      <w:r>
        <w:rPr>
          <w:rFonts w:ascii="Times New Roman" w:hAnsi="Times New Roman"/>
          <w:bCs/>
          <w:sz w:val="24"/>
          <w:szCs w:val="24"/>
          <w:lang w:eastAsia="ru-RU"/>
        </w:rPr>
      </w:r>
    </w:p>
    <w:p>
      <w:pPr>
        <w:pStyle w:val="Normal"/>
        <w:widowControl w:val="false"/>
        <w:bidi w:val="0"/>
        <w:spacing w:lineRule="auto" w:line="240" w:before="0" w:after="0"/>
        <w:jc w:val="both"/>
        <w:rPr>
          <w:rFonts w:ascii="Times New Roman" w:hAnsi="Times New Roman"/>
          <w:bCs/>
          <w:sz w:val="24"/>
          <w:szCs w:val="24"/>
          <w:lang w:eastAsia="ru-RU"/>
        </w:rPr>
      </w:pPr>
      <w:r>
        <w:rPr>
          <w:rFonts w:ascii="Times New Roman" w:hAnsi="Times New Roman"/>
          <w:bCs/>
          <w:sz w:val="24"/>
          <w:szCs w:val="24"/>
          <w:lang w:eastAsia="ru-RU"/>
        </w:rPr>
        <w:t xml:space="preserve">Таблица 1. Место размещения пункта управления ЛСОН ГТС ИЗ г. Абакана, рп. Усть-Абакана. </w:t>
      </w:r>
    </w:p>
    <w:p>
      <w:pPr>
        <w:pStyle w:val="Normal"/>
        <w:widowControl w:val="false"/>
        <w:bidi w:val="0"/>
        <w:spacing w:lineRule="auto" w:line="240" w:before="0" w:after="0"/>
        <w:jc w:val="both"/>
        <w:rPr>
          <w:rFonts w:ascii="Times New Roman" w:hAnsi="Times New Roman"/>
          <w:bCs/>
          <w:sz w:val="24"/>
          <w:szCs w:val="24"/>
          <w:lang w:eastAsia="ru-RU"/>
        </w:rPr>
      </w:pPr>
      <w:r>
        <w:rPr>
          <w:rFonts w:ascii="Times New Roman" w:hAnsi="Times New Roman"/>
          <w:bCs/>
          <w:sz w:val="24"/>
          <w:szCs w:val="24"/>
          <w:lang w:eastAsia="ru-RU"/>
        </w:rPr>
      </w:r>
    </w:p>
    <w:tbl>
      <w:tblPr>
        <w:tblW w:w="9796" w:type="dxa"/>
        <w:jc w:val="end"/>
        <w:tblInd w:w="0" w:type="dxa"/>
        <w:tblLayout w:type="fixed"/>
        <w:tblCellMar>
          <w:top w:w="0" w:type="dxa"/>
          <w:start w:w="108" w:type="dxa"/>
          <w:bottom w:w="0" w:type="dxa"/>
          <w:end w:w="108" w:type="dxa"/>
        </w:tblCellMar>
        <w:tblLook w:val="04a0" w:noHBand="0" w:noVBand="1" w:firstColumn="1" w:lastRow="0" w:lastColumn="0" w:firstRow="1"/>
      </w:tblPr>
      <w:tblGrid>
        <w:gridCol w:w="617"/>
        <w:gridCol w:w="4336"/>
        <w:gridCol w:w="4843"/>
      </w:tblGrid>
      <w:tr>
        <w:trPr>
          <w:tblHeader w:val="true"/>
        </w:trPr>
        <w:tc>
          <w:tcPr>
            <w:tcW w:w="61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b/>
                <w:bCs/>
                <w:sz w:val="24"/>
                <w:szCs w:val="24"/>
                <w:lang w:eastAsia="ru-RU"/>
              </w:rPr>
              <w:t>№</w:t>
            </w:r>
          </w:p>
          <w:p>
            <w:pPr>
              <w:pStyle w:val="Normal"/>
              <w:widowControl w:val="false"/>
              <w:bidi w:val="0"/>
              <w:spacing w:lineRule="auto" w:line="240" w:before="0" w:after="0"/>
              <w:jc w:val="center"/>
              <w:rPr>
                <w:sz w:val="24"/>
                <w:szCs w:val="24"/>
              </w:rPr>
            </w:pPr>
            <w:r>
              <w:rPr>
                <w:rFonts w:cs="Times New Roman" w:ascii="Times New Roman" w:hAnsi="Times New Roman"/>
                <w:b/>
                <w:bCs/>
                <w:sz w:val="24"/>
                <w:szCs w:val="24"/>
                <w:lang w:eastAsia="ru-RU"/>
              </w:rPr>
              <w:t>п/п</w:t>
            </w:r>
          </w:p>
        </w:tc>
        <w:tc>
          <w:tcPr>
            <w:tcW w:w="43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b/>
                <w:bCs/>
                <w:sz w:val="24"/>
                <w:szCs w:val="24"/>
                <w:lang w:eastAsia="ru-RU"/>
              </w:rPr>
              <w:t>Населенный пункт</w:t>
            </w:r>
          </w:p>
        </w:tc>
        <w:tc>
          <w:tcPr>
            <w:tcW w:w="484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b/>
                <w:bCs/>
                <w:sz w:val="24"/>
                <w:szCs w:val="24"/>
                <w:lang w:eastAsia="ru-RU"/>
              </w:rPr>
              <w:t>Адрес пункта управления</w:t>
            </w:r>
          </w:p>
        </w:tc>
      </w:tr>
      <w:tr>
        <w:trPr/>
        <w:tc>
          <w:tcPr>
            <w:tcW w:w="61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1</w:t>
            </w:r>
          </w:p>
        </w:tc>
        <w:tc>
          <w:tcPr>
            <w:tcW w:w="4336" w:type="dxa"/>
            <w:tcBorders>
              <w:top w:val="single" w:sz="4" w:space="0" w:color="000000"/>
              <w:start w:val="single" w:sz="4" w:space="0" w:color="000000"/>
              <w:bottom w:val="single" w:sz="4" w:space="0" w:color="000000"/>
              <w:end w:val="single" w:sz="4" w:space="0" w:color="000000"/>
            </w:tcBorders>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город Абакан</w:t>
            </w:r>
          </w:p>
        </w:tc>
        <w:tc>
          <w:tcPr>
            <w:tcW w:w="4843" w:type="dxa"/>
            <w:tcBorders>
              <w:top w:val="single" w:sz="4" w:space="0" w:color="000000"/>
              <w:start w:val="single" w:sz="4" w:space="0" w:color="000000"/>
              <w:bottom w:val="single" w:sz="4" w:space="0" w:color="000000"/>
              <w:end w:val="single" w:sz="4" w:space="0" w:color="000000"/>
            </w:tcBorders>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 Абакан, ул. Маршала Жукова, 90</w:t>
            </w:r>
          </w:p>
        </w:tc>
      </w:tr>
    </w:tbl>
    <w:p>
      <w:pPr>
        <w:pStyle w:val="Normal"/>
        <w:widowControl w:val="false"/>
        <w:bidi w:val="0"/>
        <w:spacing w:lineRule="auto" w:line="240" w:before="0" w:after="0"/>
        <w:jc w:val="both"/>
        <w:rPr>
          <w:rFonts w:ascii="Times New Roman" w:hAnsi="Times New Roman"/>
          <w:bCs/>
          <w:sz w:val="24"/>
          <w:szCs w:val="24"/>
          <w:lang w:eastAsia="ru-RU"/>
        </w:rPr>
      </w:pPr>
      <w:r>
        <w:rPr>
          <w:rFonts w:ascii="Times New Roman" w:hAnsi="Times New Roman"/>
          <w:bCs/>
          <w:sz w:val="24"/>
          <w:szCs w:val="24"/>
          <w:lang w:eastAsia="ru-RU"/>
        </w:rPr>
      </w:r>
    </w:p>
    <w:p>
      <w:pPr>
        <w:pStyle w:val="Normal"/>
        <w:widowControl w:val="false"/>
        <w:bidi w:val="0"/>
        <w:spacing w:lineRule="auto" w:line="240" w:before="0" w:after="0"/>
        <w:jc w:val="both"/>
        <w:rPr>
          <w:rFonts w:ascii="Times New Roman" w:hAnsi="Times New Roman"/>
          <w:bCs/>
          <w:sz w:val="24"/>
          <w:szCs w:val="24"/>
          <w:lang w:eastAsia="ru-RU"/>
        </w:rPr>
      </w:pPr>
      <w:r>
        <w:rPr>
          <w:rFonts w:ascii="Times New Roman" w:hAnsi="Times New Roman"/>
          <w:bCs/>
          <w:sz w:val="24"/>
          <w:szCs w:val="24"/>
          <w:lang w:eastAsia="ru-RU"/>
        </w:rPr>
        <w:t>Таблица 2. Перечень мест размещения пунктов оповещения ЛСОН ГТС ИЗ г. Абакана, рп. Усть-Абакана.</w:t>
      </w:r>
    </w:p>
    <w:p>
      <w:pPr>
        <w:pStyle w:val="Normal"/>
        <w:bidi w:val="0"/>
        <w:jc w:val="start"/>
        <w:rPr/>
      </w:pPr>
      <w:r>
        <w:rPr/>
      </w:r>
    </w:p>
    <w:tbl>
      <w:tblPr>
        <w:tblW w:w="9865" w:type="dxa"/>
        <w:jc w:val="end"/>
        <w:tblInd w:w="0" w:type="dxa"/>
        <w:tblLayout w:type="fixed"/>
        <w:tblCellMar>
          <w:top w:w="0" w:type="dxa"/>
          <w:start w:w="108" w:type="dxa"/>
          <w:bottom w:w="0" w:type="dxa"/>
          <w:end w:w="108" w:type="dxa"/>
        </w:tblCellMar>
        <w:tblLook w:val="04a0" w:noHBand="0" w:noVBand="1" w:firstColumn="1" w:lastRow="0" w:lastColumn="0" w:firstRow="1"/>
      </w:tblPr>
      <w:tblGrid>
        <w:gridCol w:w="567"/>
        <w:gridCol w:w="1983"/>
        <w:gridCol w:w="2436"/>
        <w:gridCol w:w="2542"/>
        <w:gridCol w:w="2337"/>
      </w:tblGrid>
      <w:tr>
        <w:trPr>
          <w:tblHeader w:val="true"/>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b/>
                <w:bCs/>
                <w:sz w:val="24"/>
                <w:szCs w:val="24"/>
              </w:rPr>
              <w:t>№</w:t>
            </w:r>
          </w:p>
          <w:p>
            <w:pPr>
              <w:pStyle w:val="Normal"/>
              <w:widowControl w:val="false"/>
              <w:bidi w:val="0"/>
              <w:spacing w:lineRule="auto" w:line="240" w:before="0" w:after="0"/>
              <w:jc w:val="center"/>
              <w:rPr>
                <w:sz w:val="24"/>
                <w:szCs w:val="24"/>
              </w:rPr>
            </w:pPr>
            <w:r>
              <w:rPr>
                <w:rFonts w:cs="Times New Roman" w:ascii="Times New Roman" w:hAnsi="Times New Roman"/>
                <w:b/>
                <w:bCs/>
                <w:sz w:val="24"/>
                <w:szCs w:val="24"/>
              </w:rPr>
              <w:t>п/п</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b/>
                <w:bCs/>
                <w:sz w:val="24"/>
                <w:szCs w:val="24"/>
              </w:rPr>
              <w:t>Населенный пункт</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b/>
                <w:bCs/>
                <w:sz w:val="24"/>
                <w:szCs w:val="24"/>
              </w:rPr>
              <w:t>Адрес установки</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b/>
                <w:bCs/>
                <w:sz w:val="24"/>
                <w:szCs w:val="24"/>
              </w:rPr>
              <w:t>Наименование объекта</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b/>
                <w:bCs/>
                <w:sz w:val="24"/>
                <w:szCs w:val="24"/>
              </w:rPr>
              <w:t>Оконечное устройство РСОН</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1</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 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Ленина, 67</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Правительство РХ</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2</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 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Советская, 150</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МУП Абаканское троллейбусное управление</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3</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 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Игарская, 3</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Административное здание</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4</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 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Пирятинская, 20</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ДК Железнодорожников</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5</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 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Торговая, 13</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ПАО Ростелеком</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6</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 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Зоотехническая, 6</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МОУ СОШ №23</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7</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 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Белоярская, 68</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ГАУ РХ Абаканский пансионат ветеранов</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8</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 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Зеленая, 1</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Спецавтобаза ЖКХ</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9</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 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Павших Коммунаров, 131Б</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ОАО Абаканский опытно-механический завод</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10</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 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Жукова, 70</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Жилой дом</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11</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 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Ленина, 23</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Республиканская больница</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12</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 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Лермонтова, 12</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СОШ №14</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13</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п. Усть-Абакан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Кирова, 20 Б</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ПАО Ростелеком</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14</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п. Усть-Абакан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Мира, 44 А</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МОУ Усть-Абаканская СОШ №2</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15</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п. Усть-Абакан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Добровольского, 14</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ГБОУ РХ Хакасский политехнический колледж</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16</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п. Усть-Абакан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 Октябрьская, 17 Б</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МБУ РДК Дружба</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17</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п. Усть-Абакан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ул.30 лет Победы, 6 А</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МБУ Дом культуры им.Гагарина</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r>
        <w:trPr/>
        <w:tc>
          <w:tcPr>
            <w:tcW w:w="56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center"/>
              <w:rPr>
                <w:sz w:val="24"/>
                <w:szCs w:val="24"/>
              </w:rPr>
            </w:pPr>
            <w:r>
              <w:rPr>
                <w:rFonts w:cs="Times New Roman" w:ascii="Times New Roman" w:hAnsi="Times New Roman"/>
                <w:sz w:val="24"/>
                <w:szCs w:val="24"/>
              </w:rPr>
              <w:t>18</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п. Усть-Абакан</w:t>
            </w:r>
          </w:p>
        </w:tc>
        <w:tc>
          <w:tcPr>
            <w:tcW w:w="24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Подгорный Квартал, 2</w:t>
            </w:r>
          </w:p>
        </w:tc>
        <w:tc>
          <w:tcPr>
            <w:tcW w:w="25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НО МЖФ г.Абакан</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bidi w:val="0"/>
              <w:spacing w:lineRule="auto" w:line="240" w:before="0" w:after="0"/>
              <w:jc w:val="start"/>
              <w:rPr>
                <w:sz w:val="24"/>
                <w:szCs w:val="24"/>
              </w:rPr>
            </w:pPr>
            <w:r>
              <w:rPr>
                <w:rFonts w:cs="Times New Roman" w:ascii="Times New Roman" w:hAnsi="Times New Roman"/>
                <w:sz w:val="24"/>
                <w:szCs w:val="24"/>
              </w:rPr>
              <w:t>Электросирена С-40</w:t>
            </w:r>
          </w:p>
        </w:tc>
      </w:tr>
    </w:tbl>
    <w:p>
      <w:pPr>
        <w:pStyle w:val="Normal"/>
        <w:widowControl w:val="false"/>
        <w:bidi w:val="0"/>
        <w:spacing w:lineRule="auto" w:line="240" w:before="0" w:after="0"/>
        <w:jc w:val="both"/>
        <w:rPr>
          <w:rFonts w:ascii="Times New Roman" w:hAnsi="Times New Roman" w:cs="Times New Roman"/>
          <w:bCs/>
          <w:lang w:eastAsia="ru-RU"/>
        </w:rPr>
      </w:pPr>
      <w:r>
        <w:rPr>
          <w:rFonts w:cs="Times New Roman" w:ascii="Times New Roman" w:hAnsi="Times New Roman"/>
          <w:bCs/>
          <w:lang w:eastAsia="ru-RU"/>
        </w:rPr>
      </w:r>
    </w:p>
    <w:p>
      <w:pPr>
        <w:pStyle w:val="Normal"/>
        <w:widowControl w:val="false"/>
        <w:bidi w:val="0"/>
        <w:spacing w:lineRule="auto" w:line="240" w:before="0" w:after="0"/>
        <w:jc w:val="both"/>
        <w:rPr>
          <w:rFonts w:ascii="Times New Roman" w:hAnsi="Times New Roman"/>
        </w:rPr>
      </w:pPr>
      <w:r>
        <w:rPr>
          <w:rFonts w:cs="Times New Roman" w:ascii="Times New Roman" w:hAnsi="Times New Roman"/>
          <w:b/>
          <w:bCs/>
          <w:sz w:val="24"/>
          <w:szCs w:val="24"/>
          <w:shd w:fill="FFFFFF" w:val="clear"/>
        </w:rPr>
        <w:t>1.4 Определения, обозначения и сокращения</w:t>
      </w:r>
    </w:p>
    <w:p>
      <w:pPr>
        <w:pStyle w:val="Normal"/>
        <w:widowControl w:val="false"/>
        <w:bidi w:val="0"/>
        <w:spacing w:lineRule="auto" w:line="240" w:before="0" w:after="0"/>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tbl>
      <w:tblPr>
        <w:tblW w:w="9932" w:type="dxa"/>
        <w:jc w:val="start"/>
        <w:tblInd w:w="-180" w:type="dxa"/>
        <w:tblLayout w:type="fixed"/>
        <w:tblCellMar>
          <w:top w:w="0" w:type="dxa"/>
          <w:start w:w="108" w:type="dxa"/>
          <w:bottom w:w="0" w:type="dxa"/>
          <w:end w:w="108" w:type="dxa"/>
        </w:tblCellMar>
        <w:tblLook w:val="0000" w:noHBand="0" w:noVBand="0" w:firstColumn="0" w:lastRow="0" w:lastColumn="0" w:firstRow="0"/>
      </w:tblPr>
      <w:tblGrid>
        <w:gridCol w:w="791"/>
        <w:gridCol w:w="1864"/>
        <w:gridCol w:w="7277"/>
      </w:tblGrid>
      <w:tr>
        <w:trPr>
          <w:trHeight w:val="253" w:hRule="atLeast"/>
        </w:trPr>
        <w:tc>
          <w:tcPr>
            <w:tcW w:w="791" w:type="dxa"/>
            <w:tcBorders/>
            <w:vAlign w:val="center"/>
          </w:tcPr>
          <w:p>
            <w:pPr>
              <w:pStyle w:val="Normal"/>
              <w:widowControl w:val="false"/>
              <w:bidi w:val="0"/>
              <w:spacing w:lineRule="auto" w:line="240" w:before="0" w:after="0"/>
              <w:jc w:val="center"/>
              <w:rPr>
                <w:rFonts w:ascii="Times New Roman" w:hAnsi="Times New Roman"/>
              </w:rPr>
            </w:pPr>
            <w:r>
              <w:rPr>
                <w:rFonts w:cs="Times New Roman" w:ascii="Times New Roman" w:hAnsi="Times New Roman"/>
                <w:sz w:val="24"/>
                <w:szCs w:val="24"/>
                <w:shd w:fill="FFFFFF" w:val="clear"/>
              </w:rPr>
              <w:t>№</w:t>
            </w:r>
            <w:r>
              <w:rPr>
                <w:rFonts w:cs="Times New Roman" w:ascii="Times New Roman" w:hAnsi="Times New Roman"/>
                <w:sz w:val="24"/>
                <w:szCs w:val="24"/>
                <w:shd w:fill="FFFFFF" w:val="clear"/>
              </w:rPr>
              <w:t>п/п</w:t>
            </w:r>
          </w:p>
        </w:tc>
        <w:tc>
          <w:tcPr>
            <w:tcW w:w="1864" w:type="dxa"/>
            <w:tcBorders/>
            <w:vAlign w:val="center"/>
          </w:tcPr>
          <w:p>
            <w:pPr>
              <w:pStyle w:val="Normal"/>
              <w:widowControl w:val="false"/>
              <w:bidi w:val="0"/>
              <w:spacing w:lineRule="auto" w:line="240" w:before="0" w:after="0"/>
              <w:jc w:val="start"/>
              <w:rPr>
                <w:rFonts w:ascii="Times New Roman" w:hAnsi="Times New Roman"/>
              </w:rPr>
            </w:pPr>
            <w:r>
              <w:rPr>
                <w:rFonts w:cs="Times New Roman" w:ascii="Times New Roman" w:hAnsi="Times New Roman"/>
                <w:sz w:val="24"/>
                <w:szCs w:val="24"/>
                <w:shd w:fill="FFFFFF" w:val="clear"/>
              </w:rPr>
              <w:t>Сокращение</w:t>
            </w:r>
          </w:p>
        </w:tc>
        <w:tc>
          <w:tcPr>
            <w:tcW w:w="7277" w:type="dxa"/>
            <w:tcBorders/>
            <w:vAlign w:val="center"/>
          </w:tcPr>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Расшифровка</w:t>
            </w:r>
          </w:p>
        </w:tc>
      </w:tr>
      <w:tr>
        <w:trPr>
          <w:trHeight w:val="624" w:hRule="atLeast"/>
        </w:trPr>
        <w:tc>
          <w:tcPr>
            <w:tcW w:w="791" w:type="dxa"/>
            <w:tcBorders/>
            <w:vAlign w:val="center"/>
          </w:tcPr>
          <w:p>
            <w:pPr>
              <w:pStyle w:val="Normal"/>
              <w:widowControl w:val="false"/>
              <w:bidi w:val="0"/>
              <w:spacing w:lineRule="auto" w:line="240" w:before="0" w:after="0"/>
              <w:jc w:val="center"/>
              <w:rPr>
                <w:rFonts w:ascii="Times New Roman" w:hAnsi="Times New Roman"/>
              </w:rPr>
            </w:pPr>
            <w:r>
              <w:rPr>
                <w:rFonts w:ascii="Times New Roman" w:hAnsi="Times New Roman"/>
              </w:rPr>
              <w:t>1.</w:t>
            </w:r>
          </w:p>
        </w:tc>
        <w:tc>
          <w:tcPr>
            <w:tcW w:w="1864" w:type="dxa"/>
            <w:tcBorders/>
            <w:vAlign w:val="center"/>
          </w:tcPr>
          <w:p>
            <w:pPr>
              <w:pStyle w:val="Normal"/>
              <w:widowControl w:val="false"/>
              <w:bidi w:val="0"/>
              <w:spacing w:lineRule="auto" w:line="240" w:before="0" w:after="0"/>
              <w:jc w:val="start"/>
              <w:rPr>
                <w:rFonts w:ascii="Times New Roman" w:hAnsi="Times New Roman"/>
              </w:rPr>
            </w:pPr>
            <w:r>
              <w:rPr>
                <w:rFonts w:cs="Times New Roman" w:ascii="Times New Roman" w:hAnsi="Times New Roman"/>
                <w:sz w:val="24"/>
                <w:szCs w:val="24"/>
                <w:shd w:fill="FFFFFF" w:val="clear"/>
              </w:rPr>
              <w:t>ЕАЭС</w:t>
            </w:r>
          </w:p>
        </w:tc>
        <w:tc>
          <w:tcPr>
            <w:tcW w:w="7277" w:type="dxa"/>
            <w:tcBorders/>
            <w:vAlign w:val="center"/>
          </w:tcPr>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Евразийский экономический союз</w:t>
            </w:r>
          </w:p>
        </w:tc>
      </w:tr>
      <w:tr>
        <w:trPr>
          <w:trHeight w:val="120" w:hRule="atLeast"/>
        </w:trPr>
        <w:tc>
          <w:tcPr>
            <w:tcW w:w="791" w:type="dxa"/>
            <w:tcBorders/>
            <w:vAlign w:val="center"/>
          </w:tcPr>
          <w:p>
            <w:pPr>
              <w:pStyle w:val="Normal"/>
              <w:widowControl w:val="false"/>
              <w:bidi w:val="0"/>
              <w:spacing w:lineRule="auto" w:line="240" w:before="0" w:after="0"/>
              <w:jc w:val="center"/>
              <w:rPr>
                <w:rFonts w:ascii="Times New Roman" w:hAnsi="Times New Roman"/>
              </w:rPr>
            </w:pPr>
            <w:r>
              <w:rPr>
                <w:rFonts w:cs="Times New Roman" w:ascii="Times New Roman" w:hAnsi="Times New Roman"/>
                <w:sz w:val="24"/>
                <w:szCs w:val="24"/>
                <w:shd w:fill="FFFFFF" w:val="clear"/>
              </w:rPr>
              <w:t>2.</w:t>
            </w:r>
          </w:p>
        </w:tc>
        <w:tc>
          <w:tcPr>
            <w:tcW w:w="1864" w:type="dxa"/>
            <w:tcBorders/>
            <w:vAlign w:val="center"/>
          </w:tcPr>
          <w:p>
            <w:pPr>
              <w:pStyle w:val="Normal"/>
              <w:widowControl w:val="false"/>
              <w:bidi w:val="0"/>
              <w:spacing w:lineRule="auto" w:line="240" w:before="171" w:after="171"/>
              <w:jc w:val="start"/>
              <w:rPr>
                <w:rFonts w:ascii="Times New Roman" w:hAnsi="Times New Roman"/>
              </w:rPr>
            </w:pPr>
            <w:r>
              <w:rPr>
                <w:rFonts w:cs="Times New Roman" w:ascii="Times New Roman" w:hAnsi="Times New Roman"/>
                <w:sz w:val="24"/>
                <w:szCs w:val="24"/>
                <w:shd w:fill="FFFFFF" w:val="clear"/>
              </w:rPr>
              <w:t>ЕДДС</w:t>
            </w:r>
          </w:p>
        </w:tc>
        <w:tc>
          <w:tcPr>
            <w:tcW w:w="7277" w:type="dxa"/>
            <w:tcBorders/>
            <w:vAlign w:val="center"/>
          </w:tcPr>
          <w:p>
            <w:pPr>
              <w:pStyle w:val="Normal"/>
              <w:widowControl w:val="false"/>
              <w:bidi w:val="0"/>
              <w:spacing w:lineRule="auto" w:line="240" w:before="171" w:after="171"/>
              <w:jc w:val="both"/>
              <w:rPr>
                <w:rFonts w:ascii="Times New Roman" w:hAnsi="Times New Roman"/>
              </w:rPr>
            </w:pPr>
            <w:r>
              <w:rPr>
                <w:rFonts w:cs="Times New Roman" w:ascii="Times New Roman" w:hAnsi="Times New Roman"/>
                <w:sz w:val="24"/>
                <w:szCs w:val="24"/>
                <w:shd w:fill="FFFFFF" w:val="clear"/>
              </w:rPr>
              <w:t>Единая дежурная диспетчерская служба</w:t>
            </w:r>
          </w:p>
        </w:tc>
      </w:tr>
      <w:tr>
        <w:trPr>
          <w:trHeight w:val="121" w:hRule="atLeast"/>
        </w:trPr>
        <w:tc>
          <w:tcPr>
            <w:tcW w:w="791" w:type="dxa"/>
            <w:tcBorders/>
            <w:vAlign w:val="center"/>
          </w:tcPr>
          <w:p>
            <w:pPr>
              <w:pStyle w:val="Normal"/>
              <w:widowControl w:val="false"/>
              <w:bidi w:val="0"/>
              <w:spacing w:lineRule="auto" w:line="240" w:before="0" w:after="0"/>
              <w:jc w:val="center"/>
              <w:rPr>
                <w:rFonts w:ascii="Times New Roman" w:hAnsi="Times New Roman"/>
              </w:rPr>
            </w:pPr>
            <w:r>
              <w:rPr>
                <w:rFonts w:cs="Times New Roman" w:ascii="Times New Roman" w:hAnsi="Times New Roman"/>
                <w:sz w:val="24"/>
                <w:szCs w:val="24"/>
                <w:shd w:fill="FFFFFF" w:val="clear"/>
              </w:rPr>
              <w:t>3.</w:t>
            </w:r>
          </w:p>
        </w:tc>
        <w:tc>
          <w:tcPr>
            <w:tcW w:w="1864" w:type="dxa"/>
            <w:tcBorders/>
            <w:vAlign w:val="center"/>
          </w:tcPr>
          <w:p>
            <w:pPr>
              <w:pStyle w:val="Normal"/>
              <w:widowControl w:val="false"/>
              <w:bidi w:val="0"/>
              <w:spacing w:lineRule="auto" w:line="240" w:before="0" w:after="0"/>
              <w:jc w:val="start"/>
              <w:rPr>
                <w:rFonts w:ascii="Times New Roman" w:hAnsi="Times New Roman"/>
              </w:rPr>
            </w:pPr>
            <w:r>
              <w:rPr>
                <w:rFonts w:cs="Times New Roman" w:ascii="Times New Roman" w:hAnsi="Times New Roman"/>
                <w:sz w:val="24"/>
                <w:szCs w:val="24"/>
                <w:shd w:fill="FFFFFF" w:val="clear"/>
              </w:rPr>
              <w:t>ЛСОН</w:t>
            </w:r>
          </w:p>
        </w:tc>
        <w:tc>
          <w:tcPr>
            <w:tcW w:w="7277" w:type="dxa"/>
            <w:tcBorders/>
            <w:vAlign w:val="center"/>
          </w:tcPr>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Локальная система оповещения населения</w:t>
            </w:r>
          </w:p>
        </w:tc>
      </w:tr>
      <w:tr>
        <w:trPr>
          <w:trHeight w:val="120" w:hRule="atLeast"/>
        </w:trPr>
        <w:tc>
          <w:tcPr>
            <w:tcW w:w="791" w:type="dxa"/>
            <w:tcBorders/>
            <w:vAlign w:val="center"/>
          </w:tcPr>
          <w:p>
            <w:pPr>
              <w:pStyle w:val="Normal"/>
              <w:widowControl w:val="false"/>
              <w:bidi w:val="0"/>
              <w:spacing w:lineRule="auto" w:line="240" w:before="0" w:after="0"/>
              <w:jc w:val="center"/>
              <w:rPr>
                <w:rFonts w:ascii="Times New Roman" w:hAnsi="Times New Roman"/>
              </w:rPr>
            </w:pPr>
            <w:r>
              <w:rPr>
                <w:rFonts w:cs="Times New Roman" w:ascii="Times New Roman" w:hAnsi="Times New Roman"/>
                <w:sz w:val="24"/>
                <w:szCs w:val="24"/>
                <w:shd w:fill="FFFFFF" w:val="clear"/>
              </w:rPr>
              <w:t>4.</w:t>
            </w:r>
          </w:p>
        </w:tc>
        <w:tc>
          <w:tcPr>
            <w:tcW w:w="1864" w:type="dxa"/>
            <w:tcBorders/>
            <w:vAlign w:val="center"/>
          </w:tcPr>
          <w:p>
            <w:pPr>
              <w:pStyle w:val="Normal"/>
              <w:widowControl w:val="false"/>
              <w:bidi w:val="0"/>
              <w:spacing w:lineRule="auto" w:line="240" w:before="0" w:after="0"/>
              <w:jc w:val="start"/>
              <w:rPr>
                <w:rFonts w:ascii="Times New Roman" w:hAnsi="Times New Roman"/>
              </w:rPr>
            </w:pPr>
            <w:r>
              <w:rPr>
                <w:rFonts w:cs="Times New Roman" w:ascii="Times New Roman" w:hAnsi="Times New Roman"/>
                <w:sz w:val="24"/>
                <w:szCs w:val="24"/>
                <w:shd w:fill="FFFFFF" w:val="clear"/>
              </w:rPr>
              <w:t>МСОН</w:t>
            </w:r>
          </w:p>
        </w:tc>
        <w:tc>
          <w:tcPr>
            <w:tcW w:w="7277" w:type="dxa"/>
            <w:tcBorders/>
            <w:vAlign w:val="center"/>
          </w:tcPr>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Муниципальная система оповещения населения</w:t>
            </w:r>
          </w:p>
        </w:tc>
      </w:tr>
      <w:tr>
        <w:trPr>
          <w:trHeight w:val="427" w:hRule="atLeast"/>
        </w:trPr>
        <w:tc>
          <w:tcPr>
            <w:tcW w:w="791" w:type="dxa"/>
            <w:tcBorders/>
            <w:vAlign w:val="center"/>
          </w:tcPr>
          <w:p>
            <w:pPr>
              <w:pStyle w:val="Normal"/>
              <w:widowControl w:val="false"/>
              <w:bidi w:val="0"/>
              <w:spacing w:lineRule="auto" w:line="240" w:before="171" w:after="171"/>
              <w:jc w:val="center"/>
              <w:rPr>
                <w:rFonts w:ascii="Times New Roman" w:hAnsi="Times New Roman"/>
              </w:rPr>
            </w:pPr>
            <w:r>
              <w:rPr>
                <w:rFonts w:cs="Times New Roman" w:ascii="Times New Roman" w:hAnsi="Times New Roman"/>
                <w:sz w:val="24"/>
                <w:szCs w:val="24"/>
                <w:shd w:fill="FFFFFF" w:val="clear"/>
              </w:rPr>
              <w:t>5.</w:t>
            </w:r>
          </w:p>
        </w:tc>
        <w:tc>
          <w:tcPr>
            <w:tcW w:w="1864" w:type="dxa"/>
            <w:tcBorders/>
            <w:vAlign w:val="center"/>
          </w:tcPr>
          <w:p>
            <w:pPr>
              <w:pStyle w:val="Normal"/>
              <w:widowControl w:val="false"/>
              <w:bidi w:val="0"/>
              <w:spacing w:lineRule="auto" w:line="240" w:before="0" w:after="0"/>
              <w:jc w:val="start"/>
              <w:rPr>
                <w:rFonts w:ascii="Times New Roman" w:hAnsi="Times New Roman"/>
              </w:rPr>
            </w:pPr>
            <w:r>
              <w:rPr>
                <w:rFonts w:cs="Times New Roman" w:ascii="Times New Roman" w:hAnsi="Times New Roman"/>
                <w:sz w:val="24"/>
                <w:szCs w:val="24"/>
                <w:shd w:fill="FFFFFF" w:val="clear"/>
              </w:rPr>
              <w:t>МЧС</w:t>
            </w:r>
          </w:p>
        </w:tc>
        <w:tc>
          <w:tcPr>
            <w:tcW w:w="7277" w:type="dxa"/>
            <w:tcBorders/>
            <w:vAlign w:val="center"/>
          </w:tcPr>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Министерство Российской Федерации по делам гражданской обороны, чрезвычайным ситуациям и ликвидации последствий стихийных бедствий</w:t>
            </w:r>
          </w:p>
        </w:tc>
      </w:tr>
      <w:tr>
        <w:trPr>
          <w:trHeight w:val="510" w:hRule="atLeast"/>
        </w:trPr>
        <w:tc>
          <w:tcPr>
            <w:tcW w:w="791" w:type="dxa"/>
            <w:tcBorders/>
            <w:vAlign w:val="center"/>
          </w:tcPr>
          <w:p>
            <w:pPr>
              <w:pStyle w:val="Normal"/>
              <w:widowControl w:val="false"/>
              <w:bidi w:val="0"/>
              <w:spacing w:lineRule="auto" w:line="240" w:before="0" w:after="0"/>
              <w:jc w:val="center"/>
              <w:rPr>
                <w:rFonts w:ascii="Times New Roman" w:hAnsi="Times New Roman"/>
              </w:rPr>
            </w:pPr>
            <w:r>
              <w:rPr>
                <w:rFonts w:ascii="Times New Roman" w:hAnsi="Times New Roman"/>
              </w:rPr>
              <w:t>6.</w:t>
            </w:r>
          </w:p>
        </w:tc>
        <w:tc>
          <w:tcPr>
            <w:tcW w:w="1864" w:type="dxa"/>
            <w:tcBorders/>
            <w:vAlign w:val="center"/>
          </w:tcPr>
          <w:p>
            <w:pPr>
              <w:pStyle w:val="Normal"/>
              <w:widowControl w:val="false"/>
              <w:bidi w:val="0"/>
              <w:spacing w:lineRule="auto" w:line="240" w:before="0" w:after="0"/>
              <w:jc w:val="start"/>
              <w:rPr>
                <w:rFonts w:ascii="Times New Roman" w:hAnsi="Times New Roman"/>
              </w:rPr>
            </w:pPr>
            <w:r>
              <w:rPr>
                <w:rFonts w:cs="Times New Roman" w:ascii="Times New Roman" w:hAnsi="Times New Roman"/>
                <w:sz w:val="24"/>
                <w:szCs w:val="24"/>
                <w:shd w:fill="FFFFFF" w:val="clear"/>
              </w:rPr>
              <w:t>ПМИ</w:t>
            </w:r>
          </w:p>
        </w:tc>
        <w:tc>
          <w:tcPr>
            <w:tcW w:w="7277" w:type="dxa"/>
            <w:tcBorders/>
            <w:vAlign w:val="center"/>
          </w:tcPr>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Программа и методика испытаний</w:t>
            </w:r>
          </w:p>
        </w:tc>
      </w:tr>
      <w:tr>
        <w:trPr>
          <w:trHeight w:val="404" w:hRule="atLeast"/>
        </w:trPr>
        <w:tc>
          <w:tcPr>
            <w:tcW w:w="791" w:type="dxa"/>
            <w:tcBorders/>
            <w:vAlign w:val="center"/>
          </w:tcPr>
          <w:p>
            <w:pPr>
              <w:pStyle w:val="Normal"/>
              <w:widowControl w:val="false"/>
              <w:bidi w:val="0"/>
              <w:spacing w:lineRule="auto" w:line="240" w:before="0" w:after="0"/>
              <w:jc w:val="center"/>
              <w:rPr>
                <w:rFonts w:ascii="Times New Roman" w:hAnsi="Times New Roman"/>
              </w:rPr>
            </w:pPr>
            <w:r>
              <w:rPr>
                <w:rFonts w:cs="Times New Roman" w:ascii="Times New Roman" w:hAnsi="Times New Roman"/>
                <w:sz w:val="24"/>
                <w:szCs w:val="24"/>
                <w:shd w:fill="FFFFFF" w:val="clear"/>
              </w:rPr>
              <w:t>7.</w:t>
            </w:r>
          </w:p>
        </w:tc>
        <w:tc>
          <w:tcPr>
            <w:tcW w:w="1864" w:type="dxa"/>
            <w:tcBorders/>
            <w:vAlign w:val="center"/>
          </w:tcPr>
          <w:p>
            <w:pPr>
              <w:pStyle w:val="Normal"/>
              <w:widowControl w:val="false"/>
              <w:bidi w:val="0"/>
              <w:spacing w:lineRule="auto" w:line="240" w:before="0" w:after="0"/>
              <w:jc w:val="start"/>
              <w:rPr>
                <w:rFonts w:ascii="Times New Roman" w:hAnsi="Times New Roman"/>
              </w:rPr>
            </w:pPr>
            <w:r>
              <w:rPr>
                <w:rFonts w:cs="Times New Roman" w:ascii="Times New Roman" w:hAnsi="Times New Roman"/>
                <w:sz w:val="24"/>
                <w:szCs w:val="24"/>
                <w:shd w:fill="FFFFFF" w:val="clear"/>
              </w:rPr>
              <w:t>ПТД</w:t>
            </w:r>
          </w:p>
        </w:tc>
        <w:tc>
          <w:tcPr>
            <w:tcW w:w="7277" w:type="dxa"/>
            <w:tcBorders/>
            <w:vAlign w:val="center"/>
          </w:tcPr>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Проектно-техническая документация</w:t>
            </w:r>
          </w:p>
        </w:tc>
      </w:tr>
      <w:tr>
        <w:trPr>
          <w:trHeight w:val="140" w:hRule="atLeast"/>
        </w:trPr>
        <w:tc>
          <w:tcPr>
            <w:tcW w:w="791" w:type="dxa"/>
            <w:tcBorders/>
            <w:vAlign w:val="center"/>
          </w:tcPr>
          <w:p>
            <w:pPr>
              <w:pStyle w:val="Normal"/>
              <w:widowControl w:val="false"/>
              <w:bidi w:val="0"/>
              <w:spacing w:lineRule="auto" w:line="240" w:before="0" w:after="0"/>
              <w:jc w:val="center"/>
              <w:rPr>
                <w:rFonts w:ascii="Times New Roman" w:hAnsi="Times New Roman"/>
              </w:rPr>
            </w:pPr>
            <w:r>
              <w:rPr>
                <w:rFonts w:cs="Times New Roman" w:ascii="Times New Roman" w:hAnsi="Times New Roman"/>
                <w:sz w:val="24"/>
                <w:szCs w:val="24"/>
                <w:shd w:fill="FFFFFF" w:val="clear"/>
              </w:rPr>
              <w:t>8.</w:t>
            </w:r>
          </w:p>
        </w:tc>
        <w:tc>
          <w:tcPr>
            <w:tcW w:w="1864" w:type="dxa"/>
            <w:tcBorders/>
            <w:vAlign w:val="center"/>
          </w:tcPr>
          <w:p>
            <w:pPr>
              <w:pStyle w:val="Normal"/>
              <w:widowControl w:val="false"/>
              <w:bidi w:val="0"/>
              <w:spacing w:lineRule="auto" w:line="240" w:before="0" w:after="0"/>
              <w:jc w:val="start"/>
              <w:rPr>
                <w:rFonts w:ascii="Times New Roman" w:hAnsi="Times New Roman"/>
              </w:rPr>
            </w:pPr>
            <w:r>
              <w:rPr>
                <w:rFonts w:cs="Times New Roman" w:ascii="Times New Roman" w:hAnsi="Times New Roman"/>
                <w:sz w:val="24"/>
                <w:szCs w:val="24"/>
                <w:shd w:fill="FFFFFF" w:val="clear"/>
              </w:rPr>
              <w:t>ПЭВМ</w:t>
            </w:r>
          </w:p>
        </w:tc>
        <w:tc>
          <w:tcPr>
            <w:tcW w:w="7277" w:type="dxa"/>
            <w:tcBorders/>
            <w:vAlign w:val="center"/>
          </w:tcPr>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Персональная электронная вычислительная машина</w:t>
            </w:r>
          </w:p>
        </w:tc>
      </w:tr>
      <w:tr>
        <w:trPr>
          <w:trHeight w:val="140" w:hRule="atLeast"/>
        </w:trPr>
        <w:tc>
          <w:tcPr>
            <w:tcW w:w="791" w:type="dxa"/>
            <w:tcBorders/>
            <w:vAlign w:val="center"/>
          </w:tcPr>
          <w:p>
            <w:pPr>
              <w:pStyle w:val="Normal"/>
              <w:widowControl w:val="false"/>
              <w:bidi w:val="0"/>
              <w:spacing w:lineRule="auto" w:line="240" w:before="0" w:after="0"/>
              <w:jc w:val="center"/>
              <w:rPr>
                <w:rFonts w:ascii="Times New Roman" w:hAnsi="Times New Roman"/>
              </w:rPr>
            </w:pPr>
            <w:r>
              <w:rPr>
                <w:rFonts w:ascii="Times New Roman" w:hAnsi="Times New Roman"/>
              </w:rPr>
              <w:t>9.</w:t>
            </w:r>
          </w:p>
        </w:tc>
        <w:tc>
          <w:tcPr>
            <w:tcW w:w="1864" w:type="dxa"/>
            <w:tcBorders/>
            <w:vAlign w:val="center"/>
          </w:tcPr>
          <w:p>
            <w:pPr>
              <w:pStyle w:val="Normal"/>
              <w:widowControl w:val="false"/>
              <w:bidi w:val="0"/>
              <w:spacing w:lineRule="auto" w:line="240" w:before="0" w:after="0"/>
              <w:jc w:val="start"/>
              <w:rPr>
                <w:rFonts w:ascii="Times New Roman" w:hAnsi="Times New Roman"/>
              </w:rPr>
            </w:pPr>
            <w:r>
              <w:rPr>
                <w:rFonts w:cs="Times New Roman" w:ascii="Times New Roman" w:hAnsi="Times New Roman"/>
                <w:sz w:val="24"/>
                <w:szCs w:val="24"/>
                <w:shd w:fill="FFFFFF" w:val="clear"/>
              </w:rPr>
              <w:t>РСОН</w:t>
            </w:r>
          </w:p>
        </w:tc>
        <w:tc>
          <w:tcPr>
            <w:tcW w:w="7277" w:type="dxa"/>
            <w:tcBorders/>
            <w:vAlign w:val="center"/>
          </w:tcPr>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Региональная система оповещения населения</w:t>
            </w:r>
          </w:p>
        </w:tc>
      </w:tr>
      <w:tr>
        <w:trPr>
          <w:trHeight w:val="382" w:hRule="atLeast"/>
        </w:trPr>
        <w:tc>
          <w:tcPr>
            <w:tcW w:w="791" w:type="dxa"/>
            <w:tcBorders/>
            <w:vAlign w:val="center"/>
          </w:tcPr>
          <w:p>
            <w:pPr>
              <w:pStyle w:val="Normal"/>
              <w:widowControl w:val="false"/>
              <w:bidi w:val="0"/>
              <w:spacing w:lineRule="auto" w:line="240" w:before="0" w:after="0"/>
              <w:jc w:val="center"/>
              <w:rPr>
                <w:rFonts w:ascii="Times New Roman" w:hAnsi="Times New Roman"/>
              </w:rPr>
            </w:pPr>
            <w:r>
              <w:rPr>
                <w:rFonts w:cs="Times New Roman" w:ascii="Times New Roman" w:hAnsi="Times New Roman"/>
                <w:sz w:val="24"/>
                <w:szCs w:val="24"/>
                <w:shd w:fill="FFFFFF" w:val="clear"/>
              </w:rPr>
              <w:t>10</w:t>
            </w:r>
          </w:p>
        </w:tc>
        <w:tc>
          <w:tcPr>
            <w:tcW w:w="1864" w:type="dxa"/>
            <w:tcBorders/>
            <w:vAlign w:val="center"/>
          </w:tcPr>
          <w:p>
            <w:pPr>
              <w:pStyle w:val="Normal"/>
              <w:widowControl w:val="false"/>
              <w:bidi w:val="0"/>
              <w:spacing w:lineRule="auto" w:line="240" w:before="0" w:after="0"/>
              <w:jc w:val="start"/>
              <w:rPr>
                <w:rFonts w:ascii="Times New Roman" w:hAnsi="Times New Roman"/>
              </w:rPr>
            </w:pPr>
            <w:r>
              <w:rPr>
                <w:rFonts w:cs="Times New Roman" w:ascii="Times New Roman" w:hAnsi="Times New Roman"/>
                <w:sz w:val="24"/>
                <w:szCs w:val="24"/>
                <w:shd w:fill="FFFFFF" w:val="clear"/>
              </w:rPr>
              <w:t>РСЧС</w:t>
            </w:r>
          </w:p>
        </w:tc>
        <w:tc>
          <w:tcPr>
            <w:tcW w:w="7277" w:type="dxa"/>
            <w:tcBorders/>
            <w:vAlign w:val="center"/>
          </w:tcPr>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Единая государственная система предупреждения и ликвидации чрезвычайных ситуаций</w:t>
            </w:r>
          </w:p>
        </w:tc>
      </w:tr>
      <w:tr>
        <w:trPr>
          <w:trHeight w:val="404" w:hRule="atLeast"/>
        </w:trPr>
        <w:tc>
          <w:tcPr>
            <w:tcW w:w="791" w:type="dxa"/>
            <w:tcBorders/>
            <w:vAlign w:val="center"/>
          </w:tcPr>
          <w:p>
            <w:pPr>
              <w:pStyle w:val="Normal"/>
              <w:widowControl w:val="false"/>
              <w:bidi w:val="0"/>
              <w:spacing w:lineRule="auto" w:line="240" w:before="0" w:after="0"/>
              <w:jc w:val="center"/>
              <w:rPr>
                <w:rFonts w:ascii="Times New Roman" w:hAnsi="Times New Roman"/>
              </w:rPr>
            </w:pPr>
            <w:r>
              <w:rPr>
                <w:rFonts w:cs="Times New Roman" w:ascii="Times New Roman" w:hAnsi="Times New Roman"/>
                <w:sz w:val="24"/>
                <w:szCs w:val="24"/>
                <w:shd w:fill="FFFFFF" w:val="clear"/>
              </w:rPr>
              <w:t>11.</w:t>
            </w:r>
          </w:p>
        </w:tc>
        <w:tc>
          <w:tcPr>
            <w:tcW w:w="1864" w:type="dxa"/>
            <w:tcBorders/>
            <w:vAlign w:val="center"/>
          </w:tcPr>
          <w:p>
            <w:pPr>
              <w:pStyle w:val="Normal"/>
              <w:widowControl w:val="false"/>
              <w:bidi w:val="0"/>
              <w:spacing w:lineRule="auto" w:line="240" w:before="0" w:after="0"/>
              <w:jc w:val="start"/>
              <w:rPr>
                <w:rFonts w:ascii="Times New Roman" w:hAnsi="Times New Roman"/>
              </w:rPr>
            </w:pPr>
            <w:r>
              <w:rPr>
                <w:rFonts w:cs="Times New Roman" w:ascii="Times New Roman" w:hAnsi="Times New Roman"/>
                <w:sz w:val="24"/>
                <w:szCs w:val="24"/>
                <w:shd w:fill="FFFFFF" w:val="clear"/>
              </w:rPr>
              <w:t>ТСО</w:t>
            </w:r>
          </w:p>
        </w:tc>
        <w:tc>
          <w:tcPr>
            <w:tcW w:w="7277" w:type="dxa"/>
            <w:tcBorders/>
            <w:vAlign w:val="center"/>
          </w:tcPr>
          <w:p>
            <w:pPr>
              <w:pStyle w:val="Normal"/>
              <w:widowControl w:val="false"/>
              <w:bidi w:val="0"/>
              <w:spacing w:lineRule="auto" w:line="240" w:before="0" w:after="0"/>
              <w:jc w:val="both"/>
              <w:rPr>
                <w:rFonts w:ascii="Times New Roman" w:hAnsi="Times New Roman"/>
              </w:rPr>
            </w:pPr>
            <w:r>
              <w:rPr>
                <w:rFonts w:cs="Times New Roman" w:ascii="Times New Roman" w:hAnsi="Times New Roman"/>
                <w:sz w:val="24"/>
                <w:szCs w:val="24"/>
                <w:shd w:fill="FFFFFF" w:val="clear"/>
              </w:rPr>
              <w:t>Технические средства оповещения</w:t>
            </w:r>
          </w:p>
        </w:tc>
      </w:tr>
      <w:tr>
        <w:trPr>
          <w:trHeight w:val="253" w:hRule="atLeast"/>
        </w:trPr>
        <w:tc>
          <w:tcPr>
            <w:tcW w:w="791" w:type="dxa"/>
            <w:tcBorders/>
            <w:vAlign w:val="center"/>
          </w:tcPr>
          <w:p>
            <w:pPr>
              <w:pStyle w:val="Normal"/>
              <w:widowControl w:val="false"/>
              <w:bidi w:val="0"/>
              <w:spacing w:lineRule="auto" w:line="240" w:before="0" w:after="0"/>
              <w:jc w:val="center"/>
              <w:rPr>
                <w:rFonts w:ascii="Times New Roman" w:hAnsi="Times New Roman"/>
              </w:rPr>
            </w:pPr>
            <w:r>
              <w:rPr>
                <w:rFonts w:cs="Times New Roman" w:ascii="Times New Roman" w:hAnsi="Times New Roman"/>
                <w:sz w:val="24"/>
                <w:szCs w:val="24"/>
                <w:shd w:fill="FFFFFF" w:val="clear"/>
              </w:rPr>
              <w:t>12.</w:t>
            </w:r>
          </w:p>
        </w:tc>
        <w:tc>
          <w:tcPr>
            <w:tcW w:w="1864" w:type="dxa"/>
            <w:tcBorders/>
            <w:vAlign w:val="center"/>
          </w:tcPr>
          <w:p>
            <w:pPr>
              <w:pStyle w:val="Normal"/>
              <w:widowControl w:val="false"/>
              <w:bidi w:val="0"/>
              <w:spacing w:lineRule="auto" w:line="240" w:before="0" w:after="0"/>
              <w:jc w:val="start"/>
              <w:rPr>
                <w:rFonts w:ascii="Times New Roman" w:hAnsi="Times New Roman"/>
              </w:rPr>
            </w:pPr>
            <w:r>
              <w:rPr>
                <w:rFonts w:cs="Times New Roman" w:ascii="Times New Roman" w:hAnsi="Times New Roman"/>
                <w:sz w:val="24"/>
                <w:szCs w:val="24"/>
                <w:shd w:fill="FFFFFF" w:val="clear"/>
              </w:rPr>
              <w:t>ГТС ИЗ</w:t>
            </w:r>
          </w:p>
        </w:tc>
        <w:tc>
          <w:tcPr>
            <w:tcW w:w="7277" w:type="dxa"/>
            <w:tcBorders/>
            <w:vAlign w:val="center"/>
          </w:tcPr>
          <w:p>
            <w:pPr>
              <w:pStyle w:val="Normal"/>
              <w:widowControl w:val="false"/>
              <w:bidi w:val="0"/>
              <w:spacing w:lineRule="auto" w:line="240" w:before="0" w:after="0"/>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t>Гидротехнические сооружения инженерной защиты</w:t>
            </w:r>
          </w:p>
        </w:tc>
      </w:tr>
    </w:tbl>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2 Цели и назначение работ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2.1 Цель выполнения работ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Целью выполнения работ является оснащение ЛСОН ГТС ИЗ г. Абакана, рп. Усть-Абакана оборудованием и программным обеспечением в соответствии с утверждённой проектно-технической документацией (шифр 72870439.425790.352), а также проведение пусконаладочных работ для обеспечения готовности системы к опытной эксплуатации.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t>Проектно-техническая документация предоставляется после заключения Договора.</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t xml:space="preserve">Информация об объемах выполняемых работ размещена в сметных расчетах по следующей ссылке: </w:t>
      </w:r>
      <w:hyperlink r:id="rId2">
        <w:r>
          <w:rPr>
            <w:rStyle w:val="Hyperlink"/>
            <w:rFonts w:cs="Times New Roman" w:ascii="Times New Roman" w:hAnsi="Times New Roman"/>
            <w:sz w:val="24"/>
            <w:szCs w:val="24"/>
            <w:shd w:fill="FFFFFF" w:val="clear"/>
          </w:rPr>
          <w:t>https://drive.rt.ru/pbl/91f30446-0796-4394-9b18-203eedbd018f</w:t>
        </w:r>
      </w:hyperlink>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2.2 Назначение ЛСОН ГТС ИЗ г. Абакана, рп. Усть-Абакана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Основной задачей, создаваемой ЛСОН ГТС ИЗ г. Абакана, рп. Усть-Абакана, является своевременное и гарантированное доведение сигналов оповещения или экстренной информации при угрозе возникновения или возникновении ЧС до: </w:t>
      </w:r>
    </w:p>
    <w:p>
      <w:pPr>
        <w:pStyle w:val="Normal"/>
        <w:widowControl w:val="false"/>
        <w:numPr>
          <w:ilvl w:val="0"/>
          <w:numId w:val="9"/>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руководства ГБУ РХ «Управление инженерных защит»; </w:t>
      </w:r>
    </w:p>
    <w:p>
      <w:pPr>
        <w:pStyle w:val="Normal"/>
        <w:widowControl w:val="false"/>
        <w:numPr>
          <w:ilvl w:val="0"/>
          <w:numId w:val="9"/>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руководящего состава объектового звена РСЧС; </w:t>
      </w:r>
    </w:p>
    <w:p>
      <w:pPr>
        <w:pStyle w:val="Normal"/>
        <w:widowControl w:val="false"/>
        <w:numPr>
          <w:ilvl w:val="0"/>
          <w:numId w:val="9"/>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единой дежурно-диспетчерской службы городского округа г. Абакан; </w:t>
      </w:r>
      <w:r>
        <w:rPr>
          <w:rFonts w:ascii="Times New Roman" w:hAnsi="Times New Roman"/>
        </w:rPr>
        <w:t xml:space="preserve">единой дежурно-диспетчерской службы Усть-Абаканского муниципального района; </w:t>
      </w:r>
    </w:p>
    <w:p>
      <w:pPr>
        <w:pStyle w:val="Normal"/>
        <w:widowControl w:val="false"/>
        <w:numPr>
          <w:ilvl w:val="0"/>
          <w:numId w:val="9"/>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аварийно-спасательных формирований, в том числе специализированных; </w:t>
      </w:r>
    </w:p>
    <w:p>
      <w:pPr>
        <w:pStyle w:val="Normal"/>
        <w:widowControl w:val="false"/>
        <w:numPr>
          <w:ilvl w:val="0"/>
          <w:numId w:val="9"/>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руководителей и дежурно-диспетчерских служб организаций, расположенных в зоне действия ЛСОН ГТС ИЗ г. Абакана, рп. Усть-Абакана; </w:t>
      </w:r>
    </w:p>
    <w:p>
      <w:pPr>
        <w:pStyle w:val="Normal"/>
        <w:widowControl w:val="false"/>
        <w:numPr>
          <w:ilvl w:val="0"/>
          <w:numId w:val="9"/>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людей, находящихся в границах зоны действия ЛСОН ГТС ИЗ г. Абакана, рп. Усть-Абакана. </w:t>
      </w:r>
    </w:p>
    <w:p>
      <w:pPr>
        <w:pStyle w:val="Normal"/>
        <w:widowControl w:val="false"/>
        <w:bidi w:val="0"/>
        <w:spacing w:lineRule="auto" w:line="240" w:before="0" w:after="0"/>
        <w:ind w:start="720"/>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3 Характеристика объекта автоматизации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3.1 Сведения о локальной системе оповещения населения и зоне действия ЛСОН ГТС ИЗ г. Абакана, рп. Усть-Абакана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В настоящее время локальная система оповещения населения комплекса гидротехнических сооружений инженерной защиты г. Абакана, комплекса гидротехнических сооружений инженерной защиты г. Абакана (район Нижняя Согра), комплекса гидротехнических сооружений инженерной защиты рп. Усть-Абакана не создана.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Зона действия ЛСОН ГТС ИЗ г. Абакана, рп. Усть-Абакана определены в результате расчетов, произведенных МКУ «Архоград» «Предложения и сведения о границах зон затопления, подтопления территорий г. Абакана Республики Хакасия, прилегающих к водным объектам» (№ 102Е/25), выполненным в соответствии с постановлением Правительства РФ от 18.04.2014 № 360 (ред. от 24.05.2024 г.) «О зонах затопления, подтопления».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Результаты расчетов зон звукопокрытия оконечными средствами оповещения г. Абакана и рп. Усть-Абакана, выполненные на основании расчетов зон действия ЛСОН, приведены в разделе 5 «Зоны звукопокрытия оконечными средствами оповещения» утверждённой проектно-технической документации (шифр 72870439.425790.352).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В зону действия ЛСОН ГТС ИЗ г. Абакана, рп. Усть-Абакана попадают г. Абакан и р.п. Усть-Абакан.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Согласно Постановления Правительства Республики Хакасия от 16 декабря 2014 года № 680 «Об утверждении границ зон экстренного оповещения населения об угрозе возникновения чрезвычайных ситуаций на территории Республики Хакасия и признании утратившим силу постановления Президиума Правительства Республики Хакасия от 22.03.2013 № 20-п» с изменениями территория г. Абакан и р.п. Усть-Абакан не включены в зоны возможного катастрофического затопления комплекса гидротехнических сооружений инженерной защиты г. Абакана,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комплекса гидротехнических сооружений инженерной защиты г. Абакана (район Нижняя Согра), комплекса гидротехнических сооружений инженерной защиты рп. Усть-Абакана.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3.2 Сведения о существующих МСОН ГО г. Абакан и МСОН Усть-Абаканского муниципального района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МСОН ГО г. Абакан строится на КТСО П-166М (ранее оборудование выпускалось на ФГУП «КЗТА», предприятие в настоящий момент вошло в состав АО «Азимут»).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МСОН Усть-Абаканского муниципального района построена на базе КПТС АСО, производства АО «НПО Сенсор».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РСОН Республики Хакасия построена на базе КПТС АСО, производства АО «НПО Сенсор».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Адрес пункта управления муниципального образования (ЕДДС) городского округа город Абакан: г. Абакан, ул. Щетинкина, 10, помещение ЕДДС.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Адрес пункта управления муниципального образования (ЕДДС) Усть-Абаканского района: пгт. Усть-Абакан, ул. Гидролизная, 9, помещение ЕДДС.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Адрес основного пункта управления региональной системы оповещения населения Республики Хакасия: г. Абакан, ул. Кравченко, 11-3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Адрес запасного пункта управления региональной системы оповещения населения Республики Хакасия не раскрывается.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4 Требования к ЛСОН ГТС ИЗ г. Абакана, рп. Усть-Абакана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4.1 Требования к системе в целом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Создаваемая ЛСОН ГТС ИЗ г. Абакана, рп. Усть-Абакана должна обеспечивать следующие возможности: </w:t>
      </w:r>
    </w:p>
    <w:p>
      <w:pPr>
        <w:pStyle w:val="Normal"/>
        <w:widowControl w:val="false"/>
        <w:numPr>
          <w:ilvl w:val="0"/>
          <w:numId w:val="1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передачу сигналов и информации оповещения в индивидуальном, избирательном, групповом и циркулярном режимах; </w:t>
      </w:r>
    </w:p>
    <w:p>
      <w:pPr>
        <w:pStyle w:val="Normal"/>
        <w:widowControl w:val="false"/>
        <w:numPr>
          <w:ilvl w:val="0"/>
          <w:numId w:val="1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создание различных вариантов и сценариев оповещения; </w:t>
      </w:r>
    </w:p>
    <w:p>
      <w:pPr>
        <w:pStyle w:val="Normal"/>
        <w:widowControl w:val="false"/>
        <w:numPr>
          <w:ilvl w:val="0"/>
          <w:numId w:val="1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централизованное и децентрализованное, автоматизированное и ручное управление процессом оповещения; </w:t>
      </w:r>
    </w:p>
    <w:p>
      <w:pPr>
        <w:pStyle w:val="Normal"/>
        <w:widowControl w:val="false"/>
        <w:numPr>
          <w:ilvl w:val="0"/>
          <w:numId w:val="1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автоматизированное управление пунктами электросиренного оповещения; </w:t>
      </w:r>
    </w:p>
    <w:p>
      <w:pPr>
        <w:pStyle w:val="Normal"/>
        <w:widowControl w:val="false"/>
        <w:numPr>
          <w:ilvl w:val="0"/>
          <w:numId w:val="1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автоматическое отображение и документирование передаваемой информации оповещения, данных и подтверждений об их приеме; </w:t>
      </w:r>
    </w:p>
    <w:p>
      <w:pPr>
        <w:pStyle w:val="Normal"/>
        <w:widowControl w:val="false"/>
        <w:numPr>
          <w:ilvl w:val="0"/>
          <w:numId w:val="1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документирование действий диспетчера по управлению системой оповещения; </w:t>
      </w:r>
    </w:p>
    <w:p>
      <w:pPr>
        <w:pStyle w:val="Normal"/>
        <w:widowControl w:val="false"/>
        <w:numPr>
          <w:ilvl w:val="0"/>
          <w:numId w:val="1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передачу в автоматизированном режимах необходимой информации и сигналов оповещения; </w:t>
      </w:r>
    </w:p>
    <w:p>
      <w:pPr>
        <w:pStyle w:val="Normal"/>
        <w:widowControl w:val="false"/>
        <w:numPr>
          <w:ilvl w:val="0"/>
          <w:numId w:val="1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своевременную передачу информации до органов управления РСЧС соответствующего уровня в целях принятия необходимых мер по защите населения; </w:t>
      </w:r>
    </w:p>
    <w:p>
      <w:pPr>
        <w:pStyle w:val="Normal"/>
        <w:widowControl w:val="false"/>
        <w:numPr>
          <w:ilvl w:val="0"/>
          <w:numId w:val="1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мониторинг состояния оконечных устройств на базе программного протокола обратной связи; </w:t>
      </w:r>
    </w:p>
    <w:p>
      <w:pPr>
        <w:pStyle w:val="Normal"/>
        <w:widowControl w:val="false"/>
        <w:numPr>
          <w:ilvl w:val="0"/>
          <w:numId w:val="1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защиту информации от несанкционированного доступа и сохранность информации при авариях в ЛСОН ГТС ИЗ г. Абакана, рп. Усть-Абакана; </w:t>
      </w:r>
    </w:p>
    <w:p>
      <w:pPr>
        <w:pStyle w:val="Normal"/>
        <w:widowControl w:val="false"/>
        <w:numPr>
          <w:ilvl w:val="0"/>
          <w:numId w:val="1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круглосуточное функционирование и постоянную готовность к применению по предназначению во всех режимах функционирования РСЧС; </w:t>
      </w:r>
    </w:p>
    <w:p>
      <w:pPr>
        <w:pStyle w:val="Normal"/>
        <w:widowControl w:val="false"/>
        <w:numPr>
          <w:ilvl w:val="0"/>
          <w:numId w:val="1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своевременное, гарантированное и достоверное доведение информации оповещения до персонала потенциально опасного объекта и населения, находящегося в зоне действия создаваемой ЛСОН ГТС ИЗ г. Абакана, рп. Усть-Абакана.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В утверждённой проектно-технической документации (шифр 72870439.425790.352) предусмотрены следующие структурные элементы системы: </w:t>
      </w:r>
    </w:p>
    <w:p>
      <w:pPr>
        <w:pStyle w:val="Normal"/>
        <w:widowControl w:val="false"/>
        <w:numPr>
          <w:ilvl w:val="0"/>
          <w:numId w:val="11"/>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пункт управления ЛСОН ГТС ИЗ г. Абакана, рп. Усть-Абакана; </w:t>
      </w:r>
    </w:p>
    <w:p>
      <w:pPr>
        <w:pStyle w:val="Normal"/>
        <w:widowControl w:val="false"/>
        <w:numPr>
          <w:ilvl w:val="0"/>
          <w:numId w:val="11"/>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пункты электросиренного оповещения, обеспечивающие оповещение персонала ЛСОН ГТС ИЗ г. Абакана, рп. Усть-Абакана и населения, находящегося в границах зоны действия ЛСОН ГТС ИЗ г. Абакана, рп. Усть-Абакана. </w:t>
      </w:r>
    </w:p>
    <w:p>
      <w:pPr>
        <w:pStyle w:val="Normal"/>
        <w:widowControl w:val="false"/>
        <w:bidi w:val="0"/>
        <w:spacing w:lineRule="auto" w:line="240" w:before="0" w:after="0"/>
        <w:ind w:firstLine="708"/>
        <w:jc w:val="both"/>
        <w:rPr>
          <w:rFonts w:ascii="Times New Roman" w:hAnsi="Times New Roman"/>
        </w:rPr>
      </w:pPr>
      <w:r>
        <w:rPr>
          <w:rFonts w:cs="Times New Roman" w:ascii="Times New Roman" w:hAnsi="Times New Roman"/>
          <w:sz w:val="24"/>
          <w:szCs w:val="24"/>
          <w:shd w:fill="FFFFFF" w:val="clear"/>
        </w:rPr>
        <w:t xml:space="preserve">Количество пунктов оповещения и места размещения комплекса технических средств оповещения определены в ПТД.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Для повышения отказоустойчивости и надежности локальной системы оповещения населения Исполнитель должен использовать комплекс программно-технических средств оповещения, содержащий в своем составе программный комплекс оповещения, оборудование оповещения руководящего состава по телефонам и электросиренное оборудование.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Комплекс программно-технических средств оповещения ЛСОН ГТС ИЗ г. Абакана, рп. Усть-Абакана должен обеспечивать программное и техническое сопряжение с муниципальной и региональной системами оповещения населения.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Программно-техническое сопряжение ТСО различных производителей должно быть подтверждено актом совместных испытаний с участием представителей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и полномочных представителей предприятий - изготовителей ТСО.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Система должна обеспечивать круглосуточное функционирование и постоянную готовность к применению по предназначению во всех режимах функционирования РСЧС.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4.2 Требования к функциям (задачам), выполняемым ЛСОН ГТС ИЗ г. Абакана, рп. Усть-Абакана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ЛСОН ГТС ИЗ г. Абакана, рп. Усть-Абакана должна обеспечивать: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прием сигналов оповещения и экстренной информации от систем оповещения населения вышестоящего уровня;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включение (запуск) не менее чем с одного пункта управления ГО и РСЧС;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взаимное автоматическое (автоматизированное) уведомление пунктов управления ГО и РСЧС одного уровня о задействовании системы оповещения населения (при необходимости);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автономное (децентрализованное) управление ЛСОН ГТС ИЗ г. Абакана, рп. Усть-Абакана;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автоматический, автоматизированный и ручной режимы запуска ЛСОН ГТС ИЗ г. Абакана, рп. Усть-Абакана;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обмен информацией со взаимодействующими системами, в том числе мониторинга природных и техногенных чрезвычайных ситуаций в автоматическом, автоматизированном и ручном режимах (при необходимости);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подготовку и хранение аудио-, аудиовизуальных и буквенно-цифровых сообщений, программ оповещения, вариантов (сценариев) и режимов запуска систем оповещения населения и технических средств оповещения;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формирование, передачу сигналов оповещения и экстренной информации, аудио-, аудиовизуальных и буквенно-цифровых сообщений;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передачу и сбор автоматических и ручных подтверждений о приеме сигнала оповещения и экстренной информации;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двухсторонний обмен аудио-, аудиовизуальными и буквенно-цифровыми сообщениями;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установку вида сигнала (оповещения, управления, другой) и типа сигнала (основной, проверочный);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оперативный ввод сигнала оповещения и экстренной информации или редактирование ранее записанного сигнала оповещения и экстренной информации;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дистанционное управление оконечными средствами оповещения населения, должностных лиц, органов управления и сил ГО и РСЧС.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приостановку или отмену выполнения сеанса (сценария) оповещения по команде;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контроль и визуализация хода оповещения в реальном времени с отображением списка оповещаемых объектов, типа сигнала оповещения, состояния оповещения, результирующего времени оповещения для каждого объекта, а также каналов, по которым проведено оповещение;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приоритет передачи сигналов оповещения вышестоящего уровня по отношению к нижестоящему;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контроль и визуализацию состояния технических средств оповещения и каналов связи;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защиту от несанкционированного доступа; </w:t>
      </w:r>
    </w:p>
    <w:p>
      <w:pPr>
        <w:pStyle w:val="Normal"/>
        <w:widowControl w:val="false"/>
        <w:numPr>
          <w:ilvl w:val="0"/>
          <w:numId w:val="1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документирование выполнения техническими средствами оповещения действий (процессов, функций, алгоритмов) в ходе оповещения населения (проверки системы оповещения населения) на бумажном и электронном (USB-накопитель, жесткий диск, оптический диск) носителях.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Срок хранения информации документирования составляет не менее трёх лет. Формат сохраняемой информации документирования определяется применяемыми в системе оповещения населения техническими средствами оповещения. </w:t>
      </w:r>
    </w:p>
    <w:p>
      <w:pPr>
        <w:pStyle w:val="Normal"/>
        <w:widowControl w:val="false"/>
        <w:bidi w:val="0"/>
        <w:spacing w:lineRule="auto" w:line="240" w:before="0" w:after="0"/>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4.3 Требования к видам обеспечения</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4.3.1 Требования к техническому обеспечению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Основу создаваемой ЛСОН ГТС ИЗ г. Абакана, рп. Усть-Абакана должен составлять комплекс программно-технических средств оповещения, прошедший приемочные испытания МЧС России и рекомендованный для построения локальных систем оповещения населения.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Стандартизация и унификация технических средств оповещения должна обеспечиваться посредством использования серийно выпускаемых средств вычислительной техники повышенной надежности и коммуникационного оборудования.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Используемые технические средства должны: </w:t>
      </w:r>
    </w:p>
    <w:p>
      <w:pPr>
        <w:pStyle w:val="Normal"/>
        <w:widowControl w:val="false"/>
        <w:numPr>
          <w:ilvl w:val="0"/>
          <w:numId w:val="13"/>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быть унифицированными, серийно выпускаемыми промышленностью, иметь соответствующие сертификаты и соответствовать современному уровню развития техники и технологии с учетом перспектив их развития, входить в перечень рекомендованных МЧС, для использования в системах проектируемых уровней; </w:t>
      </w:r>
    </w:p>
    <w:p>
      <w:pPr>
        <w:pStyle w:val="Normal"/>
        <w:widowControl w:val="false"/>
        <w:numPr>
          <w:ilvl w:val="0"/>
          <w:numId w:val="13"/>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обеспечивать комплексный подход при выборе физического и канального уровней построения распределительно-управляющей транспортной сети ЛСОН</w:t>
      </w:r>
    </w:p>
    <w:p>
      <w:pPr>
        <w:pStyle w:val="Normal"/>
        <w:widowControl w:val="false"/>
        <w:numPr>
          <w:ilvl w:val="0"/>
          <w:numId w:val="13"/>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ГТС ИЗ г. Абакана, рп. Усть-Абакана, исходя из условий развития телекоммуникационной составляющей ЕСЭС; − </w:t>
      </w:r>
      <w:r>
        <w:rPr>
          <w:rFonts w:ascii="Times New Roman" w:hAnsi="Times New Roman"/>
        </w:rPr>
        <w:t xml:space="preserve">обеспечивать необходимый алгоритм (наличие электропитания, готовность к работе (исправность), наличие обмена (прохождение информации) контроля состояния оборудования на лицевой панели оборудования.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Технические средства создаваемого пункта управления оповещением (АРМ) должны обеспечивать: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прием сигналов и информации оповещения от ЕДДС;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формирование, передачу сигналов и информации оповещения в режимах: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циркулярном,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групповом,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избирательном;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передачу следующих видов сигналов и информации оповещения: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звуковое оповещение,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речевое сообщение,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текстовое сообщение (SMS),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автоматический повтор передачи недоставленных сигналов и информации оповещения до получения сигнала подтверждения получения оповещения;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передачу заранее подготовленной информации оповещения с магнитных (электронных) носителей или способом прямой передачи;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запись информации оповещения;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оперативный ввод новой информации оповещения или редактирование имеющейся;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подготовку (запись), хранение звуковых, речевых, текстовых сообщений, программ оповещения, вариантов и режимов передачи;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задание приоритета оповещения абонентов (управление очередностью оповещения абонентов в оповещаемом списке);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мониторинг состояния системы оповещения в дежурном режиме и при передаче сигналов и информации оповещения;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приостановку или отмену выполнения задания по команде;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наглядную визуализацию хода оповещения в реальном времени с отображением списка оповещаемых объектов, результирующего времени оповещения для каждого объекта, а также каналов, по которым доведено оповещение;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формирование баз данных с информацией о ходе и результатах оповещения с возможностью вывода на печать;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передачу сигналов и информации оповещения по цифровым каналам связи; </w:t>
      </w:r>
    </w:p>
    <w:p>
      <w:pPr>
        <w:pStyle w:val="Normal"/>
        <w:widowControl w:val="false"/>
        <w:numPr>
          <w:ilvl w:val="0"/>
          <w:numId w:val="1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защиту от несанкционированного доступа.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Технические средства создаваемых пунктов оповещения должны обеспечивать: </w:t>
      </w:r>
    </w:p>
    <w:p>
      <w:pPr>
        <w:pStyle w:val="Normal"/>
        <w:widowControl w:val="false"/>
        <w:numPr>
          <w:ilvl w:val="0"/>
          <w:numId w:val="15"/>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уровень звука должен быть не менее 75 дБ на расстоянии 3 м от специального оконечного устройства оповещения населения, но не более 120 дБ в любой точке озвучивания пространства; </w:t>
      </w:r>
    </w:p>
    <w:p>
      <w:pPr>
        <w:pStyle w:val="Normal"/>
        <w:widowControl w:val="false"/>
        <w:numPr>
          <w:ilvl w:val="0"/>
          <w:numId w:val="15"/>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уровень звука должен быть не менее чем на 15 дБ выше допустимого уровня звука постоянного шума.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Создаваемые технические средства оповещения, размещенные на открытом пространстве, должны устойчиво функционировать при следующих условиях эксплуатации: </w:t>
      </w:r>
    </w:p>
    <w:p>
      <w:pPr>
        <w:pStyle w:val="Normal"/>
        <w:widowControl w:val="false"/>
        <w:numPr>
          <w:ilvl w:val="0"/>
          <w:numId w:val="16"/>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температура окружающей среды от минус 50 °С до плюс 50 °С; </w:t>
      </w:r>
    </w:p>
    <w:p>
      <w:pPr>
        <w:pStyle w:val="Normal"/>
        <w:widowControl w:val="false"/>
        <w:numPr>
          <w:ilvl w:val="0"/>
          <w:numId w:val="16"/>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относительная влажность воздуха от 30% до 95%; </w:t>
      </w:r>
    </w:p>
    <w:p>
      <w:pPr>
        <w:pStyle w:val="Normal"/>
        <w:widowControl w:val="false"/>
        <w:numPr>
          <w:ilvl w:val="0"/>
          <w:numId w:val="16"/>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атмосферное давление от 74,8 до 106,7 кПа; </w:t>
      </w:r>
    </w:p>
    <w:p>
      <w:pPr>
        <w:pStyle w:val="Normal"/>
        <w:widowControl w:val="false"/>
        <w:numPr>
          <w:ilvl w:val="0"/>
          <w:numId w:val="16"/>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степень защиты оболочки должна быть не ниже IP65 по ГОСТ 14254.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4.3.2 Требования к информационному обеспечению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Основой информационного обеспечения, создаваемой ЛСОН ГТС ИЗ г. Абакана, рп. Усть-Абакана, должно быть специальное программное обеспечение, включающие информацию об элементах системы, порядке установления связи, оповещаемых абонентах, исполнительных устройствах своего и подчиненных уровней управления с использованием единых классификаторов объектов, свойств и признаков для описания всех информационных ресурсов.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Состав, структура и способы организации данных должны обеспечивать наличие всех необходимых учетных реквизитов объектов оповещения, разбиение информации по категориям и независимость представления данных об объектах оповещения от других функциональных подсистем.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Информационный обмен между элементами ЛСОН ГТС ИЗ г. Абакана, рп. Усть-Абакана должен осуществляться по сетям связи и передачи данных с гарантированной доставкой команд управления и сообщений (информации).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При информационном взаимодействии со смежными системами должна обеспечиваться полная автономность программных и аппаратных средств системы оповещения, независимость подсистемы приема/отправки команд управления и сообщений (информации) от изменения категории информации, способов хранения и режима работы (автоматическом или ручном).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Передача данных между элементами системы должна фиксироваться в журналах АРМ.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Информационный обмен со смежными системами должен осуществляться с помощью формализованных и/или стандартизированных сигналов.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Информационное обеспечение должно учитывать принципы эргономичности при отображении информации и обеспечивать адекватный и максимально эффективный графический интерфейс для обслуживающего персонала, позволяющий максимально производительно и безошибочно анализировать информацию и управлять системой.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Проектными решениями должны быть предусмотрены мероприятия по за-щите данных от разрушений при авариях и сбоях в электропитании системы.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4.3.3 Требования к организационному обеспечению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Организационное обеспечение должно состоять из обеспечения этапов создания, развертывания и эксплуатации ЛСОН ГТС ИЗ г. Абакана, рп. Усть-Абакана.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Организационное обеспечение системы оповещения должно включать процедуры планирования, координации работ, испытание подсистем и системы в целом, контроля и приемки результатов с последующим представлением всего комплекта документации, расчетов и картографических материалов для приемки.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4.4 Общие технические требования</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4.4.1 Требования к надежности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Надежность (коэффициент готовности одного направления оповещения) для объектового уровня Кг должен быть не менее 0,995.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Живучесть (вероятность живучести одного направления оповещения) для объектового уровня Рж должен быть не менее 0,95.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Техническая надежность и отказоустойчивость технических средств оповещения должна обеспечиваться: </w:t>
      </w:r>
    </w:p>
    <w:p>
      <w:pPr>
        <w:pStyle w:val="Normal"/>
        <w:widowControl w:val="false"/>
        <w:numPr>
          <w:ilvl w:val="0"/>
          <w:numId w:val="17"/>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высокой степенью отказоустойчивости внедряемого современного оборудования, достигаемой за счет надежности работы аппаратной части (базы) и программного обеспечения; </w:t>
      </w:r>
    </w:p>
    <w:p>
      <w:pPr>
        <w:pStyle w:val="Normal"/>
        <w:widowControl w:val="false"/>
        <w:numPr>
          <w:ilvl w:val="0"/>
          <w:numId w:val="17"/>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использованием автоматических средств контроля технического состояния и работоспособности технических средств оповещения и каналов связи в целом; </w:t>
      </w:r>
    </w:p>
    <w:p>
      <w:pPr>
        <w:pStyle w:val="Normal"/>
        <w:widowControl w:val="false"/>
        <w:numPr>
          <w:ilvl w:val="0"/>
          <w:numId w:val="17"/>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использованием в работе резервных каналов (маршрутов) связи (альтернативной маршрутизации), позволяющих компенсировать работу неисправных участков сети и при отказах или сбоях технических средств; </w:t>
      </w:r>
    </w:p>
    <w:p>
      <w:pPr>
        <w:pStyle w:val="Normal"/>
        <w:widowControl w:val="false"/>
        <w:numPr>
          <w:ilvl w:val="0"/>
          <w:numId w:val="17"/>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защитой от аварий оборудования систем электропитания (применение источников бесперебойного питания); </w:t>
      </w:r>
    </w:p>
    <w:p>
      <w:pPr>
        <w:pStyle w:val="Normal"/>
        <w:widowControl w:val="false"/>
        <w:numPr>
          <w:ilvl w:val="0"/>
          <w:numId w:val="17"/>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доведением информации оповещения с нескольких территориально разнесенных пунктов управления в одном направлении оповещения; </w:t>
      </w:r>
    </w:p>
    <w:p>
      <w:pPr>
        <w:pStyle w:val="Normal"/>
        <w:widowControl w:val="false"/>
        <w:numPr>
          <w:ilvl w:val="0"/>
          <w:numId w:val="17"/>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обеспечением защиты от несанкционированного запуска аппаратуры, а также ошибочных действий оперативного дежурного и обслуживающего персонала.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Гарантийный срок эксплуатации оборудования, применяемого в рамках создания ЛСОН, должен быть не менее 12 месяцев с момента приёмки строительно-монтажных и пусконаладочных работ. Должна быть обеспечена сервисная поддержка оборудования и специального программного обеспечения (на весь срок эксплуатации системы).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Срок службы создаваемой системы должен быть не менее 12 лет.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4.4.2 Требования к эргономике и технической эстетике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Компоновка элементов системы выполняется с учетом требований эргономики по ГОСТ 12.2.049. Конструктивное исполнение создаваемой ЛСОН ГТС ИЗ г. Абакана, рп. Усть-Абакана должно обеспечивать доступ обслуживающего персонала к внутренним элементам системы.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4.4.3 Требования по безопасности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Создаваемая ЛСОН ГТС ИЗ г. Абакана, рп. Усть-Абакана должна удовлетворять требованиям Приказа Министерства труда и социальной защиты Российской Федерации от 15 декабря 2020 г. № 903н Об утверждении Правил по охране труда при эксплуатации электроустановок», Федерального закона № 123 от 22.07.2008 г. «Технический регламент о требованиях пожарной безопасности», «Правил безопасности при организации электрических станций и сетей Российской Федерации» 2003г., а также соответствовать ГОСТам, ОСТам и ведомственным ТУ, обеспечивающим безопасность и охрану труда эксплуатационного и ремонтного персонала. </w:t>
      </w:r>
    </w:p>
    <w:p>
      <w:pPr>
        <w:pStyle w:val="Normal"/>
        <w:widowControl w:val="false"/>
        <w:bidi w:val="0"/>
        <w:spacing w:lineRule="auto" w:line="240" w:before="0" w:after="0"/>
        <w:ind w:firstLine="709"/>
        <w:jc w:val="both"/>
        <w:rPr>
          <w:rFonts w:ascii="Times New Roman" w:hAnsi="Times New Roman"/>
        </w:rPr>
      </w:pPr>
      <w:r>
        <w:rPr>
          <w:rFonts w:ascii="Times New Roman" w:hAnsi="Times New Roman"/>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4.4.4 Требования к электропитанию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Технические средства создаваемой ЛСОН ГТС ИЗ г. Абакана, рп. Усть-Абакана должны обеспечивать защиту обслуживающего персонала от поражения электрическим током при установке, эксплуатации, техническом обслуживании и устранении неисправностей.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Токоведущие составные части технических средств системы оповещения населения должны быть надежно изолированы и не допускать электрического замыкания на корпус, их корпуса должны быть заземлены в соответствии с указаниями, изложенными в эксплуатационной документации на технические средства оповещения.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Электропитание технических средств оповещения должно осуществляться от сети гарантированного электропитания, в том числе от источников автономного питания (для электромеханических сирен источники автономного питания не предусматриваются). Точки подключения к сети электропитания и контурам заземлений обеспечиваются собственниками объектов.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Согласно ГОСТ Р 42.3.01–2021 «Гражданская оборона. Технические средства оповещения населения. Классификация. Общие технические требования» (с учётом изм. №1), работоспособность технических средств оповещения при отключении централизованного энергоснабжения – не менее 6 ч в режиме ожидания и не менее 1 ч в рабочем режиме (за исключением устройств запуска электросирен и самих электросирен) должна обеспечиваться собственным источником резервного электропитания технических средств оповещения, предусмотренным проектным решением. При невозможности организации системы гарантированного электропитания объекта допускается использование собственного источника резервного электропитания ТСО или внешнего, предусмотренного проектным решением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Все технические средства должны иметь защитное заземление в соответствии с ГОСТ 12.1.030.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5 Состав и содержание работ по созданию ЛСОН ГТС ИЗ г. Абакана, рп. Усть-Абакана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Создание ЛСОН ГТС ИЗ г. Абакана, рп. Усть-Абакана осуществляется в соответствии с пунктами 7–11 постановления Правительства РФ от 17 мая 2023 г. № 769 «О порядке создания, реконструкции и поддержания в состоянии постоянной готовности к использованию систем оповещения населения» (далее – Правила создания систем оповещения).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rPr>
        <w:t xml:space="preserve">Проектно-техническая документация на создание ЛСОН ГТС ИЗ г. Абакана, рп. Усть-Абакана (шифр проекта: 72870439.425790.352) разработана, согласована и утверждена в установленном порядке. </w:t>
      </w:r>
    </w:p>
    <w:p>
      <w:pPr>
        <w:pStyle w:val="Normal"/>
        <w:widowControl w:val="false"/>
        <w:bidi w:val="0"/>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В рамках настоящего технического задания осуществляется выполнение первого этапа работ по созданию локальной системы оповещения населения комплекса гидротехнических сооружений инженерной защиты г. Абакана, комплекса гидротехнических сооружений инженерной защиты г. Абакана (район Нижняя Согра),  комплекса гидротехнических сооружений инженерной защиты рп. Усть-Абакан , которая включает в себя: </w:t>
      </w:r>
    </w:p>
    <w:p>
      <w:pPr>
        <w:pStyle w:val="Normal"/>
        <w:widowControl w:val="false"/>
        <w:numPr>
          <w:ilvl w:val="0"/>
          <w:numId w:val="18"/>
        </w:numPr>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установку и настройку оборудования;</w:t>
      </w:r>
    </w:p>
    <w:p>
      <w:pPr>
        <w:pStyle w:val="Normal"/>
        <w:widowControl w:val="false"/>
        <w:numPr>
          <w:ilvl w:val="0"/>
          <w:numId w:val="18"/>
        </w:numPr>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установку и настройку программного обеспечения; </w:t>
      </w:r>
    </w:p>
    <w:p>
      <w:pPr>
        <w:pStyle w:val="Normal"/>
        <w:widowControl w:val="false"/>
        <w:numPr>
          <w:ilvl w:val="0"/>
          <w:numId w:val="18"/>
        </w:numPr>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строительно монтажные работы;</w:t>
      </w:r>
    </w:p>
    <w:p>
      <w:pPr>
        <w:pStyle w:val="Normal"/>
        <w:widowControl w:val="false"/>
        <w:numPr>
          <w:ilvl w:val="0"/>
          <w:numId w:val="18"/>
        </w:numPr>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организацию пункта управления ЛСОН (включая пусконаладочные работы); </w:t>
      </w:r>
    </w:p>
    <w:p>
      <w:pPr>
        <w:pStyle w:val="Normal"/>
        <w:widowControl w:val="false"/>
        <w:numPr>
          <w:ilvl w:val="0"/>
          <w:numId w:val="19"/>
        </w:numPr>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интеграция существующих пунктов оповещения;</w:t>
      </w:r>
    </w:p>
    <w:p>
      <w:pPr>
        <w:pStyle w:val="Normal"/>
        <w:widowControl w:val="false"/>
        <w:numPr>
          <w:ilvl w:val="0"/>
          <w:numId w:val="19"/>
        </w:numPr>
        <w:bidi w:val="0"/>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пусконаладочные работы на существующих пунктах оповещения; </w:t>
      </w:r>
    </w:p>
    <w:p>
      <w:pPr>
        <w:pStyle w:val="Normal"/>
        <w:widowControl w:val="false"/>
        <w:numPr>
          <w:ilvl w:val="0"/>
          <w:numId w:val="19"/>
        </w:numPr>
        <w:bidi w:val="0"/>
        <w:spacing w:lineRule="auto" w:line="240" w:before="0" w:after="0"/>
        <w:jc w:val="both"/>
        <w:rPr>
          <w:rFonts w:ascii="Times New Roman" w:hAnsi="Times New Roman"/>
        </w:rPr>
      </w:pPr>
      <w:r>
        <w:rPr>
          <w:rFonts w:cs="Times New Roman" w:ascii="Times New Roman" w:hAnsi="Times New Roman"/>
          <w:sz w:val="24"/>
          <w:szCs w:val="24"/>
        </w:rPr>
        <w:t xml:space="preserve">обучение правилам эксплуатации технических средств оповещения дежурного и технического персонала, допускаемого к работе с системой; </w:t>
      </w:r>
    </w:p>
    <w:p>
      <w:pPr>
        <w:pStyle w:val="Normal"/>
        <w:widowControl w:val="false"/>
        <w:numPr>
          <w:ilvl w:val="0"/>
          <w:numId w:val="19"/>
        </w:numPr>
        <w:bidi w:val="0"/>
        <w:spacing w:lineRule="auto" w:line="240" w:before="0" w:after="0"/>
        <w:jc w:val="both"/>
        <w:rPr>
          <w:rFonts w:ascii="Times New Roman" w:hAnsi="Times New Roman"/>
        </w:rPr>
      </w:pPr>
      <w:r>
        <w:rPr>
          <w:rFonts w:cs="Times New Roman" w:ascii="Times New Roman" w:hAnsi="Times New Roman"/>
          <w:sz w:val="24"/>
          <w:szCs w:val="24"/>
        </w:rPr>
        <w:t>проведение испытаний и ввод в эксплуатацию ЛСОН ГТС ИЗ г. Абакана, рп. Усть-Абакана.</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6 Порядок контроля и приемки ЛСОН ГТС ИЗ г. Абакана, рп. Усть-Абакана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6.1 Виды, состав и методы испытаний ЛСОН ГТС ИЗ г. Абакана, рп. Усть-Абакана и ее составных частей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Для принятия ЛСОН ГТС ИЗ г. Абакана, рп. Усть-Абакана в постоянную эксплуатацию необходимо проводить предварительные испытания, опытную эксплуатацию и приемочные испытания, по результатам которых оформляются протоколы и акт приемки ЛСОН ГТС ИЗ г. Абакана, рп. Усть-Абакана в эксплуатацию.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Для проведения испытаний заказчиком создается распоряжение о приемочной комиссии, в котором определяется состав комиссии, сроки проведения, цель и задачи проведения испытаний, обязанности должностных лиц из состава комиссии.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Программа и методика испытаний (ПМИ) разрабатывается исполнителем на основании утверждённой проектно-технической документации (шифр проекта: 72870439.425790.352) в соответствии с ГОСТ Р 59792.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При проведении предварительных испытаний проверяют выполнение проектных схем, соответствие оборудования спецификациям и местам его размещения, наличие эксплуатационно-технической документации предприятий-изготовителей, инструкций по монтажу оборудования. </w:t>
      </w:r>
    </w:p>
    <w:p>
      <w:pPr>
        <w:pStyle w:val="Normal"/>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t xml:space="preserve">По результатам опытной эксплуатации принимают решение о возможности (или невозможности) предъявления ЛСОН ГТС ИЗ г. Абакана, рп. Усть-Абакана на приемочные испытания. Работа завершается оформлением акта о завершении опытной эксплуатации и допуске системы к приемочным испытаниям.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t xml:space="preserve">Приемочные испытания должны включать следующие проверки: </w:t>
      </w:r>
    </w:p>
    <w:p>
      <w:pPr>
        <w:pStyle w:val="Normal"/>
        <w:widowControl w:val="false"/>
        <w:numPr>
          <w:ilvl w:val="0"/>
          <w:numId w:val="2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работоспособности всех созданных оконечных средств оповещения, включенных в ЛСОН ГТС ИЗ г. Абакана, рп. Усть-Абакана; </w:t>
      </w:r>
    </w:p>
    <w:p>
      <w:pPr>
        <w:pStyle w:val="Normal"/>
        <w:widowControl w:val="false"/>
        <w:numPr>
          <w:ilvl w:val="0"/>
          <w:numId w:val="2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сопряжения ЛСОН ГТС ИЗ г. Абакана, рп. Усть-Абакана с МСОН городского округа город Абакан и МСОН Усть-Абаканского района; </w:t>
      </w:r>
    </w:p>
    <w:p>
      <w:pPr>
        <w:pStyle w:val="Normal"/>
        <w:widowControl w:val="false"/>
        <w:numPr>
          <w:ilvl w:val="0"/>
          <w:numId w:val="2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работы персонала в диалоговом режиме; </w:t>
      </w:r>
    </w:p>
    <w:p>
      <w:pPr>
        <w:pStyle w:val="Normal"/>
        <w:widowControl w:val="false"/>
        <w:numPr>
          <w:ilvl w:val="0"/>
          <w:numId w:val="2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сроков восстановления работоспособности ЛСОН ГТС ИЗ г. Абакана, рп. Усть-Абакана после возможных отказов; </w:t>
      </w:r>
    </w:p>
    <w:p>
      <w:pPr>
        <w:pStyle w:val="Normal"/>
        <w:widowControl w:val="false"/>
        <w:numPr>
          <w:ilvl w:val="0"/>
          <w:numId w:val="20"/>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комплектности и качества эксплуатационно-технической документации.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На основании протоколов испытаний составляется заключение о соответствии ЛСОН ГТС ИЗ г. Абакана, рп. Усть-Абакана требованиям технического задания, проектно-технической документации и возможности оформления акта приемки ЛСОН ГТС ИЗ г. Абакана, рп. Усть-Абакана в постоянную эксплуатацию.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Юридической основой принятия ЛСОН ГТС ИЗ г. Абакана, рп. Усть-Абакана в эксплуатацию является распорядительный документ руководителя предприятия о принятии ЛСОН ГТС ИЗ г. Абакана, рп. Усть-Абакана в эксплуатацию и организации ее эксплуатации в составе территориальной подсистемы РСЧС. Правовой акт принимается при условии положительных результатов испытаний системы оповещения населения.</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6.2 Общие требования к приемке работ, порядок согласования и утверждения приемочной документации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В ходе работы приемочная комиссия, в соответствии с техническим заданием проводит обследование (проверяет состав и функционирование) системы оповещения населения, выполняет проверку функциональных свойств технических средств оповещения и проверяет наличие следующих документов: </w:t>
      </w:r>
    </w:p>
    <w:p>
      <w:pPr>
        <w:pStyle w:val="Normal"/>
        <w:widowControl w:val="false"/>
        <w:numPr>
          <w:ilvl w:val="0"/>
          <w:numId w:val="21"/>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утвержденной проектно-технической документации на создание ЛСОН ГТС ИЗ г. Абакана, рп. Усть-Абакана; </w:t>
      </w:r>
    </w:p>
    <w:p>
      <w:pPr>
        <w:pStyle w:val="Normal"/>
        <w:widowControl w:val="false"/>
        <w:numPr>
          <w:ilvl w:val="0"/>
          <w:numId w:val="21"/>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перечня используемых ТСО с указанием их наименования (типа) и серийного номера; </w:t>
      </w:r>
    </w:p>
    <w:p>
      <w:pPr>
        <w:pStyle w:val="Normal"/>
        <w:widowControl w:val="false"/>
        <w:numPr>
          <w:ilvl w:val="0"/>
          <w:numId w:val="21"/>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утвержденных протоколов испытаний по результатам испытаний, проведенных исполнителем работ до предъявления его к приемке в эксплуатацию; </w:t>
      </w:r>
    </w:p>
    <w:p>
      <w:pPr>
        <w:pStyle w:val="Normal"/>
        <w:widowControl w:val="false"/>
        <w:numPr>
          <w:ilvl w:val="0"/>
          <w:numId w:val="21"/>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комплекта эксплуатационной документации, включая инструкции по эксплуатации ТСО; </w:t>
      </w:r>
    </w:p>
    <w:p>
      <w:pPr>
        <w:pStyle w:val="Normal"/>
        <w:widowControl w:val="false"/>
        <w:numPr>
          <w:ilvl w:val="0"/>
          <w:numId w:val="21"/>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перечня средств измерений, предусмотренных инструкциями по эксплуатации, и сведений об их поверке (при включении средств измерений в состав ТСО); </w:t>
      </w:r>
    </w:p>
    <w:p>
      <w:pPr>
        <w:pStyle w:val="Normal"/>
        <w:widowControl w:val="false"/>
        <w:numPr>
          <w:ilvl w:val="0"/>
          <w:numId w:val="21"/>
        </w:numPr>
        <w:bidi w:val="0"/>
        <w:spacing w:lineRule="auto" w:line="240" w:before="0" w:after="0"/>
        <w:jc w:val="both"/>
        <w:rPr>
          <w:sz w:val="24"/>
          <w:szCs w:val="24"/>
        </w:rPr>
      </w:pPr>
      <w:r>
        <w:rPr>
          <w:rFonts w:ascii="Times New Roman" w:hAnsi="Times New Roman"/>
          <w:sz w:val="24"/>
          <w:szCs w:val="24"/>
        </w:rPr>
        <w:t xml:space="preserve">договоров на присоединение к соответствующим сетям связи (если это требуется в соответствие с законодательством Российской Федерации).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В случае расхождения с проектно-технической документацией исполнителем работ принимаются меры по доработке системы в соответствии с документацией. При обнаружении комиссией (исполнителем работ) в проектно-технической документации неточностей, в результате которых создаваемая система оповещения населения не выполняет заданных требований - в проектно-техническую документацию вносятся необходимые дополнения (уточнения), а система дорабатывается.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По результатам работы приемочная комиссия оформляет акт с выводами и предложениями о возможности (невозможности) приема ЛСОН ГТС ИЗ г. Абакана, рп. Усть-Абакана в эксплуатацию (при невозможности приема в акте указываются обоснованные причины).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Акт утверждается председателем приемочной комиссии.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7 Требования к составу и содержанию работ по подготовке объекта автоматизации к вводу автоматизированной системы в действие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7.1 Приведение информации к виду, пригодному для обработки на ПЭВМ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До начала ввода ЛСОН ГТС ИЗ г. Абакана, рп. Усть-Абакана в действие Заказчиком совместно с Исполнителем должны быть сформированы следующее данные: </w:t>
      </w:r>
    </w:p>
    <w:p>
      <w:pPr>
        <w:pStyle w:val="Normal"/>
        <w:widowControl w:val="false"/>
        <w:numPr>
          <w:ilvl w:val="0"/>
          <w:numId w:val="2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утверждаемый список программ, томов, каталогов, файлов, записей, полей записей по именам; </w:t>
      </w:r>
    </w:p>
    <w:p>
      <w:pPr>
        <w:pStyle w:val="Normal"/>
        <w:widowControl w:val="false"/>
        <w:numPr>
          <w:ilvl w:val="0"/>
          <w:numId w:val="2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перечень пользователей, имеющих доступ к средствам управления системой; </w:t>
      </w:r>
    </w:p>
    <w:p>
      <w:pPr>
        <w:pStyle w:val="Normal"/>
        <w:widowControl w:val="false"/>
        <w:numPr>
          <w:ilvl w:val="0"/>
          <w:numId w:val="2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таблицу прав пользователей и список объектов доступа; </w:t>
      </w:r>
    </w:p>
    <w:p>
      <w:pPr>
        <w:pStyle w:val="Normal"/>
        <w:widowControl w:val="false"/>
        <w:numPr>
          <w:ilvl w:val="0"/>
          <w:numId w:val="2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журнал регистрации и учета защищаемых носителей; </w:t>
      </w:r>
    </w:p>
    <w:p>
      <w:pPr>
        <w:pStyle w:val="Normal"/>
        <w:widowControl w:val="false"/>
        <w:numPr>
          <w:ilvl w:val="0"/>
          <w:numId w:val="2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стандартные сценарии оповещения и аудиозаписи; </w:t>
      </w:r>
    </w:p>
    <w:p>
      <w:pPr>
        <w:pStyle w:val="Normal"/>
        <w:widowControl w:val="false"/>
        <w:numPr>
          <w:ilvl w:val="0"/>
          <w:numId w:val="22"/>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базу данных телефонных номеров оповещаемых абонентов.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7.2 Мероприятия по подготовке персонала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На этапе пусконаладочных работ должно проходить обучение диспетчерского и обслуживающего персонала, которое должно осуществляться техническими специалистами авторизованной организации.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Необходимо составить следующие программы обучения: </w:t>
      </w:r>
    </w:p>
    <w:p>
      <w:pPr>
        <w:pStyle w:val="Normal"/>
        <w:widowControl w:val="false"/>
        <w:numPr>
          <w:ilvl w:val="0"/>
          <w:numId w:val="23"/>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для пользователя системы; </w:t>
      </w:r>
    </w:p>
    <w:p>
      <w:pPr>
        <w:pStyle w:val="Normal"/>
        <w:widowControl w:val="false"/>
        <w:numPr>
          <w:ilvl w:val="0"/>
          <w:numId w:val="23"/>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для администратора системы; </w:t>
      </w:r>
    </w:p>
    <w:p>
      <w:pPr>
        <w:pStyle w:val="Normal"/>
        <w:widowControl w:val="false"/>
        <w:numPr>
          <w:ilvl w:val="0"/>
          <w:numId w:val="23"/>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для обслуживающего персонала.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Для них необходимо провести обучение по следующей тематике: </w:t>
      </w:r>
    </w:p>
    <w:p>
      <w:pPr>
        <w:pStyle w:val="Normal"/>
        <w:widowControl w:val="false"/>
        <w:numPr>
          <w:ilvl w:val="0"/>
          <w:numId w:val="2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структура и состав системы; </w:t>
      </w:r>
    </w:p>
    <w:p>
      <w:pPr>
        <w:pStyle w:val="Normal"/>
        <w:widowControl w:val="false"/>
        <w:numPr>
          <w:ilvl w:val="0"/>
          <w:numId w:val="2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ввод информации в базы данных; </w:t>
      </w:r>
    </w:p>
    <w:p>
      <w:pPr>
        <w:pStyle w:val="Normal"/>
        <w:widowControl w:val="false"/>
        <w:numPr>
          <w:ilvl w:val="0"/>
          <w:numId w:val="2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действия дежурной смены по использованию системы при угрозе или возникновении ЧС и иных ситуаций; </w:t>
      </w:r>
    </w:p>
    <w:p>
      <w:pPr>
        <w:pStyle w:val="Normal"/>
        <w:widowControl w:val="false"/>
        <w:numPr>
          <w:ilvl w:val="0"/>
          <w:numId w:val="24"/>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обеспечение информационной безопасности.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Все сотрудники должны проходить регулярный инструктаж по технике безопасности и пожарной безопасности.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b/>
          <w:bCs/>
          <w:sz w:val="24"/>
          <w:szCs w:val="24"/>
          <w:shd w:fill="FFFFFF" w:val="clear"/>
        </w:rPr>
        <w:t xml:space="preserve">8 Требования к документированию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Исполнитель работ должен предоставить следующие документы: </w:t>
      </w:r>
    </w:p>
    <w:p>
      <w:pPr>
        <w:pStyle w:val="Normal"/>
        <w:widowControl w:val="false"/>
        <w:numPr>
          <w:ilvl w:val="0"/>
          <w:numId w:val="25"/>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исполнительную документацию; </w:t>
      </w:r>
    </w:p>
    <w:p>
      <w:pPr>
        <w:pStyle w:val="Normal"/>
        <w:widowControl w:val="false"/>
        <w:numPr>
          <w:ilvl w:val="0"/>
          <w:numId w:val="25"/>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программу и методику испытаний; </w:t>
      </w:r>
    </w:p>
    <w:p>
      <w:pPr>
        <w:pStyle w:val="Normal"/>
        <w:widowControl w:val="false"/>
        <w:numPr>
          <w:ilvl w:val="0"/>
          <w:numId w:val="25"/>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акты и протоколы испытаний.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Все работы выполняются в соответствии с утверждённой проектно-технической документацией (шифр проекта: 72870439.425790.352), которая предоставлена Заказчиком и не подлежит переоформлению в рамках настоящего договора, за исключением случаев внесения изменений в порядке, установленном ниже.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По результатам строительно-монтажных и пуско-наладочных работ необходимо оформить исполнительную документацию, в которую включить: </w:t>
      </w:r>
    </w:p>
    <w:p>
      <w:pPr>
        <w:pStyle w:val="Normal"/>
        <w:widowControl w:val="false"/>
        <w:numPr>
          <w:ilvl w:val="0"/>
          <w:numId w:val="26"/>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исполнительные схемы и чертежи; </w:t>
      </w:r>
    </w:p>
    <w:p>
      <w:pPr>
        <w:pStyle w:val="Normal"/>
        <w:widowControl w:val="false"/>
        <w:numPr>
          <w:ilvl w:val="0"/>
          <w:numId w:val="26"/>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протоколы испытаний и измерений; </w:t>
      </w:r>
    </w:p>
    <w:p>
      <w:pPr>
        <w:pStyle w:val="Normal"/>
        <w:widowControl w:val="false"/>
        <w:numPr>
          <w:ilvl w:val="0"/>
          <w:numId w:val="26"/>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кабельные журналы; </w:t>
      </w:r>
    </w:p>
    <w:p>
      <w:pPr>
        <w:pStyle w:val="Normal"/>
        <w:widowControl w:val="false"/>
        <w:numPr>
          <w:ilvl w:val="0"/>
          <w:numId w:val="26"/>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сертификаты, подтверждающие качество и соответствие требованиям конструкторской и нормативно-технической документации материалов (форма завода - изготовителя), паспорта, руководства по монтажу и эксплуатации на применённые оборудование и материалы; </w:t>
      </w:r>
    </w:p>
    <w:p>
      <w:pPr>
        <w:pStyle w:val="Normal"/>
        <w:widowControl w:val="false"/>
        <w:numPr>
          <w:ilvl w:val="0"/>
          <w:numId w:val="26"/>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паспорта на ЛСОН ГТС ИЗ г. Абакана, рп. Усть-Абакана с указанием расчетного ресурса и срока службы; </w:t>
      </w:r>
    </w:p>
    <w:p>
      <w:pPr>
        <w:pStyle w:val="Normal"/>
        <w:widowControl w:val="false"/>
        <w:numPr>
          <w:ilvl w:val="0"/>
          <w:numId w:val="26"/>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описание программного обеспечения и алгоритмов работы ЛСОН ГТС ИЗ г. Абакана, рп. Усть-Абакана; </w:t>
      </w:r>
    </w:p>
    <w:p>
      <w:pPr>
        <w:pStyle w:val="Normal"/>
        <w:widowControl w:val="false"/>
        <w:numPr>
          <w:ilvl w:val="0"/>
          <w:numId w:val="26"/>
        </w:numPr>
        <w:bidi w:val="0"/>
        <w:spacing w:lineRule="auto" w:line="240" w:before="0" w:after="0"/>
        <w:jc w:val="both"/>
        <w:rPr>
          <w:rFonts w:ascii="Times New Roman" w:hAnsi="Times New Roman"/>
        </w:rPr>
      </w:pPr>
      <w:r>
        <w:rPr>
          <w:rFonts w:cs="Times New Roman" w:ascii="Times New Roman" w:hAnsi="Times New Roman"/>
          <w:sz w:val="24"/>
          <w:szCs w:val="24"/>
          <w:shd w:fill="FFFFFF" w:val="clear"/>
        </w:rPr>
        <w:t xml:space="preserve">инструкции по эксплуатации и администрированию, регламент технического обслуживания ЛСОН ГТС ИЗ г. Абакана, рп. Усть-Абакана.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Исполнительная документация должна быть предоставлена в электронном виде (формат PDF) в количестве 1-го экземпляра; на бумажном носителе - в количестве 2-х экземпляров. </w:t>
      </w:r>
    </w:p>
    <w:p>
      <w:pPr>
        <w:pStyle w:val="Normal"/>
        <w:widowControl w:val="false"/>
        <w:bidi w:val="0"/>
        <w:spacing w:lineRule="auto" w:line="240" w:before="0" w:after="0"/>
        <w:ind w:firstLine="709"/>
        <w:jc w:val="both"/>
        <w:rPr>
          <w:rFonts w:ascii="Times New Roman" w:hAnsi="Times New Roman"/>
        </w:rPr>
      </w:pPr>
      <w:r>
        <w:rPr>
          <w:rFonts w:cs="Times New Roman" w:ascii="Times New Roman" w:hAnsi="Times New Roman"/>
          <w:sz w:val="24"/>
          <w:szCs w:val="24"/>
          <w:shd w:fill="FFFFFF" w:val="clear"/>
        </w:rPr>
        <w:t xml:space="preserve">Программа и методика испытаний должна быть предоставлена в электронном виде (формат PDF) в количестве 1-го экземпляра; на бумажном носителе - в количестве 1-го экземпляра. </w:t>
      </w:r>
    </w:p>
    <w:p>
      <w:pPr>
        <w:pStyle w:val="Normal"/>
        <w:widowControl w:val="false"/>
        <w:bidi w:val="0"/>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bidi w:val="0"/>
        <w:jc w:val="both"/>
        <w:rPr>
          <w:b/>
          <w:bCs/>
        </w:rPr>
      </w:pPr>
      <w:r>
        <w:rPr>
          <w:rFonts w:ascii="Times New Roman" w:hAnsi="Times New Roman"/>
          <w:b/>
          <w:bCs/>
        </w:rPr>
        <w:t>9. Требования к строительно-монтажным и пусконаладочным работам</w:t>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rPr>
        <w:t xml:space="preserve">Произвести поставку оборудования и материалов согласно спецификации по объектам строительства указанных в ПСД и в соответствии с ведомостями объемов работ на приобретение и монтаж оборудования указанных ПСД. </w:t>
      </w:r>
    </w:p>
    <w:p>
      <w:pPr>
        <w:pStyle w:val="Normal"/>
        <w:bidi w:val="0"/>
        <w:ind w:firstLine="624"/>
        <w:jc w:val="both"/>
        <w:rPr>
          <w:rFonts w:ascii="Times New Roman" w:hAnsi="Times New Roman"/>
        </w:rPr>
      </w:pPr>
      <w:r>
        <w:rPr>
          <w:rFonts w:ascii="Times New Roman" w:hAnsi="Times New Roman"/>
        </w:rPr>
        <w:t>Все материалы и оборудование, используемые при выполнении работ, должны соответствовать нормативным требованиям, предъявляемым к данному виду материалов и оборудования законодательством Российской Федерации, иметь все необходимые сертификаты качества, сертификаты соответствия, удостоверяющие их качество.</w:t>
      </w:r>
    </w:p>
    <w:p>
      <w:pPr>
        <w:pStyle w:val="Normal"/>
        <w:bidi w:val="0"/>
        <w:ind w:firstLine="624"/>
        <w:jc w:val="both"/>
        <w:rPr>
          <w:rFonts w:ascii="Times New Roman" w:hAnsi="Times New Roman"/>
        </w:rPr>
      </w:pPr>
      <w:r>
        <w:rPr>
          <w:rFonts w:ascii="Times New Roman" w:hAnsi="Times New Roman"/>
        </w:rPr>
        <w:t>Подключение оборудования выполняется в соответствии с документацией предприятий-изготовителей.</w:t>
      </w:r>
    </w:p>
    <w:p>
      <w:pPr>
        <w:pStyle w:val="Normal"/>
        <w:bidi w:val="0"/>
        <w:ind w:firstLine="624"/>
        <w:jc w:val="both"/>
        <w:rPr>
          <w:rFonts w:ascii="Times New Roman" w:hAnsi="Times New Roman"/>
        </w:rPr>
      </w:pPr>
      <w:r>
        <w:rPr>
          <w:rFonts w:ascii="Times New Roman" w:hAnsi="Times New Roman"/>
        </w:rPr>
        <w:t>Монтаж оборудования выполняется в соответствии с рекомендациями фирм-поставщиков оборудования.</w:t>
      </w:r>
    </w:p>
    <w:p>
      <w:pPr>
        <w:pStyle w:val="Normal"/>
        <w:bidi w:val="0"/>
        <w:ind w:firstLine="624"/>
        <w:jc w:val="both"/>
        <w:rPr>
          <w:rFonts w:ascii="Times New Roman" w:hAnsi="Times New Roman"/>
        </w:rPr>
      </w:pPr>
      <w:r>
        <w:rPr>
          <w:rFonts w:ascii="Times New Roman" w:hAnsi="Times New Roman"/>
        </w:rPr>
        <w:t>Выполнить монтажные работы в соответствии с требованиями законодательства Российской Федерации о градостроительной деятельности и разработанной проектной документацией.</w:t>
      </w:r>
    </w:p>
    <w:p>
      <w:pPr>
        <w:pStyle w:val="Normal"/>
        <w:bidi w:val="0"/>
        <w:ind w:firstLine="624"/>
        <w:jc w:val="both"/>
        <w:rPr>
          <w:rFonts w:ascii="Times New Roman" w:hAnsi="Times New Roman"/>
        </w:rPr>
      </w:pPr>
      <w:r>
        <w:rPr>
          <w:rFonts w:ascii="Times New Roman" w:hAnsi="Times New Roman"/>
        </w:rPr>
        <w:t>Предусмотреть мероприятия, отвечающие действующим нормам и правилам, обеспечивающие конструктивную надежность, взрывопожарную безопасность объекта, защиту населения и устойчивость объекта в чрезвычайных ситуациях, защиту окружающей природной среды при его эксплуатации.</w:t>
      </w:r>
    </w:p>
    <w:p>
      <w:pPr>
        <w:pStyle w:val="Normal"/>
        <w:bidi w:val="0"/>
        <w:ind w:firstLine="624"/>
        <w:jc w:val="both"/>
        <w:rPr>
          <w:rFonts w:ascii="Times New Roman" w:hAnsi="Times New Roman"/>
        </w:rPr>
      </w:pPr>
      <w:r>
        <w:rPr>
          <w:rFonts w:ascii="Times New Roman" w:hAnsi="Times New Roman"/>
        </w:rPr>
        <w:t>Подрядчик обеспечивает выполнение работ качественно в полном объеме, в сроки и в соответствии с действующей нормативно-технической документацией. Выполняет работы качественной и комплектной спецтехникой, оборудованием и инструментом в необходимом количестве, имеющем все необходимые разрешительные документы, включая документацию производителя (завода-изготовителя).</w:t>
      </w:r>
    </w:p>
    <w:p>
      <w:pPr>
        <w:pStyle w:val="Normal"/>
        <w:bidi w:val="0"/>
        <w:ind w:firstLine="624"/>
        <w:jc w:val="both"/>
        <w:rPr>
          <w:rFonts w:ascii="Times New Roman" w:hAnsi="Times New Roman"/>
        </w:rPr>
      </w:pPr>
      <w:r>
        <w:rPr>
          <w:rFonts w:ascii="Times New Roman" w:hAnsi="Times New Roman"/>
        </w:rPr>
        <w:t>Подрядчик выполняет и соблюдает все применимые требования законодательства, утвержденные практические руководства, существующие нормы и правила в области охраны труда, пожарной безопасности и охраны окружающей среды. Подрядчик принимает все обоснованные меры предосторожности, направленные на охрану окружающей среды в процессе выполнения работ.</w:t>
      </w:r>
    </w:p>
    <w:p>
      <w:pPr>
        <w:pStyle w:val="Normal"/>
        <w:bidi w:val="0"/>
        <w:ind w:firstLine="624"/>
        <w:jc w:val="both"/>
        <w:rPr>
          <w:rFonts w:ascii="Times New Roman" w:hAnsi="Times New Roman"/>
        </w:rPr>
      </w:pPr>
      <w:r>
        <w:rPr>
          <w:rFonts w:ascii="Times New Roman" w:hAnsi="Times New Roman"/>
        </w:rPr>
        <w:t>Подрядчик самостоятельно решает вопросы организации площадок для хранения материалов, техники, складских помещений, ремонтных мастерских, офисов и обеспечения их всеми видами ресурсов (вода, отопление, электроэнергия, канализация).</w:t>
      </w:r>
    </w:p>
    <w:p>
      <w:pPr>
        <w:pStyle w:val="Normal"/>
        <w:bidi w:val="0"/>
        <w:ind w:firstLine="624"/>
        <w:jc w:val="both"/>
        <w:rPr>
          <w:rFonts w:ascii="Times New Roman" w:hAnsi="Times New Roman"/>
        </w:rPr>
      </w:pPr>
      <w:r>
        <w:rPr>
          <w:rFonts w:cs="Times New Roman" w:ascii="Times New Roman" w:hAnsi="Times New Roman"/>
          <w:b/>
          <w:bCs/>
          <w:sz w:val="24"/>
          <w:szCs w:val="24"/>
          <w:shd w:fill="FFFFFF" w:val="clear"/>
        </w:rPr>
        <w:t>Произвести пусконаладочные работы в соответствии с требованиями ПСД, сводов правил, технических регламентов, технической документации на оборудования.</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 New Roman">
    <w:charset w:val="01" w:characterSet="utf-8"/>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
    <w:lvl w:ilvl="0">
      <w:start w:val="1"/>
      <w:numFmt w:val="decimal"/>
      <w:lvlText w:val=""/>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3">
    <w:lvl w:ilvl="0">
      <w:start w:val="1"/>
      <w:numFmt w:val="decimal"/>
      <w:lvlText w:val=""/>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4">
    <w:lvl w:ilvl="0">
      <w:start w:val="1"/>
      <w:numFmt w:val="decimal"/>
      <w:lvlText w:val=""/>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5">
    <w:lvl w:ilvl="0">
      <w:start w:val="1"/>
      <w:numFmt w:val="decimal"/>
      <w:lvlText w:val=""/>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6">
    <w:lvl w:ilvl="0">
      <w:start w:val="1"/>
      <w:numFmt w:val="decimal"/>
      <w:lvlText w:val=""/>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7">
    <w:lvl w:ilvl="0">
      <w:start w:val="1"/>
      <w:numFmt w:val="decimal"/>
      <w:lvlText w:val=""/>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8">
    <w:lvl w:ilvl="0">
      <w:start w:val="1"/>
      <w:numFmt w:val="decimal"/>
      <w:lvlText w:val=""/>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9">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0">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3">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4">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5">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6">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7">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8">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9">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0">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3">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4">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5">
    <w:lvl w:ilvl="0">
      <w:start w:val="1"/>
      <w:numFmt w:val="decimal"/>
      <w:lvlText w:val=""/>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6">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4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Noto Sans"/>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Tahoma" w:cs="Noto Sans"/>
      <w:color w:val="auto"/>
      <w:kern w:val="2"/>
      <w:sz w:val="24"/>
      <w:szCs w:val="24"/>
      <w:lang w:val="ru-RU" w:eastAsia="zh-CN" w:bidi="hi-IN"/>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5">
    <w:name w:val="Указатель"/>
    <w:basedOn w:val="Normal"/>
    <w:qFormat/>
    <w:pPr>
      <w:suppressLineNumbers/>
    </w:pPr>
    <w:rPr>
      <w:rFonts w:cs="Noto Sans"/>
    </w:rPr>
  </w:style>
  <w:style w:type="paragraph" w:styleId="user">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1">
    <w:name w:val="Указатель (user)"/>
    <w:basedOn w:val="Normal"/>
    <w:qFormat/>
    <w:pPr>
      <w:suppressLineNumbers/>
    </w:pPr>
    <w:rPr>
      <w:rFonts w:cs="Noto Sans"/>
    </w:rPr>
  </w:style>
  <w:style w:type="paragraph" w:styleId="ConsPlusNormal">
    <w:name w:val="ConsPlusNormal"/>
    <w:qFormat/>
    <w:pPr>
      <w:widowControl w:val="false"/>
      <w:suppressAutoHyphens w:val="true"/>
      <w:bidi w:val="0"/>
      <w:spacing w:before="0" w:after="0"/>
      <w:jc w:val="start"/>
    </w:pPr>
    <w:rPr>
      <w:rFonts w:ascii="Liberation Serif" w:hAnsi="Liberation Serif" w:eastAsia="Times New Roman" w:cs="Calibri"/>
      <w:color w:val="auto"/>
      <w:kern w:val="2"/>
      <w:sz w:val="24"/>
      <w:szCs w:val="20"/>
      <w:lang w:val="ru-RU" w:eastAsia="ru-RU" w:bidi="hi-IN"/>
    </w:rPr>
  </w:style>
  <w:style w:type="paragraph" w:styleId="Style16">
    <w:name w:val="Содержимое таблицы"/>
    <w:basedOn w:val="Normal"/>
    <w:qFormat/>
    <w:pPr>
      <w:widowControl w:val="false"/>
      <w:suppressLineNumbers/>
    </w:pPr>
    <w:rPr/>
  </w:style>
  <w:style w:type="paragraph" w:styleId="Style17">
    <w:name w:val="Заголовок таблицы"/>
    <w:basedOn w:val="Style16"/>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rive.rt.ru/pbl/91f30446-0796-4394-9b18-203eedbd018f"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16</TotalTime>
  <Application>LibreOffice/25.8.7.3$Linux_X86_64 LibreOffice_project/30742500f2d3eb4366ac312fa33d3dcabdb3eba5</Application>
  <AppVersion>15.0000</AppVersion>
  <Pages>14</Pages>
  <Words>4854</Words>
  <Characters>34926</Characters>
  <CharactersWithSpaces>39501</CharactersWithSpaces>
  <Paragraphs>421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2026-10-19T14:51:37Z</dcterms:created>
  <dc:creator/>
  <dc:description/>
  <dc:language>ru-RU</dc:language>
  <cp:lastModifiedBy/>
  <dcterms:modified xsi:type="dcterms:W3CDTF">2026-10-29T16:51:14Z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