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header3.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header4.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header7.xml" ContentType="application/vnd.openxmlformats-officedocument.wordprocessingml.header+xml"/>
  <Override PartName="/word/header6.xml" ContentType="application/vnd.openxmlformats-officedocument.wordprocessingml.header+xml"/>
  <Override PartName="/word/header5.xml" ContentType="application/vnd.openxmlformats-officedocument.wordprocessingml.head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right"/>
        <w:rPr>
          <w:bCs/>
          <w:sz w:val="24"/>
          <w:szCs w:val="24"/>
        </w:rPr>
      </w:pPr>
      <w:r>
        <w:rPr>
          <w:bCs/>
          <w:sz w:val="24"/>
          <w:szCs w:val="24"/>
        </w:rPr>
      </w:r>
    </w:p>
    <w:p>
      <w:pPr>
        <w:pStyle w:val="Normal"/>
        <w:jc w:val="right"/>
        <w:rPr>
          <w:bCs/>
          <w:sz w:val="24"/>
          <w:szCs w:val="24"/>
        </w:rPr>
      </w:pPr>
      <w:r>
        <w:rPr>
          <w:bCs/>
          <w:sz w:val="24"/>
          <w:szCs w:val="24"/>
        </w:rPr>
      </w:r>
      <w:bookmarkStart w:id="0" w:name="_GoBack"/>
      <w:bookmarkStart w:id="1" w:name="_GoBack"/>
      <w:bookmarkEnd w:id="1"/>
    </w:p>
    <w:p>
      <w:pPr>
        <w:pStyle w:val="Normal"/>
        <w:keepNext w:val="true"/>
        <w:keepLines/>
        <w:jc w:val="right"/>
        <w:rPr/>
      </w:pPr>
      <w:r>
        <w:rPr/>
      </w:r>
    </w:p>
    <w:p>
      <w:pPr>
        <w:pStyle w:val="Normal"/>
        <w:keepNext w:val="true"/>
        <w:keepLines/>
        <w:jc w:val="center"/>
        <w:rPr>
          <w:rFonts w:eastAsia="Calibri"/>
          <w:b/>
          <w:sz w:val="32"/>
          <w:szCs w:val="32"/>
        </w:rPr>
      </w:pPr>
      <w:r>
        <w:rPr>
          <w:rFonts w:eastAsia="Calibri"/>
          <w:b/>
          <w:sz w:val="32"/>
          <w:szCs w:val="32"/>
        </w:rPr>
      </w:r>
    </w:p>
    <w:p>
      <w:pPr>
        <w:pStyle w:val="Normal"/>
        <w:jc w:val="center"/>
        <w:rPr>
          <w:rFonts w:eastAsia="Calibri"/>
          <w:b/>
          <w:sz w:val="32"/>
          <w:szCs w:val="32"/>
        </w:rPr>
      </w:pPr>
      <w:r>
        <w:rPr>
          <w:rFonts w:eastAsia="Calibri"/>
          <w:b/>
          <w:sz w:val="32"/>
          <w:szCs w:val="32"/>
        </w:rPr>
      </w:r>
    </w:p>
    <w:p>
      <w:pPr>
        <w:pStyle w:val="Normal"/>
        <w:keepNext w:val="true"/>
        <w:keepLines/>
        <w:jc w:val="center"/>
        <w:rPr/>
      </w:pPr>
      <w:r>
        <w:rPr>
          <w:rFonts w:eastAsia="Calibri"/>
          <w:b/>
          <w:sz w:val="26"/>
          <w:szCs w:val="26"/>
        </w:rPr>
        <w:t>Технические требования для комплексного договора</w:t>
      </w:r>
    </w:p>
    <w:p>
      <w:pPr>
        <w:pStyle w:val="Normal"/>
        <w:keepNext w:val="true"/>
        <w:keepLines/>
        <w:jc w:val="center"/>
        <w:rPr>
          <w:rFonts w:eastAsia="Calibri"/>
          <w:b/>
          <w:sz w:val="26"/>
          <w:szCs w:val="26"/>
        </w:rPr>
      </w:pPr>
      <w:r>
        <w:rPr>
          <w:rFonts w:eastAsia="Calibri"/>
          <w:b/>
          <w:sz w:val="26"/>
          <w:szCs w:val="26"/>
        </w:rPr>
      </w:r>
    </w:p>
    <w:p>
      <w:pPr>
        <w:pStyle w:val="Normal"/>
        <w:bidi w:val="0"/>
        <w:jc w:val="center"/>
        <w:rPr/>
      </w:pPr>
      <w:r>
        <w:rPr>
          <w:rStyle w:val="Style8"/>
          <w:i w:val="false"/>
          <w:iCs w:val="false"/>
          <w:sz w:val="26"/>
          <w:szCs w:val="26"/>
          <w:shd w:fill="auto" w:val="clear"/>
        </w:rPr>
        <w:t>«Поставка и шеф-монтаж реакторов заземляющих и разъединителей нулевых выводов гидрогенераторов Саяно-Шушенской ГЭС»</w:t>
      </w:r>
    </w:p>
    <w:p>
      <w:pPr>
        <w:pStyle w:val="Normal"/>
        <w:bidi w:val="0"/>
        <w:jc w:val="center"/>
        <w:rPr>
          <w:rStyle w:val="Style8"/>
          <w:sz w:val="26"/>
          <w:szCs w:val="26"/>
          <w:highlight w:val="none"/>
          <w:shd w:fill="auto" w:val="clear"/>
        </w:rPr>
      </w:pPr>
      <w:r>
        <w:rPr>
          <w:sz w:val="26"/>
          <w:szCs w:val="26"/>
          <w:shd w:fill="auto" w:val="clear"/>
        </w:rPr>
      </w:r>
    </w:p>
    <w:p>
      <w:pPr>
        <w:pStyle w:val="Normal"/>
        <w:jc w:val="center"/>
        <w:rPr>
          <w:rStyle w:val="Style8"/>
          <w:sz w:val="26"/>
          <w:szCs w:val="26"/>
          <w:highlight w:val="none"/>
          <w:shd w:fill="auto" w:val="clear"/>
        </w:rPr>
      </w:pPr>
      <w:r>
        <w:rPr>
          <w:rStyle w:val="Style8"/>
          <w:sz w:val="26"/>
          <w:szCs w:val="26"/>
          <w:shd w:fill="auto" w:val="clear"/>
        </w:rPr>
        <w:t>ОКПД2 27.12.10</w:t>
      </w:r>
    </w:p>
    <w:p>
      <w:pPr>
        <w:pStyle w:val="Normal"/>
        <w:jc w:val="center"/>
        <w:rPr>
          <w:rStyle w:val="Style8"/>
          <w:sz w:val="26"/>
          <w:szCs w:val="26"/>
          <w:highlight w:val="none"/>
          <w:shd w:fill="auto" w:val="clear"/>
        </w:rPr>
      </w:pPr>
      <w:r>
        <w:rPr>
          <w:sz w:val="26"/>
          <w:szCs w:val="26"/>
          <w:shd w:fill="auto" w:val="clear"/>
        </w:rPr>
      </w:r>
    </w:p>
    <w:p>
      <w:pPr>
        <w:pStyle w:val="Normal"/>
        <w:widowControl w:val="false"/>
        <w:tabs>
          <w:tab w:val="clear" w:pos="708"/>
          <w:tab w:val="left" w:pos="426" w:leader="none"/>
        </w:tabs>
        <w:spacing w:before="120" w:after="120"/>
        <w:jc w:val="center"/>
        <w:rPr>
          <w:rStyle w:val="Style8"/>
          <w:sz w:val="26"/>
          <w:szCs w:val="26"/>
          <w:highlight w:val="none"/>
          <w:shd w:fill="auto" w:val="clear"/>
        </w:rPr>
      </w:pPr>
      <w:r>
        <w:rPr>
          <w:sz w:val="26"/>
          <w:szCs w:val="26"/>
          <w:shd w:fill="auto" w:val="clear"/>
        </w:rPr>
      </w:r>
    </w:p>
    <w:p>
      <w:pPr>
        <w:pStyle w:val="Normal"/>
        <w:keepNext w:val="true"/>
        <w:keepLines/>
        <w:jc w:val="center"/>
        <w:rPr>
          <w:rStyle w:val="Style8"/>
          <w:i w:val="false"/>
          <w:i w:val="false"/>
          <w:iCs w:val="false"/>
          <w:sz w:val="26"/>
          <w:szCs w:val="26"/>
          <w:shd w:fill="auto" w:val="clear"/>
        </w:rPr>
      </w:pPr>
      <w:r>
        <w:rPr/>
      </w:r>
    </w:p>
    <w:p>
      <w:pPr>
        <w:pStyle w:val="Normal"/>
        <w:keepNext w:val="true"/>
        <w:keepLines/>
        <w:jc w:val="center"/>
        <w:rPr>
          <w:rStyle w:val="Style8"/>
          <w:i w:val="false"/>
          <w:i w:val="false"/>
          <w:iCs w:val="false"/>
          <w:sz w:val="26"/>
          <w:szCs w:val="26"/>
          <w:highlight w:val="none"/>
          <w:shd w:fill="auto" w:val="clear"/>
        </w:rPr>
      </w:pPr>
      <w:r>
        <w:rPr>
          <w:i w:val="false"/>
          <w:iCs w:val="false"/>
          <w:sz w:val="26"/>
          <w:szCs w:val="26"/>
          <w:shd w:fill="auto" w:val="clear"/>
        </w:rPr>
      </w:r>
    </w:p>
    <w:p>
      <w:pPr>
        <w:pStyle w:val="Normal"/>
        <w:rPr>
          <w:rFonts w:eastAsia="Calibri"/>
          <w:sz w:val="26"/>
          <w:szCs w:val="26"/>
        </w:rPr>
      </w:pPr>
      <w:r>
        <w:rPr>
          <w:rFonts w:eastAsia="Calibri"/>
          <w:sz w:val="26"/>
          <w:szCs w:val="26"/>
        </w:rPr>
      </w:r>
      <w:r>
        <w:br w:type="page"/>
      </w:r>
    </w:p>
    <w:p>
      <w:pPr>
        <w:pStyle w:val="Normal"/>
        <w:keepNext w:val="true"/>
        <w:keepLines/>
        <w:jc w:val="center"/>
        <w:rPr/>
      </w:pPr>
      <w:r>
        <w:rPr>
          <w:rFonts w:eastAsia="Calibri"/>
          <w:b/>
          <w:sz w:val="24"/>
          <w:szCs w:val="24"/>
        </w:rPr>
        <w:t xml:space="preserve">СОДЕРЖАНИЕ </w:t>
      </w:r>
    </w:p>
    <w:sdt>
      <w:sdtPr>
        <w:docPartObj>
          <w:docPartGallery w:val="Table of Contents"/>
          <w:docPartUnique w:val="true"/>
        </w:docPartObj>
      </w:sdtPr>
      <w:sdtContent>
        <w:p>
          <w:pPr>
            <w:pStyle w:val="TOC1"/>
            <w:tabs>
              <w:tab w:val="clear" w:pos="708"/>
              <w:tab w:val="right" w:pos="9921" w:leader="dot"/>
            </w:tabs>
            <w:rPr/>
          </w:pPr>
          <w:r>
            <w:fldChar w:fldCharType="begin"/>
          </w:r>
          <w:r>
            <w:rPr>
              <w:webHidden/>
              <w:rStyle w:val="Style14"/>
              <w:vanish w:val="false"/>
            </w:rPr>
            <w:instrText xml:space="preserve"> TOC \z \o "1-4" \u \h</w:instrText>
          </w:r>
          <w:r>
            <w:rPr>
              <w:webHidden/>
              <w:rStyle w:val="Style14"/>
              <w:vanish w:val="false"/>
            </w:rPr>
            <w:fldChar w:fldCharType="separate"/>
          </w:r>
          <w:hyperlink w:anchor="__RefHeading___Toc31140_2499545058">
            <w:r>
              <w:rPr>
                <w:webHidden/>
                <w:rStyle w:val="Style14"/>
                <w:vanish w:val="false"/>
              </w:rPr>
              <w:t>1. Общие сведения</w:t>
              <w:tab/>
              <w:t>3</w:t>
            </w:r>
          </w:hyperlink>
        </w:p>
        <w:p>
          <w:pPr>
            <w:pStyle w:val="TOC4"/>
            <w:tabs>
              <w:tab w:val="clear" w:pos="708"/>
              <w:tab w:val="right" w:pos="9921" w:leader="dot"/>
            </w:tabs>
            <w:rPr/>
          </w:pPr>
          <w:hyperlink w:anchor="__RefHeading___Toc31144_2499545058">
            <w:r>
              <w:rPr>
                <w:webHidden/>
                <w:rStyle w:val="Style14"/>
                <w:vanish w:val="false"/>
              </w:rPr>
              <w:t>1.1. Обозначения и сокращения</w:t>
              <w:tab/>
              <w:t>3</w:t>
            </w:r>
          </w:hyperlink>
        </w:p>
        <w:p>
          <w:pPr>
            <w:pStyle w:val="TOC4"/>
            <w:tabs>
              <w:tab w:val="clear" w:pos="708"/>
              <w:tab w:val="right" w:pos="9921" w:leader="dot"/>
            </w:tabs>
            <w:rPr/>
          </w:pPr>
          <w:hyperlink w:anchor="__RefHeading___Toc40432_2223457246">
            <w:r>
              <w:rPr>
                <w:webHidden/>
                <w:rStyle w:val="Style14"/>
                <w:vanish w:val="false"/>
              </w:rPr>
              <w:t>1.2. Наименование закупаемой продукции</w:t>
              <w:tab/>
              <w:t>3</w:t>
            </w:r>
          </w:hyperlink>
        </w:p>
        <w:p>
          <w:pPr>
            <w:pStyle w:val="TOC4"/>
            <w:tabs>
              <w:tab w:val="clear" w:pos="708"/>
              <w:tab w:val="right" w:pos="9921" w:leader="dot"/>
            </w:tabs>
            <w:rPr/>
          </w:pPr>
          <w:hyperlink w:anchor="__RefHeading___Toc31146_2499545058">
            <w:r>
              <w:rPr>
                <w:webHidden/>
                <w:rStyle w:val="Style14"/>
                <w:vanish w:val="false"/>
              </w:rPr>
              <w:t>1.3. Цель использования закупаемой продукции</w:t>
              <w:tab/>
              <w:t>3</w:t>
            </w:r>
          </w:hyperlink>
        </w:p>
        <w:p>
          <w:pPr>
            <w:pStyle w:val="TOC4"/>
            <w:tabs>
              <w:tab w:val="clear" w:pos="708"/>
              <w:tab w:val="right" w:pos="9921" w:leader="dot"/>
            </w:tabs>
            <w:rPr/>
          </w:pPr>
          <w:hyperlink w:anchor="__RefHeading___Toc31148_2499545058">
            <w:r>
              <w:rPr>
                <w:webHidden/>
                <w:rStyle w:val="Style14"/>
                <w:vanish w:val="false"/>
              </w:rPr>
              <w:t>1.4. Существующее положение</w:t>
              <w:tab/>
              <w:t>3</w:t>
            </w:r>
          </w:hyperlink>
        </w:p>
        <w:p>
          <w:pPr>
            <w:pStyle w:val="TOC1"/>
            <w:tabs>
              <w:tab w:val="clear" w:pos="708"/>
              <w:tab w:val="right" w:pos="9921" w:leader="dot"/>
            </w:tabs>
            <w:rPr/>
          </w:pPr>
          <w:hyperlink w:anchor="__RefHeading___Toc31150_2499545058">
            <w:r>
              <w:rPr>
                <w:webHidden/>
                <w:rStyle w:val="Style14"/>
                <w:vanish w:val="false"/>
              </w:rPr>
              <w:t>Таблица 1. Перечень объектов заказчика</w:t>
              <w:tab/>
              <w:t>4</w:t>
            </w:r>
          </w:hyperlink>
        </w:p>
        <w:p>
          <w:pPr>
            <w:pStyle w:val="TOC4"/>
            <w:tabs>
              <w:tab w:val="clear" w:pos="708"/>
              <w:tab w:val="right" w:pos="9921" w:leader="dot"/>
            </w:tabs>
            <w:rPr/>
          </w:pPr>
          <w:hyperlink w:anchor="__RefHeading___Toc31152_2499545058">
            <w:r>
              <w:rPr>
                <w:webHidden/>
                <w:rStyle w:val="Style14"/>
                <w:vanish w:val="false"/>
              </w:rPr>
              <w:t>1.5. Иные требования и сведения общего характера</w:t>
              <w:tab/>
              <w:t>4</w:t>
            </w:r>
          </w:hyperlink>
        </w:p>
        <w:p>
          <w:pPr>
            <w:pStyle w:val="TOC1"/>
            <w:tabs>
              <w:tab w:val="clear" w:pos="708"/>
              <w:tab w:val="right" w:pos="9921" w:leader="dot"/>
            </w:tabs>
            <w:rPr/>
          </w:pPr>
          <w:hyperlink w:anchor="__RefHeading___Toc31154_2499545058">
            <w:r>
              <w:rPr>
                <w:webHidden/>
                <w:rStyle w:val="Style14"/>
                <w:vanish w:val="false"/>
              </w:rPr>
              <w:t>2. Требования к продукции</w:t>
              <w:tab/>
              <w:t>5</w:t>
            </w:r>
          </w:hyperlink>
        </w:p>
        <w:p>
          <w:pPr>
            <w:pStyle w:val="TOC4"/>
            <w:tabs>
              <w:tab w:val="clear" w:pos="708"/>
              <w:tab w:val="right" w:pos="9921" w:leader="dot"/>
            </w:tabs>
            <w:rPr/>
          </w:pPr>
          <w:hyperlink w:anchor="__RefHeading___Toc31156_2499545058">
            <w:r>
              <w:rPr>
                <w:webHidden/>
                <w:rStyle w:val="Style14"/>
                <w:vanish w:val="false"/>
              </w:rPr>
              <w:t>2.1. Требования по объемам и срокам</w:t>
              <w:tab/>
              <w:t>5</w:t>
            </w:r>
          </w:hyperlink>
        </w:p>
        <w:p>
          <w:pPr>
            <w:pStyle w:val="TOC3"/>
            <w:tabs>
              <w:tab w:val="clear" w:pos="708"/>
              <w:tab w:val="right" w:pos="9921" w:leader="dot"/>
            </w:tabs>
            <w:rPr/>
          </w:pPr>
          <w:hyperlink w:anchor="__RefHeading___Toc31158_2499545058">
            <w:r>
              <w:rPr>
                <w:webHidden/>
                <w:rStyle w:val="Style14"/>
                <w:vanish w:val="false"/>
              </w:rPr>
              <w:t>2.1.1. Требования к видам и объемам поставок продукции, услуг</w:t>
              <w:tab/>
              <w:t>5</w:t>
            </w:r>
          </w:hyperlink>
        </w:p>
        <w:p>
          <w:pPr>
            <w:pStyle w:val="TOC1"/>
            <w:tabs>
              <w:tab w:val="clear" w:pos="708"/>
              <w:tab w:val="right" w:pos="9921" w:leader="dot"/>
            </w:tabs>
            <w:rPr/>
          </w:pPr>
          <w:hyperlink w:anchor="__RefHeading___Toc31160_2499545058">
            <w:r>
              <w:rPr>
                <w:webHidden/>
                <w:rStyle w:val="Style14"/>
                <w:vanish w:val="false"/>
              </w:rPr>
              <w:t>Таблица 2.1 Перечень и объем закупаемой продукции, услуг</w:t>
              <w:tab/>
              <w:t>5</w:t>
            </w:r>
          </w:hyperlink>
        </w:p>
        <w:p>
          <w:pPr>
            <w:pStyle w:val="TOC4"/>
            <w:tabs>
              <w:tab w:val="clear" w:pos="708"/>
              <w:tab w:val="right" w:pos="9921" w:leader="dot"/>
            </w:tabs>
            <w:rPr/>
          </w:pPr>
          <w:hyperlink w:anchor="__RefHeading___Toc31162_2499545058">
            <w:r>
              <w:rPr>
                <w:webHidden/>
                <w:rStyle w:val="Style14"/>
                <w:i/>
                <w:iCs/>
                <w:vanish w:val="false"/>
              </w:rPr>
              <w:t>Оборудование, включая упаковку, временную противокоррозионную защиту</w:t>
            </w:r>
            <w:r>
              <w:rPr>
                <w:rStyle w:val="Style14"/>
              </w:rPr>
              <w:tab/>
              <w:t>5</w:t>
            </w:r>
          </w:hyperlink>
        </w:p>
        <w:p>
          <w:pPr>
            <w:pStyle w:val="TOC4"/>
            <w:tabs>
              <w:tab w:val="clear" w:pos="708"/>
              <w:tab w:val="right" w:pos="9921" w:leader="dot"/>
            </w:tabs>
            <w:rPr/>
          </w:pPr>
          <w:hyperlink w:anchor="__RefHeading___Toc31164_2499545058">
            <w:r>
              <w:rPr>
                <w:webHidden/>
                <w:rStyle w:val="Style14"/>
                <w:i/>
                <w:iCs/>
                <w:vanish w:val="false"/>
              </w:rPr>
              <w:t>Дополнительное оборудование, комплектующие</w:t>
            </w:r>
            <w:r>
              <w:rPr>
                <w:rStyle w:val="Style14"/>
              </w:rPr>
              <w:tab/>
              <w:t>5</w:t>
            </w:r>
          </w:hyperlink>
        </w:p>
        <w:p>
          <w:pPr>
            <w:pStyle w:val="TOC3"/>
            <w:tabs>
              <w:tab w:val="clear" w:pos="708"/>
              <w:tab w:val="right" w:pos="9921" w:leader="dot"/>
            </w:tabs>
            <w:rPr/>
          </w:pPr>
          <w:hyperlink w:anchor="__RefHeading___Toc31166_2499545058">
            <w:r>
              <w:rPr>
                <w:webHidden/>
                <w:rStyle w:val="Style14"/>
                <w:vanish w:val="false"/>
              </w:rPr>
              <w:t>2.1.2. Требования к срокам поставки продукции, выполнению работ, оказанию услуг</w:t>
              <w:tab/>
              <w:t>6</w:t>
            </w:r>
          </w:hyperlink>
        </w:p>
        <w:p>
          <w:pPr>
            <w:pStyle w:val="TOC4"/>
            <w:tabs>
              <w:tab w:val="clear" w:pos="708"/>
              <w:tab w:val="right" w:pos="9921" w:leader="dot"/>
            </w:tabs>
            <w:rPr/>
          </w:pPr>
          <w:hyperlink w:anchor="__RefHeading___Toc40434_2223457246">
            <w:r>
              <w:rPr>
                <w:webHidden/>
                <w:rStyle w:val="Style14"/>
                <w:vanish w:val="false"/>
              </w:rPr>
              <w:t>2.2. Требования к качеству продукции</w:t>
              <w:tab/>
              <w:t>7</w:t>
            </w:r>
          </w:hyperlink>
        </w:p>
        <w:p>
          <w:pPr>
            <w:pStyle w:val="TOC1"/>
            <w:tabs>
              <w:tab w:val="clear" w:pos="708"/>
              <w:tab w:val="right" w:pos="9921" w:leader="dot"/>
            </w:tabs>
            <w:rPr/>
          </w:pPr>
          <w:hyperlink w:anchor="__RefHeading___Toc31170_2499545058">
            <w:r>
              <w:rPr>
                <w:webHidden/>
                <w:rStyle w:val="Style14"/>
                <w:vanish w:val="false"/>
              </w:rPr>
              <w:t>Таблица 4.Требования к качеству продукции.</w:t>
              <w:tab/>
              <w:t>8</w:t>
            </w:r>
          </w:hyperlink>
        </w:p>
        <w:p>
          <w:pPr>
            <w:pStyle w:val="TOC1"/>
            <w:tabs>
              <w:tab w:val="clear" w:pos="708"/>
              <w:tab w:val="right" w:pos="9921" w:leader="dot"/>
            </w:tabs>
            <w:rPr/>
          </w:pPr>
          <w:hyperlink w:anchor="__RefHeading___Toc31172_2499545058">
            <w:r>
              <w:rPr>
                <w:webHidden/>
                <w:rStyle w:val="Style14"/>
                <w:i w:val="false"/>
                <w:iCs w:val="false"/>
                <w:vanish w:val="false"/>
              </w:rPr>
              <w:t>Наличие соглашения о шеф-монтаже или аккредитации производителей монтируемого оборудования</w:t>
            </w:r>
            <w:r>
              <w:rPr>
                <w:rStyle w:val="Style14"/>
              </w:rPr>
              <w:tab/>
              <w:t>23</w:t>
            </w:r>
          </w:hyperlink>
        </w:p>
        <w:p>
          <w:pPr>
            <w:pStyle w:val="TOC1"/>
            <w:tabs>
              <w:tab w:val="clear" w:pos="708"/>
              <w:tab w:val="right" w:pos="9921" w:leader="dot"/>
            </w:tabs>
            <w:rPr/>
          </w:pPr>
          <w:hyperlink w:anchor="__RefHeading___Toc31174_2499545058">
            <w:r>
              <w:rPr>
                <w:webHidden/>
                <w:rStyle w:val="Style14"/>
                <w:vanish w:val="false"/>
              </w:rPr>
              <w:t>Таблица 4.2 Технические характеристики реакторов заземляющих нулевых выводов 15,75 кВ</w:t>
              <w:tab/>
              <w:t>23</w:t>
            </w:r>
          </w:hyperlink>
        </w:p>
        <w:p>
          <w:pPr>
            <w:pStyle w:val="TOC1"/>
            <w:tabs>
              <w:tab w:val="clear" w:pos="708"/>
              <w:tab w:val="right" w:pos="9921" w:leader="dot"/>
            </w:tabs>
            <w:rPr/>
          </w:pPr>
          <w:hyperlink w:anchor="__RefHeading___Toc31176_2499545058">
            <w:r>
              <w:rPr>
                <w:webHidden/>
                <w:rStyle w:val="Style14"/>
                <w:vanish w:val="false"/>
              </w:rPr>
              <w:t>Таблица 4.3 Технические характеристики разъединителя 15,75 кВ</w:t>
              <w:tab/>
              <w:t>27</w:t>
            </w:r>
          </w:hyperlink>
        </w:p>
        <w:p>
          <w:pPr>
            <w:pStyle w:val="TOC3"/>
            <w:tabs>
              <w:tab w:val="clear" w:pos="708"/>
              <w:tab w:val="right" w:pos="9921" w:leader="dot"/>
            </w:tabs>
            <w:rPr/>
          </w:pPr>
          <w:hyperlink w:anchor="__RefHeading___Toc31180_2499545058">
            <w:r>
              <w:rPr>
                <w:webHidden/>
                <w:rStyle w:val="Style14"/>
                <w:vanish w:val="false"/>
              </w:rPr>
              <w:t>2.2.1. В составе заявки необходимо предоставить:</w:t>
              <w:tab/>
              <w:t>30</w:t>
            </w:r>
          </w:hyperlink>
        </w:p>
        <w:p>
          <w:pPr>
            <w:pStyle w:val="TOC1"/>
            <w:tabs>
              <w:tab w:val="clear" w:pos="708"/>
              <w:tab w:val="right" w:pos="9921" w:leader="dot"/>
            </w:tabs>
            <w:rPr/>
          </w:pPr>
          <w:hyperlink w:anchor="__RefHeading___Toc31182_2499545058">
            <w:r>
              <w:rPr>
                <w:webHidden/>
                <w:rStyle w:val="Style14"/>
                <w:vanish w:val="false"/>
              </w:rPr>
              <w:t>3. Требования к документации по ценообразованию на этапе закупки</w:t>
              <w:tab/>
              <w:t>31</w:t>
            </w:r>
          </w:hyperlink>
        </w:p>
        <w:p>
          <w:pPr>
            <w:pStyle w:val="TOC1"/>
            <w:tabs>
              <w:tab w:val="clear" w:pos="708"/>
              <w:tab w:val="right" w:pos="9921" w:leader="dot"/>
            </w:tabs>
            <w:rPr/>
          </w:pPr>
          <w:hyperlink w:anchor="__RefHeading___Toc31184_2499545058">
            <w:r>
              <w:rPr>
                <w:webHidden/>
                <w:rStyle w:val="Style14"/>
                <w:vanish w:val="false"/>
              </w:rPr>
              <w:t>4. Требования к документации по ценообразованию на этапе заключения (исполнения) договора</w:t>
              <w:tab/>
              <w:t>31</w:t>
            </w:r>
          </w:hyperlink>
        </w:p>
        <w:p>
          <w:pPr>
            <w:pStyle w:val="TOC1"/>
            <w:tabs>
              <w:tab w:val="clear" w:pos="708"/>
              <w:tab w:val="right" w:pos="9921" w:leader="dot"/>
            </w:tabs>
            <w:rPr/>
          </w:pPr>
          <w:hyperlink w:anchor="__RefHeading___Toc31186_2499545058">
            <w:r>
              <w:rPr>
                <w:webHidden/>
                <w:rStyle w:val="Style14"/>
                <w:vanish w:val="false"/>
              </w:rPr>
              <w:t>5. Приложения</w:t>
              <w:tab/>
              <w:t>31</w:t>
            </w:r>
          </w:hyperlink>
          <w:r>
            <w:rPr>
              <w:rStyle w:val="Style14"/>
              <w:vanish w:val="false"/>
            </w:rPr>
            <w:fldChar w:fldCharType="end"/>
          </w:r>
        </w:p>
      </w:sdtContent>
    </w:sdt>
    <w:p>
      <w:pPr>
        <w:pStyle w:val="Style29"/>
        <w:keepLines/>
        <w:spacing w:before="160" w:after="0"/>
        <w:jc w:val="left"/>
        <w:rPr>
          <w:b w:val="false"/>
          <w:sz w:val="26"/>
          <w:szCs w:val="26"/>
        </w:rPr>
      </w:pPr>
      <w:r>
        <w:rPr>
          <w:b w:val="false"/>
          <w:sz w:val="26"/>
          <w:szCs w:val="26"/>
        </w:rPr>
      </w:r>
    </w:p>
    <w:p>
      <w:pPr>
        <w:pStyle w:val="Style29"/>
        <w:keepLines/>
        <w:rPr>
          <w:b w:val="false"/>
          <w:sz w:val="26"/>
          <w:szCs w:val="26"/>
        </w:rPr>
      </w:pPr>
      <w:r>
        <w:rPr>
          <w:b w:val="false"/>
          <w:sz w:val="26"/>
          <w:szCs w:val="26"/>
        </w:rPr>
      </w:r>
    </w:p>
    <w:p>
      <w:pPr>
        <w:pStyle w:val="Style29"/>
        <w:keepLines/>
        <w:rPr>
          <w:sz w:val="26"/>
          <w:szCs w:val="26"/>
        </w:rPr>
      </w:pPr>
      <w:r>
        <w:rPr/>
      </w:r>
      <w:r>
        <w:br w:type="page"/>
      </w:r>
    </w:p>
    <w:p>
      <w:pPr>
        <w:pStyle w:val="Heading1"/>
        <w:numPr>
          <w:ilvl w:val="0"/>
          <w:numId w:val="3"/>
        </w:numPr>
        <w:ind w:left="3759" w:hanging="357"/>
        <w:rPr/>
      </w:pPr>
      <w:bookmarkStart w:id="2" w:name="__RefHeading___Toc31140_2499545058"/>
      <w:bookmarkStart w:id="3" w:name="_Toc54970198"/>
      <w:bookmarkStart w:id="4" w:name="_Toc51921655"/>
      <w:bookmarkEnd w:id="2"/>
      <w:r>
        <w:rPr/>
        <w:t>Общие сведения</w:t>
      </w:r>
      <w:bookmarkEnd w:id="3"/>
      <w:bookmarkEnd w:id="4"/>
    </w:p>
    <w:p>
      <w:pPr>
        <w:pStyle w:val="Heading4"/>
        <w:numPr>
          <w:ilvl w:val="0"/>
          <w:numId w:val="0"/>
        </w:numPr>
        <w:ind w:left="0" w:hanging="0"/>
        <w:rPr>
          <w:sz w:val="24"/>
          <w:szCs w:val="24"/>
        </w:rPr>
      </w:pPr>
      <w:r>
        <w:rPr>
          <w:sz w:val="24"/>
          <w:szCs w:val="24"/>
        </w:rPr>
      </w:r>
    </w:p>
    <w:p>
      <w:pPr>
        <w:pStyle w:val="Heading4"/>
        <w:numPr>
          <w:ilvl w:val="1"/>
          <w:numId w:val="3"/>
        </w:numPr>
        <w:ind w:left="1224" w:hanging="432"/>
        <w:rPr/>
      </w:pPr>
      <w:bookmarkStart w:id="5" w:name="__RefHeading___Toc31144_2499545058"/>
      <w:bookmarkEnd w:id="5"/>
      <w:r>
        <w:rPr/>
        <w:t>Обозначения и сокращения</w:t>
      </w:r>
    </w:p>
    <w:p>
      <w:pPr>
        <w:pStyle w:val="Normal"/>
        <w:ind w:left="1224" w:hanging="432"/>
        <w:rPr/>
      </w:pPr>
      <w:r>
        <w:rPr/>
      </w:r>
    </w:p>
    <w:tbl>
      <w:tblPr>
        <w:tblW w:w="9783" w:type="dxa"/>
        <w:jc w:val="center"/>
        <w:tblInd w:w="0" w:type="dxa"/>
        <w:tblLayout w:type="fixed"/>
        <w:tblCellMar>
          <w:top w:w="0" w:type="dxa"/>
          <w:left w:w="108" w:type="dxa"/>
          <w:bottom w:w="0" w:type="dxa"/>
          <w:right w:w="108" w:type="dxa"/>
        </w:tblCellMar>
        <w:tblLook w:noVBand="1" w:val="04a0" w:noHBand="0" w:lastColumn="0" w:firstColumn="1" w:lastRow="0" w:firstRow="1"/>
      </w:tblPr>
      <w:tblGrid>
        <w:gridCol w:w="1785"/>
        <w:gridCol w:w="7997"/>
      </w:tblGrid>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jc w:val="both"/>
              <w:rPr>
                <w:b w:val="false"/>
                <w:i/>
                <w:i/>
                <w:iCs/>
                <w:sz w:val="24"/>
                <w:szCs w:val="24"/>
                <w:shd w:fill="auto" w:val="clear"/>
              </w:rPr>
            </w:pPr>
            <w:r>
              <w:rPr>
                <w:b w:val="false"/>
                <w:i/>
                <w:iCs/>
                <w:sz w:val="24"/>
                <w:szCs w:val="24"/>
                <w:shd w:fill="auto" w:val="clear"/>
              </w:rPr>
              <w:t>‍</w:t>
            </w:r>
            <w:r>
              <w:rPr>
                <w:b w:val="false"/>
                <w:i/>
                <w:iCs/>
                <w:sz w:val="24"/>
                <w:szCs w:val="24"/>
                <w:shd w:fill="auto" w:val="clear"/>
              </w:rPr>
              <w:t>ГА</w:t>
            </w:r>
          </w:p>
        </w:tc>
        <w:tc>
          <w:tcPr>
            <w:tcW w:w="7997"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jc w:val="both"/>
              <w:rPr>
                <w:b w:val="false"/>
                <w:bCs/>
                <w:i/>
                <w:i/>
                <w:iCs/>
                <w:sz w:val="24"/>
                <w:szCs w:val="24"/>
              </w:rPr>
            </w:pPr>
            <w:r>
              <w:rPr>
                <w:b w:val="false"/>
                <w:bCs/>
                <w:i/>
                <w:iCs/>
                <w:sz w:val="24"/>
                <w:szCs w:val="24"/>
              </w:rPr>
              <w:t>гидроагрегат</w:t>
            </w:r>
          </w:p>
        </w:tc>
      </w:tr>
      <w:tr>
        <w:trPr>
          <w:cantSplit w:val="true"/>
        </w:trPr>
        <w:tc>
          <w:tcPr>
            <w:tcW w:w="1785" w:type="dxa"/>
            <w:tcBorders>
              <w:left w:val="single" w:sz="4" w:space="0" w:color="000000"/>
              <w:bottom w:val="single" w:sz="4" w:space="0" w:color="000000"/>
              <w:right w:val="single" w:sz="4" w:space="0" w:color="000000"/>
            </w:tcBorders>
          </w:tcPr>
          <w:p>
            <w:pPr>
              <w:pStyle w:val="Normal"/>
              <w:keepNext w:val="true"/>
              <w:keepLines/>
              <w:widowControl w:val="false"/>
              <w:jc w:val="both"/>
              <w:rPr>
                <w:i/>
                <w:i/>
                <w:iCs/>
              </w:rPr>
            </w:pPr>
            <w:r>
              <w:rPr>
                <w:i/>
                <w:iCs/>
                <w:sz w:val="24"/>
                <w:szCs w:val="24"/>
              </w:rPr>
              <w:t>СТО</w:t>
            </w:r>
          </w:p>
        </w:tc>
        <w:tc>
          <w:tcPr>
            <w:tcW w:w="7997" w:type="dxa"/>
            <w:tcBorders>
              <w:left w:val="single" w:sz="4" w:space="0" w:color="000000"/>
              <w:bottom w:val="single" w:sz="4" w:space="0" w:color="000000"/>
              <w:right w:val="single" w:sz="4" w:space="0" w:color="000000"/>
            </w:tcBorders>
          </w:tcPr>
          <w:p>
            <w:pPr>
              <w:pStyle w:val="Normal"/>
              <w:keepNext w:val="true"/>
              <w:keepLines/>
              <w:widowControl w:val="false"/>
              <w:jc w:val="both"/>
              <w:rPr>
                <w:rStyle w:val="Style8"/>
                <w:b w:val="false"/>
                <w:bCs/>
                <w:i/>
                <w:i/>
                <w:iCs/>
                <w:sz w:val="24"/>
                <w:szCs w:val="24"/>
              </w:rPr>
            </w:pPr>
            <w:r>
              <w:rPr>
                <w:i/>
                <w:iCs/>
                <w:sz w:val="24"/>
                <w:szCs w:val="24"/>
              </w:rPr>
              <w:t>стандарт организации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jc w:val="both"/>
              <w:rPr>
                <w:b w:val="false"/>
                <w:i/>
                <w:i/>
                <w:iCs/>
                <w:sz w:val="24"/>
                <w:szCs w:val="24"/>
                <w:shd w:fill="auto" w:val="clear"/>
              </w:rPr>
            </w:pPr>
            <w:r>
              <w:rPr>
                <w:b w:val="false"/>
                <w:i/>
                <w:iCs/>
                <w:sz w:val="24"/>
                <w:szCs w:val="24"/>
                <w:shd w:fill="auto" w:val="clear"/>
              </w:rPr>
              <w:t>‍</w:t>
            </w:r>
            <w:r>
              <w:rPr>
                <w:b w:val="false"/>
                <w:i/>
                <w:iCs/>
                <w:sz w:val="24"/>
                <w:szCs w:val="24"/>
                <w:shd w:fill="auto" w:val="clear"/>
              </w:rPr>
              <w:t>СШГЭС</w:t>
            </w:r>
          </w:p>
        </w:tc>
        <w:tc>
          <w:tcPr>
            <w:tcW w:w="7997"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jc w:val="both"/>
              <w:rPr>
                <w:b w:val="false"/>
                <w:bCs/>
                <w:i/>
                <w:i/>
                <w:iCs/>
                <w:sz w:val="24"/>
                <w:szCs w:val="24"/>
              </w:rPr>
            </w:pPr>
            <w:r>
              <w:rPr>
                <w:b w:val="false"/>
                <w:bCs/>
                <w:i/>
                <w:iCs/>
                <w:sz w:val="24"/>
                <w:szCs w:val="24"/>
              </w:rPr>
              <w:t>Саяно-Шушенская ГЭС</w:t>
            </w:r>
          </w:p>
        </w:tc>
      </w:tr>
      <w:tr>
        <w:trPr>
          <w:cantSplit w:val="true"/>
        </w:trPr>
        <w:tc>
          <w:tcPr>
            <w:tcW w:w="1785" w:type="dxa"/>
            <w:tcBorders>
              <w:left w:val="single" w:sz="4" w:space="0" w:color="000000"/>
              <w:bottom w:val="single" w:sz="4" w:space="0" w:color="000000"/>
              <w:right w:val="single" w:sz="4" w:space="0" w:color="000000"/>
            </w:tcBorders>
          </w:tcPr>
          <w:p>
            <w:pPr>
              <w:pStyle w:val="Normal"/>
              <w:keepNext w:val="true"/>
              <w:keepLines/>
              <w:widowControl w:val="false"/>
              <w:jc w:val="both"/>
              <w:rPr>
                <w:i/>
                <w:i/>
                <w:iCs/>
              </w:rPr>
            </w:pPr>
            <w:r>
              <w:rPr>
                <w:i/>
                <w:iCs/>
                <w:sz w:val="24"/>
                <w:szCs w:val="24"/>
              </w:rPr>
              <w:t>ТТ</w:t>
            </w:r>
          </w:p>
        </w:tc>
        <w:tc>
          <w:tcPr>
            <w:tcW w:w="7997" w:type="dxa"/>
            <w:tcBorders>
              <w:left w:val="single" w:sz="4" w:space="0" w:color="000000"/>
              <w:bottom w:val="single" w:sz="4" w:space="0" w:color="000000"/>
              <w:right w:val="single" w:sz="4" w:space="0" w:color="000000"/>
            </w:tcBorders>
          </w:tcPr>
          <w:p>
            <w:pPr>
              <w:pStyle w:val="Normal"/>
              <w:keepNext w:val="true"/>
              <w:keepLines/>
              <w:widowControl w:val="false"/>
              <w:jc w:val="both"/>
              <w:rPr>
                <w:rStyle w:val="Style8"/>
                <w:b w:val="false"/>
                <w:bCs/>
                <w:i/>
                <w:i/>
                <w:iCs/>
                <w:sz w:val="24"/>
                <w:szCs w:val="24"/>
              </w:rPr>
            </w:pPr>
            <w:r>
              <w:rPr>
                <w:i/>
                <w:iCs/>
                <w:sz w:val="24"/>
                <w:szCs w:val="24"/>
              </w:rPr>
              <w:t>технические требования</w:t>
            </w:r>
          </w:p>
        </w:tc>
      </w:tr>
    </w:tbl>
    <w:p>
      <w:pPr>
        <w:pStyle w:val="Heading4"/>
        <w:numPr>
          <w:ilvl w:val="1"/>
          <w:numId w:val="3"/>
        </w:numPr>
        <w:ind w:left="1224" w:hanging="432"/>
        <w:rPr/>
      </w:pPr>
      <w:bookmarkStart w:id="6" w:name="__RefHeading___Toc40432_2223457246"/>
      <w:bookmarkStart w:id="7" w:name="_Toc54970200"/>
      <w:bookmarkEnd w:id="6"/>
      <w:r>
        <w:rPr/>
        <w:t>Наименование закупаемой продукции</w:t>
      </w:r>
      <w:bookmarkEnd w:id="7"/>
    </w:p>
    <w:p>
      <w:pPr>
        <w:pStyle w:val="Normal"/>
        <w:bidi w:val="0"/>
        <w:jc w:val="both"/>
        <w:rPr/>
      </w:pPr>
      <w:r>
        <w:rPr>
          <w:rStyle w:val="Style8"/>
          <w:b w:val="false"/>
          <w:bCs w:val="false"/>
          <w:i/>
          <w:sz w:val="24"/>
          <w:szCs w:val="24"/>
          <w:shd w:fill="auto" w:val="clear"/>
        </w:rPr>
        <w:tab/>
      </w:r>
      <w:r>
        <w:rPr>
          <w:rStyle w:val="Style8"/>
          <w:b w:val="false"/>
          <w:bCs w:val="false"/>
          <w:i w:val="false"/>
          <w:iCs w:val="false"/>
          <w:sz w:val="24"/>
          <w:szCs w:val="24"/>
          <w:shd w:fill="auto" w:val="clear"/>
        </w:rPr>
        <w:t xml:space="preserve">«Поставка и шеф-монтаж реакторов заземляющих и разъединителей  нулевых выводов гидрогенераторов Саяно-Шушенской ГЭС»: </w:t>
      </w:r>
      <w:r>
        <w:rPr>
          <w:rStyle w:val="Style8"/>
          <w:rFonts w:eastAsia="Times New Roman" w:cs="Times New Roman"/>
          <w:b w:val="false"/>
          <w:bCs w:val="false"/>
          <w:i w:val="false"/>
          <w:iCs w:val="false"/>
          <w:color w:val="000000"/>
          <w:sz w:val="22"/>
          <w:szCs w:val="26"/>
          <w:shd w:fill="auto" w:val="clear"/>
          <w:lang w:val="ru-RU" w:eastAsia="ru-RU" w:bidi="ar-SA"/>
        </w:rPr>
        <w:t xml:space="preserve">ОКПД2 </w:t>
      </w:r>
      <w:r>
        <w:rPr>
          <w:rStyle w:val="Style8"/>
          <w:b w:val="false"/>
          <w:bCs w:val="false"/>
          <w:i w:val="false"/>
          <w:iCs w:val="false"/>
          <w:sz w:val="22"/>
          <w:szCs w:val="26"/>
          <w:shd w:fill="auto" w:val="clear"/>
        </w:rPr>
        <w:t>27.12.10</w:t>
      </w:r>
    </w:p>
    <w:p>
      <w:pPr>
        <w:pStyle w:val="Normal"/>
        <w:bidi w:val="0"/>
        <w:jc w:val="both"/>
        <w:rPr/>
      </w:pPr>
      <w:r>
        <w:rPr>
          <w:rStyle w:val="Style8"/>
          <w:b w:val="false"/>
          <w:bCs w:val="false"/>
          <w:i w:val="false"/>
          <w:iCs w:val="false"/>
          <w:sz w:val="26"/>
          <w:szCs w:val="26"/>
          <w:shd w:fill="auto" w:val="clear"/>
        </w:rPr>
        <w:t>.</w:t>
      </w:r>
    </w:p>
    <w:p>
      <w:pPr>
        <w:pStyle w:val="Normal"/>
        <w:bidi w:val="0"/>
        <w:jc w:val="both"/>
        <w:rPr/>
      </w:pPr>
      <w:r>
        <w:rPr>
          <w:sz w:val="24"/>
          <w:szCs w:val="24"/>
        </w:rPr>
        <w:t>Общие сведения о покупателе:</w:t>
      </w:r>
    </w:p>
    <w:p>
      <w:pPr>
        <w:pStyle w:val="Normal"/>
        <w:bidi w:val="0"/>
        <w:jc w:val="both"/>
        <w:rPr>
          <w:rFonts w:ascii="Times New Roman" w:hAnsi="Times New Roman"/>
          <w:b w:val="false"/>
          <w:i w:val="false"/>
          <w:i w:val="false"/>
          <w:caps w:val="false"/>
          <w:smallCaps w:val="false"/>
          <w:color w:val="2C3148"/>
          <w:spacing w:val="0"/>
          <w:sz w:val="24"/>
          <w:szCs w:val="24"/>
        </w:rPr>
      </w:pPr>
      <w:r>
        <w:rPr>
          <w:b w:val="false"/>
          <w:i w:val="false"/>
          <w:caps w:val="false"/>
          <w:smallCaps w:val="false"/>
          <w:color w:val="2C3148"/>
          <w:spacing w:val="0"/>
          <w:sz w:val="24"/>
          <w:szCs w:val="24"/>
        </w:rPr>
        <w:t xml:space="preserve">Филиал ПАО </w:t>
      </w:r>
      <w:r>
        <w:rPr>
          <w:rFonts w:eastAsia="Times New Roman" w:cs="Times New Roman"/>
          <w:b w:val="false"/>
          <w:i w:val="false"/>
          <w:caps w:val="false"/>
          <w:smallCaps w:val="false"/>
          <w:color w:val="2C3148"/>
          <w:spacing w:val="0"/>
          <w:kern w:val="0"/>
          <w:sz w:val="24"/>
          <w:szCs w:val="24"/>
          <w:lang w:val="ru-RU" w:eastAsia="ru-RU" w:bidi="ar-SA"/>
        </w:rPr>
        <w:t xml:space="preserve">«РусГидро» - «Саяно_Шушенская ГЭС имени П.С. Непорожнего», </w:t>
      </w:r>
      <w:r>
        <w:rPr>
          <w:b w:val="false"/>
          <w:i w:val="false"/>
          <w:caps w:val="false"/>
          <w:smallCaps w:val="false"/>
          <w:color w:val="2C3148"/>
          <w:spacing w:val="0"/>
          <w:sz w:val="24"/>
          <w:szCs w:val="24"/>
        </w:rPr>
        <w:t>655619, Российская Федерация, Республика Хакасия, г. Саяногорск, п. Черемушки.</w:t>
      </w:r>
    </w:p>
    <w:p>
      <w:pPr>
        <w:pStyle w:val="Normal"/>
        <w:bidi w:val="0"/>
        <w:jc w:val="both"/>
        <w:rPr>
          <w:rFonts w:ascii="Avenir Next Cyr;sans-serif" w:hAnsi="Avenir Next Cyr;sans-serif"/>
          <w:b w:val="false"/>
          <w:i w:val="false"/>
          <w:i w:val="false"/>
          <w:caps w:val="false"/>
          <w:smallCaps w:val="false"/>
          <w:color w:val="2C3148"/>
          <w:spacing w:val="0"/>
          <w:sz w:val="30"/>
        </w:rPr>
      </w:pPr>
      <w:r>
        <w:rPr>
          <w:rFonts w:ascii="Avenir Next Cyr;sans-serif" w:hAnsi="Avenir Next Cyr;sans-serif"/>
          <w:b w:val="false"/>
          <w:i w:val="false"/>
          <w:caps w:val="false"/>
          <w:smallCaps w:val="false"/>
          <w:color w:val="2C3148"/>
          <w:spacing w:val="0"/>
          <w:sz w:val="30"/>
        </w:rPr>
      </w:r>
    </w:p>
    <w:p>
      <w:pPr>
        <w:pStyle w:val="Heading4"/>
        <w:numPr>
          <w:ilvl w:val="1"/>
          <w:numId w:val="3"/>
        </w:numPr>
        <w:ind w:left="1224" w:hanging="432"/>
        <w:rPr/>
      </w:pPr>
      <w:bookmarkStart w:id="8" w:name="__RefHeading___Toc31146_2499545058"/>
      <w:bookmarkStart w:id="9" w:name="_Toc46743507"/>
      <w:bookmarkStart w:id="10" w:name="_Toc54640280"/>
      <w:bookmarkStart w:id="11" w:name="_Toc54970201"/>
      <w:bookmarkEnd w:id="8"/>
      <w:r>
        <w:rPr/>
        <w:t>Цель использования закупаемой продукции</w:t>
      </w:r>
      <w:bookmarkStart w:id="12" w:name="_Hlk68548083"/>
      <w:bookmarkEnd w:id="9"/>
      <w:bookmarkEnd w:id="10"/>
      <w:bookmarkEnd w:id="11"/>
      <w:bookmarkEnd w:id="12"/>
    </w:p>
    <w:p>
      <w:pPr>
        <w:pStyle w:val="LHP"/>
        <w:spacing w:lineRule="auto" w:line="240" w:before="0" w:after="0"/>
        <w:ind w:left="0" w:right="0" w:hanging="0"/>
        <w:rPr/>
      </w:pPr>
      <w:r>
        <w:rPr>
          <w:i/>
          <w:iCs w:val="false"/>
          <w:sz w:val="24"/>
          <w:szCs w:val="24"/>
        </w:rPr>
        <w:tab/>
      </w:r>
      <w:r>
        <w:rPr>
          <w:rStyle w:val="Style8"/>
          <w:rFonts w:eastAsia="Times New Roman" w:cs="Times New Roman"/>
          <w:b w:val="false"/>
          <w:bCs w:val="false"/>
          <w:i w:val="false"/>
          <w:iCs w:val="false"/>
          <w:sz w:val="24"/>
          <w:szCs w:val="24"/>
          <w:shd w:fill="auto" w:val="clear"/>
          <w:lang w:eastAsia="ru-RU"/>
        </w:rPr>
        <w:t xml:space="preserve">Настоящие технические требования являются технической частью закупочной документации, согласно которой Участниками закупки должны составляться технико-коммерческие предложения на поставку реакторов заземляющих и разъединителей для их присоединения к нейтральным выводам генераторов Саяно-Шушенской ГЭС. </w:t>
      </w:r>
    </w:p>
    <w:p>
      <w:pPr>
        <w:pStyle w:val="LHP"/>
        <w:spacing w:lineRule="auto" w:line="240" w:before="0" w:after="0"/>
        <w:ind w:left="0" w:right="0" w:hanging="0"/>
        <w:rPr/>
      </w:pPr>
      <w:r>
        <w:rPr>
          <w:rStyle w:val="Style8"/>
          <w:rFonts w:eastAsia="Times New Roman" w:cs="Times New Roman"/>
          <w:b w:val="false"/>
          <w:bCs w:val="false"/>
          <w:i w:val="false"/>
          <w:iCs w:val="false"/>
          <w:sz w:val="24"/>
          <w:szCs w:val="24"/>
          <w:shd w:fill="auto" w:val="clear"/>
          <w:lang w:eastAsia="ru-RU"/>
        </w:rPr>
        <w:tab/>
        <w:t xml:space="preserve">Выполнение работ и услуг, связанных с изготовлением, комплектной поставкой, обеспечением шеф-монтажа реакторов заземляющих нулевых выводов 15,75 кВ с  разъединителями для их присоединения к нейтральным выводам гидрогенераторов Саяно-Шушенской ГЭС. Реакторы заземляющие нулевых выводов предназначены для компенсации емкостных токов. </w:t>
      </w:r>
    </w:p>
    <w:p>
      <w:pPr>
        <w:pStyle w:val="ListParagraph"/>
        <w:widowControl w:val="false"/>
        <w:tabs>
          <w:tab w:val="clear" w:pos="708"/>
          <w:tab w:val="left" w:pos="426" w:leader="none"/>
        </w:tabs>
        <w:spacing w:lineRule="auto" w:line="240" w:before="0" w:after="0"/>
        <w:ind w:left="0" w:right="0" w:hanging="0"/>
        <w:contextualSpacing w:val="false"/>
        <w:jc w:val="both"/>
        <w:rPr/>
      </w:pPr>
      <w:r>
        <w:rPr>
          <w:rStyle w:val="Style8"/>
          <w:rFonts w:eastAsia="Times New Roman" w:cs="Times New Roman"/>
          <w:b w:val="false"/>
          <w:bCs w:val="false"/>
          <w:i/>
          <w:iCs/>
          <w:sz w:val="24"/>
          <w:szCs w:val="24"/>
          <w:shd w:fill="auto" w:val="clear"/>
          <w:lang w:eastAsia="ru-RU"/>
        </w:rPr>
        <w:tab/>
      </w:r>
      <w:r>
        <w:rPr>
          <w:rStyle w:val="Style8"/>
          <w:rFonts w:eastAsia="Times New Roman" w:cs="Times New Roman"/>
          <w:b w:val="false"/>
          <w:bCs w:val="false"/>
          <w:i w:val="false"/>
          <w:iCs w:val="false"/>
          <w:sz w:val="24"/>
          <w:szCs w:val="24"/>
          <w:shd w:fill="auto" w:val="clear"/>
          <w:lang w:eastAsia="ru-RU"/>
        </w:rPr>
        <w:t>В качестве устройств компенсации емкостного тока в электроустановках 6</w:t>
        <w:noBreakHyphen/>
        <w:t>35 кВ необходимо применять плавнорегулируемые дугогасящие реакторы, преимущественно с регулируемым зазором (плунжерного типа), с автоматическими регуляторами настройки тока компенсации и с ручным регулированием тока настройки.</w:t>
      </w:r>
    </w:p>
    <w:p>
      <w:pPr>
        <w:pStyle w:val="ListParagraph"/>
        <w:widowControl w:val="false"/>
        <w:tabs>
          <w:tab w:val="clear" w:pos="708"/>
          <w:tab w:val="left" w:pos="426" w:leader="none"/>
        </w:tabs>
        <w:spacing w:lineRule="auto" w:line="240" w:before="0" w:after="0"/>
        <w:ind w:left="0" w:right="0" w:hanging="0"/>
        <w:contextualSpacing w:val="false"/>
        <w:jc w:val="both"/>
        <w:rPr>
          <w:rStyle w:val="Style8"/>
          <w:rFonts w:eastAsia="Times New Roman" w:cs="Times New Roman"/>
          <w:b w:val="false"/>
          <w:bCs w:val="false"/>
          <w:i w:val="false"/>
          <w:i w:val="false"/>
          <w:iCs w:val="false"/>
          <w:sz w:val="24"/>
          <w:szCs w:val="24"/>
          <w:shd w:fill="auto" w:val="clear"/>
          <w:lang w:eastAsia="ru-RU"/>
        </w:rPr>
      </w:pPr>
      <w:r>
        <w:rPr>
          <w:rFonts w:eastAsia="Times New Roman" w:cs="Times New Roman"/>
          <w:b w:val="false"/>
          <w:bCs w:val="false"/>
          <w:i w:val="false"/>
          <w:iCs w:val="false"/>
          <w:sz w:val="24"/>
          <w:szCs w:val="24"/>
          <w:shd w:fill="auto" w:val="clear"/>
          <w:lang w:eastAsia="ru-RU"/>
        </w:rPr>
      </w:r>
    </w:p>
    <w:p>
      <w:pPr>
        <w:pStyle w:val="Heading4"/>
        <w:numPr>
          <w:ilvl w:val="1"/>
          <w:numId w:val="3"/>
        </w:numPr>
        <w:ind w:left="1224" w:hanging="432"/>
        <w:rPr/>
      </w:pPr>
      <w:bookmarkStart w:id="13" w:name="__RefHeading___Toc31148_2499545058"/>
      <w:bookmarkStart w:id="14" w:name="_Toc54640281"/>
      <w:bookmarkStart w:id="15" w:name="_Toc46743508"/>
      <w:bookmarkStart w:id="16" w:name="_Toc54970202"/>
      <w:bookmarkEnd w:id="13"/>
      <w:r>
        <w:rPr/>
        <w:t>Существующее положение</w:t>
      </w:r>
      <w:bookmarkEnd w:id="15"/>
      <w:r>
        <w:rPr>
          <w:lang w:val="ru-RU"/>
        </w:rPr>
        <w:t xml:space="preserve"> </w:t>
      </w:r>
      <w:bookmarkEnd w:id="14"/>
      <w:bookmarkEnd w:id="16"/>
    </w:p>
    <w:p>
      <w:pPr>
        <w:pStyle w:val="ListParagraph"/>
        <w:widowControl w:val="false"/>
        <w:tabs>
          <w:tab w:val="clear" w:pos="708"/>
          <w:tab w:val="left" w:pos="426" w:leader="none"/>
        </w:tabs>
        <w:spacing w:before="120" w:after="0"/>
        <w:ind w:left="0" w:right="0" w:firstLine="567"/>
        <w:contextualSpacing w:val="false"/>
        <w:jc w:val="both"/>
        <w:rPr/>
      </w:pPr>
      <w:bookmarkStart w:id="17" w:name="_Hlk48661047"/>
      <w:bookmarkEnd w:id="17"/>
      <w:r>
        <w:rPr>
          <w:rStyle w:val="Style8"/>
          <w:rFonts w:eastAsia="Times New Roman" w:cs="Times New Roman"/>
          <w:b w:val="false"/>
          <w:bCs w:val="false"/>
          <w:i w:val="false"/>
          <w:iCs w:val="false"/>
          <w:color w:val="000000"/>
          <w:kern w:val="0"/>
          <w:sz w:val="24"/>
          <w:szCs w:val="24"/>
          <w:shd w:fill="auto" w:val="clear"/>
          <w:lang w:val="ru-RU" w:eastAsia="ru-RU" w:bidi="ar-SA"/>
        </w:rPr>
        <w:t>В настоящее время на Саяно-Шушенской ГЭС установлено 10 гидроагрегатов (далее – ГА) единичной мощностью 711 МВА. Реакторы заземляющие нулевых выводов предназначены для компенсации емкостных токов, устанавливаются в камеры нулевых выводов ГА, в настоящее время не установлены.</w:t>
      </w:r>
    </w:p>
    <w:p>
      <w:pPr>
        <w:pStyle w:val="LHP"/>
        <w:spacing w:lineRule="auto" w:line="240"/>
        <w:ind w:left="0" w:right="0" w:firstLine="567"/>
        <w:rPr/>
      </w:pPr>
      <w:r>
        <w:rPr>
          <w:rStyle w:val="Style8"/>
          <w:rFonts w:eastAsia="Times New Roman" w:cs="Times New Roman"/>
          <w:b w:val="false"/>
          <w:bCs w:val="false"/>
          <w:i w:val="false"/>
          <w:iCs w:val="false"/>
          <w:color w:val="000000"/>
          <w:kern w:val="0"/>
          <w:sz w:val="24"/>
          <w:szCs w:val="26"/>
          <w:shd w:fill="auto" w:val="clear"/>
          <w:lang w:val="ru-RU" w:eastAsia="ru-RU" w:bidi="ar-SA"/>
        </w:rPr>
        <w:t xml:space="preserve">Камера нулевых выводов представляет собой отдельное помещение, с габаритными размерами ~4200х4200 мм с бетонными стенами, разделенное перегородкой из стеклотекстолитовых плит. Для возможности доступа персонала и обслуживания электротехнического оборудования предусмотрены двери и калитки. Камеры нулевых выводов имеют стационарное рабочее и аварийное освещение. По периметру проложена полоса заземления. </w:t>
      </w:r>
    </w:p>
    <w:p>
      <w:pPr>
        <w:pStyle w:val="ListParagraph"/>
        <w:widowControl w:val="false"/>
        <w:tabs>
          <w:tab w:val="clear" w:pos="708"/>
          <w:tab w:val="left" w:pos="426" w:leader="none"/>
        </w:tabs>
        <w:spacing w:lineRule="auto" w:line="240" w:before="0" w:after="0"/>
        <w:ind w:left="0" w:right="0" w:hanging="0"/>
        <w:contextualSpacing w:val="false"/>
        <w:jc w:val="both"/>
        <w:rPr/>
      </w:pPr>
      <w:r>
        <w:rPr>
          <w:rStyle w:val="Style8"/>
          <w:rFonts w:eastAsia="Times New Roman" w:cs="Times New Roman"/>
          <w:b w:val="false"/>
          <w:bCs w:val="false"/>
          <w:i w:val="false"/>
          <w:iCs w:val="false"/>
          <w:color w:val="000000"/>
          <w:kern w:val="0"/>
          <w:sz w:val="24"/>
          <w:szCs w:val="24"/>
          <w:shd w:fill="auto" w:val="clear"/>
          <w:lang w:val="ru-RU" w:eastAsia="ru-RU" w:bidi="ar-SA"/>
        </w:rPr>
        <w:tab/>
      </w:r>
      <w:r>
        <w:rPr>
          <w:rStyle w:val="Style8"/>
          <w:b w:val="false"/>
          <w:i w:val="false"/>
          <w:iCs w:val="false"/>
          <w:shd w:fill="auto" w:val="clear"/>
        </w:rPr>
        <w:t xml:space="preserve">Иная информация, которую необходимо принять во внимание участнику закупки для подготовки полноценной заявки (условия производства работ): </w:t>
      </w:r>
    </w:p>
    <w:p>
      <w:pPr>
        <w:pStyle w:val="ListParagraph"/>
        <w:widowControl w:val="false"/>
        <w:numPr>
          <w:ilvl w:val="0"/>
          <w:numId w:val="17"/>
        </w:numPr>
        <w:tabs>
          <w:tab w:val="clear" w:pos="708"/>
          <w:tab w:val="left" w:pos="426" w:leader="none"/>
        </w:tabs>
        <w:spacing w:before="60" w:after="60"/>
        <w:ind w:left="1560" w:hanging="426"/>
        <w:contextualSpacing w:val="false"/>
        <w:jc w:val="both"/>
        <w:rPr/>
      </w:pPr>
      <w:r>
        <w:rPr>
          <w:rStyle w:val="Style8"/>
          <w:b w:val="false"/>
          <w:i w:val="false"/>
          <w:iCs w:val="false"/>
          <w:shd w:fill="auto" w:val="clear"/>
        </w:rPr>
        <w:t xml:space="preserve">производство работ / оказание услуг в существующих зданиях и сооружениях в стесненных условиях: с наличием в зоне производства работ / оказания услуг действующего технологического оборудования; </w:t>
      </w:r>
    </w:p>
    <w:p>
      <w:pPr>
        <w:pStyle w:val="ListParagraph"/>
        <w:widowControl w:val="false"/>
        <w:numPr>
          <w:ilvl w:val="0"/>
          <w:numId w:val="17"/>
        </w:numPr>
        <w:tabs>
          <w:tab w:val="clear" w:pos="708"/>
          <w:tab w:val="left" w:pos="426" w:leader="none"/>
        </w:tabs>
        <w:spacing w:before="60" w:after="60"/>
        <w:ind w:left="1560" w:hanging="426"/>
        <w:contextualSpacing w:val="false"/>
        <w:jc w:val="both"/>
        <w:rPr/>
      </w:pPr>
      <w:r>
        <w:rPr>
          <w:rStyle w:val="Style8"/>
          <w:b w:val="false"/>
          <w:i w:val="false"/>
          <w:iCs w:val="false"/>
          <w:shd w:fill="auto" w:val="clear"/>
        </w:rPr>
        <w:t xml:space="preserve"> </w:t>
      </w:r>
      <w:r>
        <w:rPr>
          <w:rStyle w:val="Style8"/>
          <w:b w:val="false"/>
          <w:i w:val="false"/>
          <w:iCs w:val="false"/>
          <w:shd w:fill="auto" w:val="clear"/>
        </w:rPr>
        <w:t>производство работ / оказание услуг в закрытых сооружениях (помещениях), находящихся ниже 3 м от поверхности земли.</w:t>
      </w:r>
    </w:p>
    <w:p>
      <w:pPr>
        <w:pStyle w:val="ListParagraph"/>
        <w:widowControl w:val="false"/>
        <w:tabs>
          <w:tab w:val="clear" w:pos="708"/>
          <w:tab w:val="left" w:pos="426" w:leader="none"/>
        </w:tabs>
        <w:spacing w:lineRule="auto" w:line="240" w:before="0" w:after="0"/>
        <w:ind w:left="0" w:right="0" w:hanging="0"/>
        <w:contextualSpacing w:val="false"/>
        <w:jc w:val="both"/>
        <w:rPr/>
      </w:pPr>
      <w:r>
        <w:rPr>
          <w:rStyle w:val="Style8"/>
          <w:rFonts w:eastAsia="Times New Roman" w:cs="Times New Roman"/>
          <w:b w:val="false"/>
          <w:bCs w:val="false"/>
          <w:i w:val="false"/>
          <w:iCs w:val="false"/>
          <w:color w:val="000000"/>
          <w:kern w:val="0"/>
          <w:sz w:val="24"/>
          <w:szCs w:val="24"/>
          <w:shd w:fill="auto" w:val="clear"/>
          <w:lang w:val="ru-RU" w:eastAsia="ru-RU" w:bidi="ar-SA"/>
        </w:rPr>
        <w:tab/>
        <w:t>Основания, в соответствии с которыми выполняются работы: инвестиционный проект 2.2-ТПиР4-2024-СШГЭС «Поставка и шеф-монтаж реакторов заземляющих нулевых выводов гидрогенераторов Саяно-Шушенской ГЭС».</w:t>
      </w:r>
    </w:p>
    <w:p>
      <w:pPr>
        <w:pStyle w:val="Normal"/>
        <w:widowControl w:val="false"/>
        <w:jc w:val="both"/>
        <w:rPr/>
      </w:pPr>
      <w:r>
        <w:rPr>
          <w:rStyle w:val="Style8"/>
          <w:b w:val="false"/>
          <w:i w:val="false"/>
          <w:iCs w:val="false"/>
          <w:shd w:fill="auto" w:val="clear"/>
        </w:rPr>
        <w:tab/>
      </w:r>
      <w:r>
        <w:rPr>
          <w:rStyle w:val="Style8"/>
          <w:rFonts w:eastAsia="Times New Roman" w:cs="Times New Roman"/>
          <w:b w:val="false"/>
          <w:bCs w:val="false"/>
          <w:i w:val="false"/>
          <w:iCs w:val="false"/>
          <w:color w:val="000000"/>
          <w:kern w:val="0"/>
          <w:sz w:val="24"/>
          <w:szCs w:val="24"/>
          <w:shd w:fill="auto" w:val="clear"/>
          <w:lang w:val="ru-RU" w:eastAsia="ru-RU" w:bidi="ar-SA"/>
        </w:rPr>
        <w:t>В результате реализации инвестиционного проекта создаются новые объекты основных средств филиала ПАО «РусГидро» - «Саяно-Шушенская ГЭС имени П.С. Непорожнего».</w:t>
      </w:r>
    </w:p>
    <w:p>
      <w:pPr>
        <w:pStyle w:val="Style29"/>
        <w:numPr>
          <w:ilvl w:val="0"/>
          <w:numId w:val="0"/>
        </w:numPr>
        <w:ind w:left="0" w:hanging="0"/>
        <w:jc w:val="left"/>
        <w:outlineLvl w:val="0"/>
        <w:rPr/>
      </w:pPr>
      <w:bookmarkStart w:id="18" w:name="__RefHeading___Toc31150_2499545058"/>
      <w:bookmarkStart w:id="19" w:name="_Toc54970203"/>
      <w:bookmarkStart w:id="20" w:name="_Toc54643126"/>
      <w:bookmarkEnd w:id="18"/>
      <w:r>
        <w:rPr/>
        <w:t xml:space="preserve">Таблица 1. Перечень </w:t>
      </w:r>
      <w:bookmarkEnd w:id="19"/>
      <w:bookmarkEnd w:id="20"/>
      <w:r>
        <w:rPr>
          <w:lang w:val="ru-RU"/>
        </w:rPr>
        <w:t>объектов заказчика</w:t>
      </w:r>
    </w:p>
    <w:p>
      <w:pPr>
        <w:pStyle w:val="Normal"/>
        <w:widowControl w:val="false"/>
        <w:jc w:val="both"/>
        <w:rPr>
          <w:rStyle w:val="Style8"/>
          <w:rFonts w:eastAsia="Times New Roman" w:cs="Times New Roman"/>
          <w:b w:val="false"/>
          <w:bCs w:val="false"/>
          <w:i w:val="false"/>
          <w:i w:val="false"/>
          <w:iCs w:val="false"/>
          <w:sz w:val="24"/>
          <w:szCs w:val="26"/>
          <w:shd w:fill="auto" w:val="clear"/>
          <w:lang w:eastAsia="ru-RU"/>
        </w:rPr>
      </w:pPr>
      <w:r>
        <w:rPr>
          <w:rFonts w:eastAsia="Times New Roman" w:cs="Times New Roman"/>
          <w:b w:val="false"/>
          <w:bCs w:val="false"/>
          <w:i w:val="false"/>
          <w:iCs w:val="false"/>
          <w:sz w:val="24"/>
          <w:szCs w:val="26"/>
          <w:shd w:fill="auto" w:val="clear"/>
          <w:lang w:eastAsia="ru-RU"/>
        </w:rPr>
      </w:r>
    </w:p>
    <w:tbl>
      <w:tblPr>
        <w:tblW w:w="9914" w:type="dxa"/>
        <w:jc w:val="left"/>
        <w:tblInd w:w="113" w:type="dxa"/>
        <w:tblLayout w:type="fixed"/>
        <w:tblCellMar>
          <w:top w:w="0" w:type="dxa"/>
          <w:left w:w="108" w:type="dxa"/>
          <w:bottom w:w="0" w:type="dxa"/>
          <w:right w:w="108" w:type="dxa"/>
        </w:tblCellMar>
        <w:tblLook w:noVBand="0" w:val="0000" w:noHBand="0" w:lastColumn="0" w:firstColumn="0" w:lastRow="0" w:firstRow="0"/>
      </w:tblPr>
      <w:tblGrid>
        <w:gridCol w:w="563"/>
        <w:gridCol w:w="4937"/>
        <w:gridCol w:w="1993"/>
        <w:gridCol w:w="2420"/>
      </w:tblGrid>
      <w:tr>
        <w:trPr/>
        <w:tc>
          <w:tcPr>
            <w:tcW w:w="563"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4"/>
              </w:rPr>
            </w:pPr>
            <w:r>
              <w:rPr>
                <w:i w:val="false"/>
                <w:iCs w:val="false"/>
                <w:sz w:val="20"/>
                <w:szCs w:val="24"/>
              </w:rPr>
              <w:t xml:space="preserve">№ </w:t>
            </w:r>
            <w:r>
              <w:rPr>
                <w:i w:val="false"/>
                <w:iCs w:val="false"/>
                <w:sz w:val="20"/>
                <w:szCs w:val="24"/>
              </w:rPr>
              <w:t>п/п</w:t>
            </w:r>
          </w:p>
        </w:tc>
        <w:tc>
          <w:tcPr>
            <w:tcW w:w="4937" w:type="dxa"/>
            <w:tcBorders>
              <w:top w:val="single" w:sz="4" w:space="0" w:color="000000"/>
              <w:left w:val="single" w:sz="4" w:space="0" w:color="000000"/>
              <w:bottom w:val="single" w:sz="4" w:space="0" w:color="000000"/>
            </w:tcBorders>
          </w:tcPr>
          <w:p>
            <w:pPr>
              <w:pStyle w:val="Normal"/>
              <w:widowControl w:val="false"/>
              <w:jc w:val="center"/>
              <w:rPr>
                <w:sz w:val="20"/>
                <w:szCs w:val="24"/>
              </w:rPr>
            </w:pPr>
            <w:r>
              <w:rPr>
                <w:i w:val="false"/>
                <w:iCs w:val="false"/>
                <w:sz w:val="20"/>
                <w:szCs w:val="24"/>
              </w:rPr>
              <w:t>Наименование объекта</w:t>
            </w:r>
          </w:p>
        </w:tc>
        <w:tc>
          <w:tcPr>
            <w:tcW w:w="1993" w:type="dxa"/>
            <w:tcBorders>
              <w:top w:val="single" w:sz="4" w:space="0" w:color="000000"/>
              <w:left w:val="single" w:sz="4" w:space="0" w:color="000000"/>
              <w:bottom w:val="single" w:sz="4" w:space="0" w:color="000000"/>
            </w:tcBorders>
          </w:tcPr>
          <w:p>
            <w:pPr>
              <w:pStyle w:val="Normal"/>
              <w:widowControl w:val="false"/>
              <w:jc w:val="center"/>
              <w:rPr>
                <w:sz w:val="20"/>
                <w:szCs w:val="24"/>
              </w:rPr>
            </w:pPr>
            <w:r>
              <w:rPr>
                <w:i w:val="false"/>
                <w:iCs w:val="false"/>
                <w:sz w:val="20"/>
                <w:szCs w:val="24"/>
              </w:rPr>
              <w:t>Наименование основного средства (в отношении которого выполняются работы, оказываются услуги)</w:t>
            </w:r>
          </w:p>
        </w:tc>
        <w:tc>
          <w:tcPr>
            <w:tcW w:w="24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4"/>
              </w:rPr>
            </w:pPr>
            <w:r>
              <w:rPr>
                <w:i w:val="false"/>
                <w:iCs w:val="false"/>
                <w:sz w:val="20"/>
                <w:szCs w:val="24"/>
              </w:rPr>
              <w:t>Примечания</w:t>
            </w:r>
          </w:p>
          <w:p>
            <w:pPr>
              <w:pStyle w:val="Normal"/>
              <w:widowControl w:val="false"/>
              <w:jc w:val="center"/>
              <w:rPr>
                <w:sz w:val="20"/>
                <w:szCs w:val="24"/>
              </w:rPr>
            </w:pPr>
            <w:r>
              <w:rPr>
                <w:i w:val="false"/>
                <w:iCs w:val="false"/>
                <w:sz w:val="20"/>
                <w:szCs w:val="24"/>
              </w:rPr>
              <w:t>(Код ТОУ/ОКОФ)</w:t>
            </w:r>
          </w:p>
        </w:tc>
      </w:tr>
      <w:tr>
        <w:trPr/>
        <w:tc>
          <w:tcPr>
            <w:tcW w:w="5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4"/>
              </w:rPr>
            </w:pPr>
            <w:r>
              <w:rPr>
                <w:b/>
                <w:i/>
                <w:iCs/>
                <w:sz w:val="20"/>
                <w:szCs w:val="24"/>
              </w:rPr>
              <w:t>1</w:t>
            </w:r>
          </w:p>
        </w:tc>
        <w:tc>
          <w:tcPr>
            <w:tcW w:w="4937" w:type="dxa"/>
            <w:tcBorders>
              <w:top w:val="single" w:sz="4" w:space="0" w:color="000000"/>
              <w:left w:val="single" w:sz="4" w:space="0" w:color="000000"/>
              <w:bottom w:val="single" w:sz="4" w:space="0" w:color="000000"/>
            </w:tcBorders>
          </w:tcPr>
          <w:p>
            <w:pPr>
              <w:pStyle w:val="Normal"/>
              <w:widowControl w:val="false"/>
              <w:jc w:val="center"/>
              <w:rPr>
                <w:sz w:val="20"/>
                <w:szCs w:val="24"/>
              </w:rPr>
            </w:pPr>
            <w:r>
              <w:rPr>
                <w:b/>
                <w:i/>
                <w:iCs/>
                <w:sz w:val="20"/>
                <w:szCs w:val="24"/>
              </w:rPr>
              <w:t>2</w:t>
            </w:r>
          </w:p>
        </w:tc>
        <w:tc>
          <w:tcPr>
            <w:tcW w:w="1993" w:type="dxa"/>
            <w:tcBorders>
              <w:top w:val="single" w:sz="4" w:space="0" w:color="000000"/>
              <w:left w:val="single" w:sz="4" w:space="0" w:color="000000"/>
              <w:bottom w:val="single" w:sz="4" w:space="0" w:color="000000"/>
            </w:tcBorders>
          </w:tcPr>
          <w:p>
            <w:pPr>
              <w:pStyle w:val="Normal"/>
              <w:widowControl w:val="false"/>
              <w:jc w:val="center"/>
              <w:rPr>
                <w:i/>
                <w:i/>
                <w:iCs/>
                <w:sz w:val="20"/>
                <w:szCs w:val="24"/>
              </w:rPr>
            </w:pPr>
            <w:r>
              <w:rPr>
                <w:i/>
                <w:iCs/>
                <w:sz w:val="20"/>
                <w:szCs w:val="24"/>
              </w:rPr>
            </w:r>
          </w:p>
        </w:tc>
        <w:tc>
          <w:tcPr>
            <w:tcW w:w="24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i/>
                <w:i/>
                <w:iCs/>
                <w:sz w:val="20"/>
                <w:szCs w:val="24"/>
              </w:rPr>
            </w:pPr>
            <w:r>
              <w:rPr>
                <w:b/>
                <w:i/>
                <w:iCs/>
                <w:sz w:val="20"/>
                <w:szCs w:val="24"/>
              </w:rPr>
            </w:r>
          </w:p>
        </w:tc>
      </w:tr>
      <w:tr>
        <w:trPr>
          <w:trHeight w:val="402" w:hRule="atLeast"/>
        </w:trPr>
        <w:tc>
          <w:tcPr>
            <w:tcW w:w="56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top w:val="single" w:sz="4" w:space="0" w:color="000000"/>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Реактор заземляющий нулевых выводов ГА1 СШГЭС</w:t>
            </w:r>
          </w:p>
        </w:tc>
        <w:tc>
          <w:tcPr>
            <w:tcW w:w="1993" w:type="dxa"/>
            <w:tcBorders>
              <w:top w:val="single" w:sz="4" w:space="0" w:color="000000"/>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4120206/330.30.20.31.117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Реактор заземляющий нулевых выводов ГА2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4120206/330.30.20.31.117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Реактор заземляющий нулевых выводов ГА3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4120206/330.30.20.31.117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Реактор заземляющий нулевых выводов ГА4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4120206/330.30.20.31.117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Реактор заземляющий нулевых выводов ГА5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4120206/330.30.20.31.117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Реактор заземляющий нулевых выводов ГА6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4120206/330.30.20.31.117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Реактор заземляющий нулевых выводов ГА7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4120206/330.30.20.31.117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Реактор заземляющий нулевых выводов ГА8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4120206/330.30.20.31.117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Реактор заземляющий нулевых выводов ГА9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4120206/330.30.20.31.117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Реактор заземляющий нулевых выводов ГА10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4120206/330.30.20.31.117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Разъединитель нулевых выводов гидрогенератора ГА1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4120205/330.30.20.31.117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Разъединитель нулевых выводов гидрогенератора ГА2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4120205/330.30.20.31.117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Разъединитель нулевых выводов гидрогенератора ГА3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4120205/330.30.20.31.117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Разъединитель нулевых выводов гидрогенератора ГА4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4120205/330.30.20.31.117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Разъединитель нулевых выводов гидрогенератора ГА5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4120205/330.30.20.31.117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Разъединитель нулевых выводов гидрогенератора ГА6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4120205/330.30.20.31.117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Разъединитель нулевых выводов гидрогенератора ГА7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4120205/330.30.20.31.117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Разъединитель нулевых выводов гидрогенератора ГА8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4120205/330.30.20.31.117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Разъединитель нулевых выводов гидрогенератора ГА9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4120205/330.30.20.31.117</w:t>
            </w:r>
          </w:p>
        </w:tc>
      </w:tr>
      <w:tr>
        <w:trPr>
          <w:trHeight w:val="402" w:hRule="atLeast"/>
        </w:trPr>
        <w:tc>
          <w:tcPr>
            <w:tcW w:w="563" w:type="dxa"/>
            <w:tcBorders>
              <w:left w:val="single" w:sz="4" w:space="0" w:color="000000"/>
              <w:bottom w:val="single" w:sz="4" w:space="0" w:color="000000"/>
              <w:right w:val="single" w:sz="4" w:space="0" w:color="000000"/>
            </w:tcBorders>
          </w:tcPr>
          <w:p>
            <w:pPr>
              <w:pStyle w:val="ListParagraph"/>
              <w:widowControl w:val="false"/>
              <w:numPr>
                <w:ilvl w:val="0"/>
                <w:numId w:val="12"/>
              </w:numPr>
              <w:suppressAutoHyphens w:val="true"/>
              <w:rPr>
                <w:i/>
                <w:i/>
                <w:iCs/>
                <w:sz w:val="20"/>
                <w:szCs w:val="24"/>
              </w:rPr>
            </w:pPr>
            <w:r>
              <w:rPr>
                <w:i/>
                <w:iCs/>
                <w:sz w:val="20"/>
                <w:szCs w:val="24"/>
              </w:rPr>
            </w:r>
          </w:p>
        </w:tc>
        <w:tc>
          <w:tcPr>
            <w:tcW w:w="4937"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Разъединитель нулевых выводов гидрогенератора ГА10 СШГЭС</w:t>
            </w:r>
          </w:p>
        </w:tc>
        <w:tc>
          <w:tcPr>
            <w:tcW w:w="1993" w:type="dxa"/>
            <w:tcBorders>
              <w:left w:val="single" w:sz="4" w:space="0" w:color="000000"/>
              <w:bottom w:val="single" w:sz="4" w:space="0" w:color="000000"/>
            </w:tcBorders>
            <w:shd w:color="auto" w:fill="auto" w:val="clear"/>
          </w:tcPr>
          <w:p>
            <w:pPr>
              <w:pStyle w:val="Normal"/>
              <w:widowControl w:val="false"/>
              <w:bidi w:val="0"/>
              <w:jc w:val="left"/>
              <w:rPr>
                <w:sz w:val="20"/>
                <w:szCs w:val="24"/>
              </w:rPr>
            </w:pPr>
            <w:r>
              <w:rPr>
                <w:i/>
                <w:iCs/>
                <w:sz w:val="20"/>
                <w:szCs w:val="24"/>
              </w:rPr>
              <w:t>Новый объект</w:t>
            </w:r>
          </w:p>
        </w:tc>
        <w:tc>
          <w:tcPr>
            <w:tcW w:w="2420"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0"/>
                <w:szCs w:val="24"/>
              </w:rPr>
            </w:pPr>
            <w:r>
              <w:rPr>
                <w:i/>
                <w:iCs/>
                <w:sz w:val="20"/>
                <w:szCs w:val="24"/>
              </w:rPr>
              <w:t>4120205/330.30.20.31.117</w:t>
            </w:r>
          </w:p>
        </w:tc>
      </w:tr>
    </w:tbl>
    <w:p>
      <w:pPr>
        <w:pStyle w:val="Heading4"/>
        <w:keepNext w:val="true"/>
        <w:widowControl/>
        <w:numPr>
          <w:ilvl w:val="0"/>
          <w:numId w:val="0"/>
        </w:numPr>
        <w:suppressAutoHyphens w:val="true"/>
        <w:bidi w:val="0"/>
        <w:spacing w:before="120" w:after="60"/>
        <w:ind w:left="57" w:right="0" w:hanging="0"/>
        <w:jc w:val="left"/>
        <w:rPr>
          <w:b w:val="false"/>
          <w:iCs/>
          <w:sz w:val="2"/>
          <w:szCs w:val="24"/>
        </w:rPr>
      </w:pPr>
      <w:r>
        <w:rPr>
          <w:b w:val="false"/>
          <w:iCs/>
          <w:sz w:val="2"/>
          <w:szCs w:val="24"/>
        </w:rPr>
      </w:r>
      <w:bookmarkStart w:id="21" w:name="_Hlk48209761"/>
      <w:bookmarkStart w:id="22" w:name="_Hlk48209761"/>
      <w:bookmarkEnd w:id="22"/>
    </w:p>
    <w:p>
      <w:pPr>
        <w:pStyle w:val="Heading4"/>
        <w:numPr>
          <w:ilvl w:val="1"/>
          <w:numId w:val="3"/>
        </w:numPr>
        <w:ind w:left="1224" w:hanging="432"/>
        <w:rPr/>
      </w:pPr>
      <w:bookmarkStart w:id="23" w:name="__RefHeading___Toc31152_2499545058"/>
      <w:bookmarkStart w:id="24" w:name="_Toc53587975"/>
      <w:bookmarkStart w:id="25" w:name="_Hlk48209761_Копия_1"/>
      <w:bookmarkStart w:id="26" w:name="_Toc53759279"/>
      <w:bookmarkStart w:id="27" w:name="_Toc54970205"/>
      <w:bookmarkEnd w:id="23"/>
      <w:bookmarkEnd w:id="24"/>
      <w:bookmarkEnd w:id="25"/>
      <w:bookmarkEnd w:id="26"/>
      <w:r>
        <w:rPr/>
        <w:t>Иные требования и сведения общего характера</w:t>
      </w:r>
      <w:r>
        <w:rPr>
          <w:lang w:val="ru-RU"/>
        </w:rPr>
        <w:t xml:space="preserve"> </w:t>
      </w:r>
      <w:bookmarkEnd w:id="27"/>
    </w:p>
    <w:p>
      <w:pPr>
        <w:pStyle w:val="LHP"/>
        <w:spacing w:lineRule="auto" w:line="240"/>
        <w:ind w:left="284" w:right="0" w:firstLine="851"/>
        <w:rPr>
          <w:i w:val="false"/>
          <w:i w:val="false"/>
          <w:iCs w:val="false"/>
        </w:rPr>
      </w:pPr>
      <w:r>
        <w:rPr>
          <w:i w:val="false"/>
          <w:iCs w:val="false"/>
          <w:sz w:val="24"/>
          <w:szCs w:val="24"/>
        </w:rPr>
        <w:t>Основные задачи Поставщика оборудования:</w:t>
      </w:r>
    </w:p>
    <w:p>
      <w:pPr>
        <w:pStyle w:val="ListParagraph"/>
        <w:numPr>
          <w:ilvl w:val="0"/>
          <w:numId w:val="6"/>
        </w:numPr>
        <w:tabs>
          <w:tab w:val="clear" w:pos="708"/>
          <w:tab w:val="left" w:pos="0" w:leader="none"/>
          <w:tab w:val="left" w:pos="1418" w:leader="none"/>
        </w:tabs>
        <w:suppressAutoHyphens w:val="true"/>
        <w:spacing w:lineRule="auto" w:line="240" w:before="0" w:after="0"/>
        <w:ind w:left="284" w:firstLine="851"/>
        <w:contextualSpacing w:val="false"/>
        <w:jc w:val="both"/>
        <w:rPr>
          <w:i w:val="false"/>
          <w:i w:val="false"/>
          <w:iCs w:val="false"/>
        </w:rPr>
      </w:pPr>
      <w:r>
        <w:rPr>
          <w:bCs/>
          <w:i w:val="false"/>
          <w:iCs w:val="false"/>
          <w:sz w:val="24"/>
          <w:szCs w:val="24"/>
        </w:rPr>
        <w:t xml:space="preserve">Разработка </w:t>
      </w:r>
      <w:r>
        <w:rPr>
          <w:i w:val="false"/>
          <w:iCs w:val="false"/>
          <w:sz w:val="24"/>
          <w:szCs w:val="24"/>
        </w:rPr>
        <w:t>проектно-конструкторской и эксплуатационной документации на оборудование, согласование документации с Заказчиком;</w:t>
      </w:r>
    </w:p>
    <w:p>
      <w:pPr>
        <w:pStyle w:val="ListParagraph"/>
        <w:numPr>
          <w:ilvl w:val="0"/>
          <w:numId w:val="6"/>
        </w:numPr>
        <w:tabs>
          <w:tab w:val="clear" w:pos="708"/>
          <w:tab w:val="left" w:pos="1418" w:leader="none"/>
        </w:tabs>
        <w:spacing w:lineRule="auto" w:line="240"/>
        <w:ind w:left="284" w:firstLine="851"/>
        <w:jc w:val="both"/>
        <w:rPr>
          <w:i w:val="false"/>
          <w:i w:val="false"/>
          <w:iCs w:val="false"/>
        </w:rPr>
      </w:pPr>
      <w:r>
        <w:rPr>
          <w:i w:val="false"/>
          <w:iCs w:val="false"/>
          <w:sz w:val="24"/>
          <w:szCs w:val="24"/>
        </w:rPr>
        <w:t>Изготовление оборудования на основании рабочей документации, согласованной Заказчиком;</w:t>
      </w:r>
    </w:p>
    <w:p>
      <w:pPr>
        <w:pStyle w:val="LHP"/>
        <w:numPr>
          <w:ilvl w:val="0"/>
          <w:numId w:val="6"/>
        </w:numPr>
        <w:tabs>
          <w:tab w:val="clear" w:pos="708"/>
          <w:tab w:val="left" w:pos="1418" w:leader="none"/>
        </w:tabs>
        <w:spacing w:lineRule="auto" w:line="240"/>
        <w:ind w:left="284" w:right="0" w:firstLine="851"/>
        <w:rPr>
          <w:i w:val="false"/>
          <w:i w:val="false"/>
          <w:iCs w:val="false"/>
        </w:rPr>
      </w:pPr>
      <w:r>
        <w:rPr>
          <w:i w:val="false"/>
          <w:iCs w:val="false"/>
          <w:sz w:val="24"/>
          <w:szCs w:val="24"/>
        </w:rPr>
        <w:t>Участие в проведении заводских приемочных испытаний;</w:t>
      </w:r>
    </w:p>
    <w:p>
      <w:pPr>
        <w:pStyle w:val="LHP"/>
        <w:numPr>
          <w:ilvl w:val="0"/>
          <w:numId w:val="6"/>
        </w:numPr>
        <w:tabs>
          <w:tab w:val="clear" w:pos="708"/>
          <w:tab w:val="left" w:pos="1418" w:leader="none"/>
        </w:tabs>
        <w:spacing w:lineRule="auto" w:line="240"/>
        <w:ind w:left="284" w:right="0" w:firstLine="851"/>
        <w:rPr>
          <w:i w:val="false"/>
          <w:i w:val="false"/>
          <w:iCs w:val="false"/>
        </w:rPr>
      </w:pPr>
      <w:r>
        <w:rPr>
          <w:i w:val="false"/>
          <w:iCs w:val="false"/>
          <w:sz w:val="24"/>
          <w:szCs w:val="24"/>
        </w:rPr>
        <w:t>Страхование транспортировки поставляемого оборудования;</w:t>
      </w:r>
    </w:p>
    <w:p>
      <w:pPr>
        <w:pStyle w:val="LHP"/>
        <w:numPr>
          <w:ilvl w:val="0"/>
          <w:numId w:val="6"/>
        </w:numPr>
        <w:tabs>
          <w:tab w:val="clear" w:pos="708"/>
          <w:tab w:val="left" w:pos="1418" w:leader="none"/>
        </w:tabs>
        <w:spacing w:lineRule="auto" w:line="240"/>
        <w:ind w:left="284" w:right="0" w:firstLine="851"/>
        <w:rPr>
          <w:i w:val="false"/>
          <w:i w:val="false"/>
          <w:iCs w:val="false"/>
        </w:rPr>
      </w:pPr>
      <w:r>
        <w:rPr>
          <w:i w:val="false"/>
          <w:iCs w:val="false"/>
          <w:sz w:val="24"/>
          <w:szCs w:val="24"/>
        </w:rPr>
        <w:t>Комплексная поставка оборудования и материалов с транспортировкой до строительной площадки Саяно-Шушенской ГЭС;</w:t>
      </w:r>
    </w:p>
    <w:p>
      <w:pPr>
        <w:pStyle w:val="LHP"/>
        <w:numPr>
          <w:ilvl w:val="0"/>
          <w:numId w:val="6"/>
        </w:numPr>
        <w:tabs>
          <w:tab w:val="clear" w:pos="708"/>
          <w:tab w:val="left" w:pos="1418" w:leader="none"/>
        </w:tabs>
        <w:spacing w:lineRule="auto" w:line="240"/>
        <w:ind w:left="284" w:right="0" w:firstLine="851"/>
        <w:rPr>
          <w:i w:val="false"/>
          <w:i w:val="false"/>
          <w:iCs w:val="false"/>
        </w:rPr>
      </w:pPr>
      <w:r>
        <w:rPr>
          <w:i w:val="false"/>
          <w:iCs w:val="false"/>
          <w:sz w:val="24"/>
          <w:szCs w:val="24"/>
        </w:rPr>
        <w:t>Обеспечение шеф – монтажа;</w:t>
      </w:r>
    </w:p>
    <w:p>
      <w:pPr>
        <w:pStyle w:val="LHP"/>
        <w:numPr>
          <w:ilvl w:val="0"/>
          <w:numId w:val="6"/>
        </w:numPr>
        <w:tabs>
          <w:tab w:val="clear" w:pos="708"/>
          <w:tab w:val="left" w:pos="1418" w:leader="none"/>
        </w:tabs>
        <w:spacing w:lineRule="auto" w:line="240"/>
        <w:ind w:left="284" w:right="0" w:firstLine="851"/>
        <w:rPr>
          <w:i w:val="false"/>
          <w:i w:val="false"/>
          <w:iCs w:val="false"/>
        </w:rPr>
      </w:pPr>
      <w:r>
        <w:rPr>
          <w:i w:val="false"/>
          <w:iCs w:val="false"/>
          <w:sz w:val="24"/>
          <w:szCs w:val="24"/>
        </w:rPr>
        <w:t>Участие в индивидуальных испытаниях; участие в комплексном опробовании оборудования;</w:t>
      </w:r>
    </w:p>
    <w:p>
      <w:pPr>
        <w:pStyle w:val="LHP"/>
        <w:numPr>
          <w:ilvl w:val="0"/>
          <w:numId w:val="6"/>
        </w:numPr>
        <w:tabs>
          <w:tab w:val="clear" w:pos="708"/>
          <w:tab w:val="left" w:pos="1418" w:leader="none"/>
        </w:tabs>
        <w:spacing w:lineRule="auto" w:line="240"/>
        <w:ind w:left="284" w:right="0" w:firstLine="851"/>
        <w:rPr/>
      </w:pPr>
      <w:r>
        <w:rPr>
          <w:rStyle w:val="Style8"/>
          <w:rFonts w:eastAsia="Times New Roman" w:cs="Times New Roman"/>
          <w:b w:val="false"/>
          <w:bCs w:val="false"/>
          <w:i w:val="false"/>
          <w:iCs w:val="false"/>
          <w:sz w:val="24"/>
          <w:szCs w:val="24"/>
          <w:shd w:fill="auto" w:val="clear"/>
          <w:lang w:eastAsia="ru-RU"/>
        </w:rPr>
        <w:t>Гарантийное обслуживание оборудования.</w:t>
      </w:r>
    </w:p>
    <w:p>
      <w:pPr>
        <w:pStyle w:val="Heading1"/>
        <w:numPr>
          <w:ilvl w:val="0"/>
          <w:numId w:val="3"/>
        </w:numPr>
        <w:spacing w:before="120" w:after="120"/>
        <w:ind w:left="3759" w:hanging="357"/>
        <w:rPr/>
      </w:pPr>
      <w:bookmarkStart w:id="28" w:name="__RefHeading___Toc31154_2499545058"/>
      <w:bookmarkStart w:id="29" w:name="_Toc54279835"/>
      <w:bookmarkStart w:id="30" w:name="_Toc51921656"/>
      <w:bookmarkStart w:id="31" w:name="_Toc54970206"/>
      <w:bookmarkStart w:id="32" w:name="_Toc54640284"/>
      <w:bookmarkEnd w:id="28"/>
      <w:r>
        <w:rPr/>
        <w:t>Требования к продукции</w:t>
      </w:r>
      <w:bookmarkEnd w:id="29"/>
      <w:bookmarkEnd w:id="30"/>
      <w:bookmarkEnd w:id="31"/>
      <w:bookmarkEnd w:id="32"/>
    </w:p>
    <w:p>
      <w:pPr>
        <w:pStyle w:val="ListParagraph"/>
        <w:widowControl w:val="false"/>
        <w:numPr>
          <w:ilvl w:val="0"/>
        </w:numPr>
        <w:tabs>
          <w:tab w:val="clear" w:pos="708"/>
          <w:tab w:val="left" w:pos="426" w:leader="none"/>
        </w:tabs>
        <w:spacing w:before="60" w:after="0"/>
        <w:ind w:left="720" w:hanging="0"/>
        <w:contextualSpacing w:val="false"/>
        <w:jc w:val="both"/>
        <w:rPr/>
      </w:pPr>
      <w:r>
        <w:rPr>
          <w:rStyle w:val="Style8"/>
          <w:b w:val="false"/>
          <w:bCs/>
          <w:i w:val="false"/>
          <w:iCs w:val="false"/>
          <w:sz w:val="24"/>
          <w:szCs w:val="24"/>
          <w:shd w:fill="auto" w:val="clear"/>
        </w:rPr>
        <w:tab/>
        <w:t>Закупка продукции производится в соответствии с «Техническими требованиями для выбора поставщика реакторов заземляющих нулевых выводов гидрогенераторов» 1950-25-107т-ЭО, АО «Ленгидропроект» (приложение №1 к настоящим техническим требованиями (далее — Т</w:t>
      </w:r>
      <w:r>
        <w:rPr>
          <w:rStyle w:val="Style8"/>
          <w:rFonts w:eastAsia="Calibri" w:cs="Times New Roman"/>
          <w:b w:val="false"/>
          <w:bCs/>
          <w:i w:val="false"/>
          <w:iCs w:val="false"/>
          <w:color w:val="000000"/>
          <w:kern w:val="0"/>
          <w:sz w:val="24"/>
          <w:szCs w:val="24"/>
          <w:shd w:fill="auto" w:val="clear"/>
          <w:lang w:val="ru-RU" w:eastAsia="ru-RU" w:bidi="ar-SA"/>
        </w:rPr>
        <w:t>Т)).</w:t>
      </w:r>
    </w:p>
    <w:p>
      <w:pPr>
        <w:pStyle w:val="ListParagraph"/>
        <w:widowControl w:val="false"/>
        <w:tabs>
          <w:tab w:val="clear" w:pos="708"/>
          <w:tab w:val="left" w:pos="426" w:leader="none"/>
        </w:tabs>
        <w:spacing w:before="60" w:after="0"/>
        <w:ind w:left="720" w:hanging="0"/>
        <w:contextualSpacing w:val="false"/>
        <w:jc w:val="both"/>
        <w:rPr/>
      </w:pPr>
      <w:r>
        <w:rPr>
          <w:rStyle w:val="Style8"/>
          <w:rFonts w:eastAsia="Calibri" w:cs="Times New Roman"/>
          <w:b w:val="false"/>
          <w:bCs/>
          <w:i w:val="false"/>
          <w:iCs w:val="false"/>
          <w:color w:val="000000"/>
          <w:kern w:val="0"/>
          <w:sz w:val="24"/>
          <w:szCs w:val="24"/>
          <w:shd w:fill="auto" w:val="clear"/>
          <w:lang w:val="ru-RU" w:eastAsia="ru-RU" w:bidi="ar-SA"/>
        </w:rPr>
        <w:tab/>
        <w:t xml:space="preserve">Исполнение реакторов должно соответствовать СТО РусГидро 01.01.157-2025. Руководящие указания по выбору режима заземления нейтрали электроустановок напряжением 6-35 кВ (в части </w:t>
      </w:r>
      <w:hyperlink w:anchor="_Toc217475573">
        <w:r>
          <w:rPr>
            <w:rStyle w:val="Style14"/>
            <w:rFonts w:eastAsia="Calibri" w:cs="Times New Roman"/>
            <w:b w:val="false"/>
            <w:bCs/>
            <w:i w:val="false"/>
            <w:iCs w:val="false"/>
            <w:color w:val="000000"/>
            <w:kern w:val="0"/>
            <w:sz w:val="24"/>
            <w:szCs w:val="24"/>
            <w:shd w:fill="auto" w:val="clear"/>
            <w:lang w:val="ru-RU" w:eastAsia="ru-RU" w:bidi="ar-SA"/>
          </w:rPr>
          <w:t>Технических требований к силовому оборудованию для заземления нейтрали и автоматике управления устройствами компенсации ёмкостного тока</w:t>
        </w:r>
      </w:hyperlink>
      <w:r>
        <w:rPr>
          <w:rStyle w:val="Style8"/>
          <w:rFonts w:eastAsia="Calibri" w:cs="Times New Roman"/>
          <w:b w:val="false"/>
          <w:bCs/>
          <w:i w:val="false"/>
          <w:iCs w:val="false"/>
          <w:color w:val="000000"/>
          <w:kern w:val="0"/>
          <w:sz w:val="24"/>
          <w:szCs w:val="24"/>
          <w:shd w:fill="auto" w:val="clear"/>
          <w:lang w:val="ru-RU" w:eastAsia="ru-RU" w:bidi="ar-SA"/>
        </w:rPr>
        <w:t>, раздел 12), приложение №2 к настоящим ТТ.</w:t>
      </w:r>
    </w:p>
    <w:p>
      <w:pPr>
        <w:pStyle w:val="ListParagraph"/>
        <w:widowControl w:val="false"/>
        <w:tabs>
          <w:tab w:val="clear" w:pos="708"/>
          <w:tab w:val="left" w:pos="426" w:leader="none"/>
        </w:tabs>
        <w:spacing w:before="60" w:after="0"/>
        <w:ind w:left="720" w:hanging="0"/>
        <w:contextualSpacing w:val="false"/>
        <w:jc w:val="both"/>
        <w:rPr/>
      </w:pPr>
      <w:r>
        <w:rPr/>
      </w:r>
    </w:p>
    <w:p>
      <w:pPr>
        <w:pStyle w:val="Heading4"/>
        <w:numPr>
          <w:ilvl w:val="1"/>
          <w:numId w:val="3"/>
        </w:numPr>
        <w:ind w:left="1224" w:hanging="432"/>
        <w:rPr/>
      </w:pPr>
      <w:bookmarkStart w:id="33" w:name="__RefHeading___Toc31156_2499545058"/>
      <w:bookmarkStart w:id="34" w:name="_Toc54970207"/>
      <w:bookmarkEnd w:id="33"/>
      <w:r>
        <w:rPr/>
        <w:t>Требования по объемам и срокам</w:t>
      </w:r>
      <w:bookmarkEnd w:id="34"/>
    </w:p>
    <w:p>
      <w:pPr>
        <w:pStyle w:val="Heading3"/>
        <w:numPr>
          <w:ilvl w:val="2"/>
          <w:numId w:val="3"/>
        </w:numPr>
        <w:ind w:left="1224" w:hanging="504"/>
        <w:rPr/>
      </w:pPr>
      <w:bookmarkStart w:id="35" w:name="__RefHeading___Toc31158_2499545058"/>
      <w:bookmarkStart w:id="36" w:name="_Toc54970208"/>
      <w:bookmarkStart w:id="37" w:name="_Toc51921657"/>
      <w:bookmarkEnd w:id="35"/>
      <w:r>
        <w:rPr/>
        <w:t xml:space="preserve">Требования к видам и объемам </w:t>
      </w:r>
      <w:r>
        <w:rPr>
          <w:lang w:val="ru-RU"/>
        </w:rPr>
        <w:t>поставок продукции,</w:t>
      </w:r>
      <w:bookmarkEnd w:id="37"/>
      <w:r>
        <w:rPr>
          <w:lang w:val="ru-RU"/>
        </w:rPr>
        <w:t xml:space="preserve"> услуг</w:t>
      </w:r>
      <w:bookmarkEnd w:id="36"/>
    </w:p>
    <w:p>
      <w:pPr>
        <w:pStyle w:val="Heading1"/>
        <w:numPr>
          <w:ilvl w:val="0"/>
          <w:numId w:val="0"/>
        </w:numPr>
        <w:ind w:left="0" w:hanging="0"/>
        <w:rPr/>
      </w:pPr>
      <w:bookmarkStart w:id="38" w:name="__RefHeading___Toc31160_2499545058"/>
      <w:bookmarkStart w:id="39" w:name="_Toc54970210_Копия_1"/>
      <w:bookmarkStart w:id="40" w:name="_Toc54640287_Копия_1"/>
      <w:bookmarkEnd w:id="38"/>
      <w:r>
        <w:rPr>
          <w:sz w:val="24"/>
          <w:szCs w:val="24"/>
        </w:rPr>
        <w:t xml:space="preserve">Таблица </w:t>
      </w:r>
      <w:r>
        <w:rPr>
          <w:sz w:val="24"/>
          <w:szCs w:val="24"/>
          <w:lang w:val="ru-RU"/>
        </w:rPr>
        <w:t>2</w:t>
      </w:r>
      <w:r>
        <w:rPr>
          <w:sz w:val="24"/>
          <w:szCs w:val="24"/>
        </w:rPr>
        <w:t xml:space="preserve"> Перечень и объем </w:t>
      </w:r>
      <w:r>
        <w:rPr>
          <w:sz w:val="24"/>
          <w:szCs w:val="24"/>
          <w:lang w:val="ru-RU"/>
        </w:rPr>
        <w:t>закупаем</w:t>
      </w:r>
      <w:bookmarkEnd w:id="39"/>
      <w:bookmarkEnd w:id="40"/>
      <w:r>
        <w:rPr>
          <w:sz w:val="24"/>
          <w:szCs w:val="24"/>
          <w:lang w:val="ru-RU"/>
        </w:rPr>
        <w:t>ой продукции, услуг</w:t>
      </w:r>
      <w:bookmarkStart w:id="41" w:name="_Toc54970210"/>
      <w:bookmarkStart w:id="42" w:name="_Toc54640287"/>
      <w:bookmarkEnd w:id="41"/>
      <w:bookmarkEnd w:id="42"/>
    </w:p>
    <w:tbl>
      <w:tblPr>
        <w:tblW w:w="10065" w:type="dxa"/>
        <w:jc w:val="left"/>
        <w:tblInd w:w="221" w:type="dxa"/>
        <w:tblLayout w:type="fixed"/>
        <w:tblCellMar>
          <w:top w:w="0" w:type="dxa"/>
          <w:left w:w="108" w:type="dxa"/>
          <w:bottom w:w="0" w:type="dxa"/>
          <w:right w:w="108" w:type="dxa"/>
        </w:tblCellMar>
        <w:tblLook w:noVBand="0" w:val="0000" w:noHBand="0" w:lastColumn="0" w:firstColumn="0" w:lastRow="0" w:firstRow="0"/>
      </w:tblPr>
      <w:tblGrid>
        <w:gridCol w:w="707"/>
        <w:gridCol w:w="5756"/>
        <w:gridCol w:w="1777"/>
        <w:gridCol w:w="1824"/>
      </w:tblGrid>
      <w:tr>
        <w:trPr>
          <w:tblHeader w:val="true"/>
          <w:trHeight w:val="624" w:hRule="atLeast"/>
        </w:trPr>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pPr>
            <w:r>
              <w:rPr>
                <w:sz w:val="24"/>
                <w:szCs w:val="24"/>
              </w:rPr>
              <w:t>№</w:t>
            </w:r>
          </w:p>
          <w:p>
            <w:pPr>
              <w:pStyle w:val="Normal"/>
              <w:keepNext w:val="true"/>
              <w:widowControl w:val="false"/>
              <w:suppressAutoHyphens w:val="true"/>
              <w:jc w:val="center"/>
              <w:rPr/>
            </w:pPr>
            <w:r>
              <w:rPr>
                <w:sz w:val="24"/>
                <w:szCs w:val="24"/>
              </w:rPr>
              <w:t>п/п</w:t>
            </w:r>
          </w:p>
        </w:tc>
        <w:tc>
          <w:tcPr>
            <w:tcW w:w="575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pPr>
            <w:r>
              <w:rPr>
                <w:sz w:val="24"/>
                <w:szCs w:val="24"/>
              </w:rPr>
              <w:t>Наименование продукции</w:t>
            </w:r>
          </w:p>
        </w:tc>
        <w:tc>
          <w:tcPr>
            <w:tcW w:w="1777"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pPr>
            <w:r>
              <w:rPr>
                <w:sz w:val="24"/>
                <w:szCs w:val="24"/>
              </w:rPr>
              <w:t>Единица измерения</w:t>
            </w:r>
          </w:p>
        </w:tc>
        <w:tc>
          <w:tcPr>
            <w:tcW w:w="182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true"/>
              <w:widowControl w:val="false"/>
              <w:suppressAutoHyphens w:val="true"/>
              <w:jc w:val="center"/>
              <w:rPr/>
            </w:pPr>
            <w:r>
              <w:rPr>
                <w:sz w:val="24"/>
                <w:szCs w:val="24"/>
              </w:rPr>
              <w:t>Количество</w:t>
            </w:r>
          </w:p>
        </w:tc>
      </w:tr>
      <w:tr>
        <w:trPr>
          <w:trHeight w:val="624" w:hRule="atLeast"/>
        </w:trPr>
        <w:tc>
          <w:tcPr>
            <w:tcW w:w="707" w:type="dxa"/>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i/>
                <w:i/>
                <w:iCs/>
              </w:rPr>
            </w:pPr>
            <w:r>
              <w:rPr>
                <w:rFonts w:eastAsia="Times New Roman" w:cs="Times New Roman"/>
                <w:b/>
                <w:i/>
                <w:iCs/>
                <w:color w:val="auto"/>
                <w:sz w:val="24"/>
                <w:szCs w:val="24"/>
                <w:lang w:val="ru-RU" w:eastAsia="ru-RU" w:bidi="ar-SA"/>
              </w:rPr>
              <w:t>1</w:t>
            </w:r>
          </w:p>
        </w:tc>
        <w:tc>
          <w:tcPr>
            <w:tcW w:w="5756" w:type="dxa"/>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i/>
                <w:i/>
                <w:iCs/>
              </w:rPr>
            </w:pPr>
            <w:r>
              <w:rPr>
                <w:rFonts w:eastAsia="Times New Roman" w:cs="Times New Roman"/>
                <w:b/>
                <w:i/>
                <w:iCs/>
                <w:color w:val="auto"/>
                <w:sz w:val="24"/>
                <w:szCs w:val="24"/>
                <w:lang w:val="ru-RU" w:eastAsia="ru-RU" w:bidi="ar-SA"/>
              </w:rPr>
              <w:t>2</w:t>
            </w:r>
          </w:p>
        </w:tc>
        <w:tc>
          <w:tcPr>
            <w:tcW w:w="1777" w:type="dxa"/>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i/>
                <w:i/>
                <w:iCs/>
              </w:rPr>
            </w:pPr>
            <w:r>
              <w:rPr>
                <w:rFonts w:eastAsia="Times New Roman" w:cs="Times New Roman"/>
                <w:b/>
                <w:i/>
                <w:iCs/>
                <w:color w:val="auto"/>
                <w:sz w:val="24"/>
                <w:szCs w:val="24"/>
                <w:lang w:val="ru-RU" w:eastAsia="ru-RU" w:bidi="ar-SA"/>
              </w:rPr>
              <w:t>3</w:t>
            </w:r>
          </w:p>
        </w:tc>
        <w:tc>
          <w:tcPr>
            <w:tcW w:w="1824"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jc w:val="center"/>
              <w:rPr>
                <w:i/>
                <w:i/>
                <w:iCs/>
              </w:rPr>
            </w:pPr>
            <w:r>
              <w:rPr>
                <w:rFonts w:eastAsia="Times New Roman" w:cs="Times New Roman"/>
                <w:b/>
                <w:i/>
                <w:iCs/>
                <w:color w:val="auto"/>
                <w:sz w:val="24"/>
                <w:szCs w:val="24"/>
                <w:lang w:val="ru-RU" w:eastAsia="ru-RU" w:bidi="ar-SA"/>
              </w:rPr>
              <w:t>4</w:t>
            </w:r>
          </w:p>
        </w:tc>
      </w:tr>
      <w:tr>
        <w:trPr>
          <w:trHeight w:val="447" w:hRule="atLeast"/>
        </w:trPr>
        <w:tc>
          <w:tcPr>
            <w:tcW w:w="10064" w:type="dxa"/>
            <w:gridSpan w:val="4"/>
            <w:tcBorders>
              <w:left w:val="single" w:sz="4" w:space="0" w:color="000000"/>
              <w:bottom w:val="single" w:sz="4" w:space="0" w:color="000000"/>
              <w:right w:val="single" w:sz="4" w:space="0" w:color="000000"/>
            </w:tcBorders>
            <w:vAlign w:val="center"/>
          </w:tcPr>
          <w:p>
            <w:pPr>
              <w:pStyle w:val="Normal"/>
              <w:keepNext w:val="true"/>
              <w:widowControl w:val="false"/>
              <w:numPr>
                <w:ilvl w:val="0"/>
                <w:numId w:val="0"/>
              </w:numPr>
              <w:ind w:left="0" w:hanging="0"/>
              <w:jc w:val="left"/>
              <w:outlineLvl w:val="3"/>
              <w:rPr>
                <w:rFonts w:ascii="Times New Roman" w:hAnsi="Times New Roman" w:eastAsia="Times New Roman" w:cs="Times New Roman"/>
                <w:i/>
                <w:i/>
                <w:iCs/>
                <w:color w:val="auto"/>
                <w:kern w:val="0"/>
                <w:sz w:val="24"/>
                <w:szCs w:val="28"/>
                <w:lang w:val="ru-RU" w:eastAsia="ru-RU" w:bidi="ar-SA"/>
              </w:rPr>
            </w:pPr>
            <w:bookmarkStart w:id="43" w:name="__RefHeading___Toc31162_2499545058"/>
            <w:bookmarkEnd w:id="43"/>
            <w:r>
              <w:rPr>
                <w:rFonts w:eastAsia="Times New Roman" w:cs="Times New Roman"/>
                <w:i/>
                <w:iCs/>
                <w:color w:val="auto"/>
                <w:kern w:val="0"/>
                <w:sz w:val="24"/>
                <w:szCs w:val="28"/>
                <w:lang w:val="ru-RU" w:eastAsia="ru-RU" w:bidi="ar-SA"/>
              </w:rPr>
              <w:t>Оборудование, включая комплектующие для его установки</w:t>
            </w:r>
          </w:p>
        </w:tc>
      </w:tr>
      <w:tr>
        <w:trPr>
          <w:trHeight w:val="454" w:hRule="atLeast"/>
          <w:cantSplit w:val="true"/>
        </w:trPr>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eastAsia="Times New Roman" w:cs="Times New Roman"/>
                <w:color w:val="auto"/>
                <w:kern w:val="0"/>
                <w:sz w:val="24"/>
                <w:szCs w:val="28"/>
                <w:lang w:val="ru-RU" w:eastAsia="ru-RU" w:bidi="ar-SA"/>
              </w:rPr>
            </w:pPr>
            <w:r>
              <w:rPr>
                <w:rFonts w:eastAsia="Times New Roman" w:cs="Times New Roman"/>
                <w:color w:val="auto"/>
                <w:kern w:val="0"/>
                <w:sz w:val="24"/>
                <w:szCs w:val="28"/>
                <w:lang w:val="ru-RU" w:eastAsia="ru-RU" w:bidi="ar-SA"/>
              </w:rPr>
              <w:t>1</w:t>
            </w:r>
          </w:p>
        </w:tc>
        <w:tc>
          <w:tcPr>
            <w:tcW w:w="5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eastAsia="Times New Roman" w:cs="Times New Roman"/>
                <w:color w:val="auto"/>
                <w:kern w:val="0"/>
                <w:sz w:val="24"/>
                <w:szCs w:val="28"/>
                <w:lang w:val="ru-RU" w:eastAsia="ru-RU" w:bidi="ar-SA"/>
              </w:rPr>
            </w:pPr>
            <w:r>
              <w:rPr>
                <w:rFonts w:eastAsia="Times New Roman" w:cs="Times New Roman"/>
                <w:color w:val="auto"/>
                <w:kern w:val="0"/>
                <w:sz w:val="24"/>
                <w:szCs w:val="28"/>
                <w:lang w:val="ru-RU" w:eastAsia="ru-RU" w:bidi="ar-SA"/>
              </w:rPr>
              <w:t>Реактор заземляющих нулевых выводов 15,75 кВ</w:t>
            </w:r>
          </w:p>
        </w:tc>
        <w:tc>
          <w:tcPr>
            <w:tcW w:w="17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eastAsia="Times New Roman" w:cs="Times New Roman"/>
                <w:color w:val="auto"/>
                <w:kern w:val="0"/>
                <w:sz w:val="24"/>
                <w:szCs w:val="28"/>
                <w:lang w:val="ru-RU" w:eastAsia="ru-RU" w:bidi="ar-SA"/>
              </w:rPr>
            </w:pPr>
            <w:r>
              <w:rPr>
                <w:rFonts w:eastAsia="Times New Roman" w:cs="Times New Roman"/>
                <w:color w:val="auto"/>
                <w:kern w:val="0"/>
                <w:sz w:val="24"/>
                <w:szCs w:val="28"/>
                <w:lang w:val="ru-RU" w:eastAsia="ru-RU" w:bidi="ar-SA"/>
              </w:rPr>
              <w:t>компл.</w:t>
            </w:r>
          </w:p>
        </w:tc>
        <w:tc>
          <w:tcPr>
            <w:tcW w:w="182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eastAsia="Times New Roman" w:cs="Times New Roman"/>
                <w:color w:val="auto"/>
                <w:kern w:val="0"/>
                <w:sz w:val="24"/>
                <w:szCs w:val="28"/>
                <w:lang w:val="ru-RU" w:eastAsia="ru-RU" w:bidi="ar-SA"/>
              </w:rPr>
            </w:pPr>
            <w:r>
              <w:rPr>
                <w:rFonts w:eastAsia="Times New Roman" w:cs="Times New Roman"/>
                <w:color w:val="auto"/>
                <w:kern w:val="0"/>
                <w:sz w:val="24"/>
                <w:szCs w:val="28"/>
                <w:lang w:val="ru-RU" w:eastAsia="ru-RU" w:bidi="ar-SA"/>
              </w:rPr>
              <w:t>10</w:t>
            </w:r>
          </w:p>
        </w:tc>
      </w:tr>
      <w:tr>
        <w:trPr>
          <w:trHeight w:val="454" w:hRule="atLeast"/>
          <w:cantSplit w:val="true"/>
        </w:trPr>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eastAsia="Times New Roman" w:cs="Times New Roman"/>
                <w:color w:val="auto"/>
                <w:kern w:val="0"/>
                <w:sz w:val="24"/>
                <w:szCs w:val="28"/>
                <w:lang w:val="ru-RU" w:eastAsia="ru-RU" w:bidi="ar-SA"/>
              </w:rPr>
            </w:pPr>
            <w:r>
              <w:rPr>
                <w:rFonts w:eastAsia="Times New Roman" w:cs="Times New Roman"/>
                <w:color w:val="auto"/>
                <w:kern w:val="0"/>
                <w:sz w:val="24"/>
                <w:szCs w:val="28"/>
                <w:lang w:val="ru-RU" w:eastAsia="ru-RU" w:bidi="ar-SA"/>
              </w:rPr>
              <w:t>2</w:t>
            </w:r>
          </w:p>
        </w:tc>
        <w:tc>
          <w:tcPr>
            <w:tcW w:w="5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eastAsia="Times New Roman" w:cs="Times New Roman"/>
                <w:color w:val="auto"/>
                <w:kern w:val="0"/>
                <w:sz w:val="24"/>
                <w:szCs w:val="28"/>
                <w:lang w:val="ru-RU" w:eastAsia="ru-RU" w:bidi="ar-SA"/>
              </w:rPr>
            </w:pPr>
            <w:r>
              <w:rPr>
                <w:rFonts w:eastAsia="Times New Roman" w:cs="Times New Roman"/>
                <w:color w:val="auto"/>
                <w:kern w:val="0"/>
                <w:sz w:val="24"/>
                <w:szCs w:val="28"/>
                <w:lang w:val="ru-RU" w:eastAsia="ru-RU" w:bidi="ar-SA"/>
              </w:rPr>
              <w:t>Разъединитель</w:t>
            </w:r>
          </w:p>
        </w:tc>
        <w:tc>
          <w:tcPr>
            <w:tcW w:w="17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rFonts w:eastAsia="Times New Roman" w:cs="Times New Roman"/>
                <w:color w:val="auto"/>
                <w:kern w:val="0"/>
                <w:sz w:val="24"/>
                <w:szCs w:val="28"/>
                <w:lang w:val="ru-RU" w:eastAsia="ru-RU" w:bidi="ar-SA"/>
              </w:rPr>
              <w:t>компл.</w:t>
            </w:r>
          </w:p>
        </w:tc>
        <w:tc>
          <w:tcPr>
            <w:tcW w:w="182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eastAsia="Times New Roman" w:cs="Times New Roman"/>
                <w:color w:val="auto"/>
                <w:kern w:val="0"/>
                <w:sz w:val="24"/>
                <w:szCs w:val="28"/>
                <w:lang w:val="ru-RU" w:eastAsia="ru-RU" w:bidi="ar-SA"/>
              </w:rPr>
            </w:pPr>
            <w:r>
              <w:rPr>
                <w:rFonts w:eastAsia="Times New Roman" w:cs="Times New Roman"/>
                <w:color w:val="auto"/>
                <w:kern w:val="0"/>
                <w:sz w:val="24"/>
                <w:szCs w:val="28"/>
                <w:lang w:val="ru-RU" w:eastAsia="ru-RU" w:bidi="ar-SA"/>
              </w:rPr>
              <w:t>10</w:t>
            </w:r>
          </w:p>
        </w:tc>
      </w:tr>
      <w:tr>
        <w:trPr>
          <w:trHeight w:val="439" w:hRule="atLeast"/>
          <w:cantSplit w:val="true"/>
        </w:trPr>
        <w:tc>
          <w:tcPr>
            <w:tcW w:w="10064" w:type="dxa"/>
            <w:gridSpan w:val="4"/>
            <w:tcBorders>
              <w:left w:val="single" w:sz="4" w:space="0" w:color="000000"/>
              <w:bottom w:val="single" w:sz="4" w:space="0" w:color="000000"/>
              <w:right w:val="single" w:sz="4" w:space="0" w:color="000000"/>
            </w:tcBorders>
          </w:tcPr>
          <w:p>
            <w:pPr>
              <w:pStyle w:val="Normal"/>
              <w:widowControl w:val="false"/>
              <w:jc w:val="left"/>
              <w:rPr>
                <w:rFonts w:ascii="Times New Roman" w:hAnsi="Times New Roman" w:eastAsia="Times New Roman" w:cs="Times New Roman"/>
                <w:i/>
                <w:i/>
                <w:iCs/>
                <w:color w:val="auto"/>
                <w:kern w:val="0"/>
                <w:sz w:val="24"/>
                <w:szCs w:val="28"/>
                <w:lang w:val="ru-RU" w:eastAsia="ru-RU" w:bidi="ar-SA"/>
              </w:rPr>
            </w:pPr>
            <w:r>
              <w:rPr>
                <w:rFonts w:eastAsia="Times New Roman" w:cs="Times New Roman"/>
                <w:i/>
                <w:iCs/>
                <w:color w:val="auto"/>
                <w:kern w:val="0"/>
                <w:sz w:val="24"/>
                <w:szCs w:val="28"/>
                <w:lang w:val="ru-RU" w:eastAsia="ru-RU" w:bidi="ar-SA"/>
              </w:rPr>
              <w:t>Выполнение работ, оказание услуг</w:t>
            </w:r>
          </w:p>
        </w:tc>
      </w:tr>
      <w:tr>
        <w:trPr>
          <w:trHeight w:val="624" w:hRule="atLeast"/>
          <w:cantSplit w:val="true"/>
        </w:trPr>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8"/>
              </w:rPr>
            </w:pPr>
            <w:r>
              <w:rPr>
                <w:rFonts w:eastAsia="Times New Roman" w:cs="Times New Roman"/>
                <w:sz w:val="24"/>
                <w:szCs w:val="28"/>
                <w:lang w:eastAsia="ru-RU"/>
              </w:rPr>
              <w:t>3</w:t>
            </w:r>
          </w:p>
        </w:tc>
        <w:tc>
          <w:tcPr>
            <w:tcW w:w="5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4"/>
                <w:szCs w:val="28"/>
              </w:rPr>
            </w:pPr>
            <w:r>
              <w:rPr>
                <w:rFonts w:eastAsia="Times New Roman" w:cs="Times New Roman"/>
                <w:sz w:val="24"/>
                <w:szCs w:val="28"/>
                <w:lang w:eastAsia="ru-RU"/>
              </w:rPr>
              <w:t>Оказание шеф-монтажных и шеф-наладочных услуг</w:t>
            </w:r>
          </w:p>
        </w:tc>
        <w:tc>
          <w:tcPr>
            <w:tcW w:w="17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8"/>
              </w:rPr>
            </w:pPr>
            <w:r>
              <w:rPr>
                <w:rFonts w:eastAsia="Times New Roman" w:cs="Times New Roman"/>
                <w:sz w:val="24"/>
                <w:szCs w:val="28"/>
                <w:lang w:eastAsia="ru-RU"/>
              </w:rPr>
              <w:t>комплекс услуг</w:t>
            </w:r>
          </w:p>
        </w:tc>
        <w:tc>
          <w:tcPr>
            <w:tcW w:w="182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8"/>
              </w:rPr>
            </w:pPr>
            <w:r>
              <w:rPr>
                <w:rFonts w:eastAsia="Times New Roman" w:cs="Times New Roman"/>
                <w:sz w:val="24"/>
                <w:szCs w:val="28"/>
                <w:lang w:eastAsia="ru-RU"/>
              </w:rPr>
              <w:t>1</w:t>
            </w:r>
          </w:p>
        </w:tc>
      </w:tr>
    </w:tbl>
    <w:p>
      <w:pPr>
        <w:pStyle w:val="LHP"/>
        <w:spacing w:lineRule="auto" w:line="240"/>
        <w:ind w:left="284" w:right="0" w:firstLine="851"/>
        <w:rPr/>
      </w:pPr>
      <w:r>
        <w:rPr/>
      </w:r>
    </w:p>
    <w:p>
      <w:pPr>
        <w:pStyle w:val="LHP"/>
        <w:spacing w:lineRule="auto" w:line="240"/>
        <w:ind w:left="284" w:right="0" w:firstLine="851"/>
        <w:rPr/>
      </w:pPr>
      <w:r>
        <w:rPr/>
        <w:t>Поставщик должен обеспечить комплектность поставки и включить в объем поставки все, что необходимо для нормальной эксплуатации оборудования (в пределах границ поставки), даже если это специально не оговорено в данных технических требованиях.</w:t>
      </w:r>
    </w:p>
    <w:p>
      <w:pPr>
        <w:pStyle w:val="LHP"/>
        <w:spacing w:lineRule="auto" w:line="240"/>
        <w:ind w:left="284" w:right="0" w:firstLine="851"/>
        <w:rPr/>
      </w:pPr>
      <w:r>
        <w:rPr/>
        <w:t>До начала изготовления Поставщик должен согласовать все технические параметры изготавливаемого оборудования и его комплектующих с Заказчиком.</w:t>
      </w:r>
    </w:p>
    <w:p>
      <w:pPr>
        <w:pStyle w:val="LHP"/>
        <w:spacing w:lineRule="auto" w:line="240"/>
        <w:ind w:left="284" w:right="0" w:firstLine="851"/>
        <w:rPr/>
      </w:pPr>
      <w:r>
        <w:rPr/>
        <w:t xml:space="preserve">Окончательная длина гибких кабельных перемычек и тип уточняется и согласовывается Поставщиком с Заказчиком . </w:t>
      </w:r>
    </w:p>
    <w:p>
      <w:pPr>
        <w:pStyle w:val="LHP"/>
        <w:spacing w:lineRule="auto" w:line="240"/>
        <w:ind w:left="284" w:right="0" w:firstLine="851"/>
        <w:rPr/>
      </w:pPr>
      <w:r>
        <w:rPr/>
        <w:t>Изменения в объеме возможны в пределах не более 10% от объема, указанного выше.</w:t>
      </w:r>
    </w:p>
    <w:p>
      <w:pPr>
        <w:pStyle w:val="LHP"/>
        <w:spacing w:lineRule="auto" w:line="240"/>
        <w:ind w:left="284" w:right="0" w:firstLine="851"/>
        <w:rPr/>
      </w:pPr>
      <w:r>
        <w:rPr/>
        <w:t>В комплект поставки должны войти все опорные и подвесные металлоконструкции для монтажа гибких кабельных перемычек, а также необходимые элементы заземления.</w:t>
      </w:r>
    </w:p>
    <w:p>
      <w:pPr>
        <w:pStyle w:val="LHP"/>
        <w:spacing w:lineRule="auto" w:line="240"/>
        <w:ind w:left="284" w:right="0" w:firstLine="851"/>
        <w:rPr/>
      </w:pPr>
      <w:r>
        <w:rPr/>
        <w:t>В составе заявки должен быть справочно включен ЗИП на период гарантийного обслуживания.</w:t>
      </w:r>
    </w:p>
    <w:p>
      <w:pPr>
        <w:pStyle w:val="LHP"/>
        <w:spacing w:lineRule="auto" w:line="240"/>
        <w:ind w:left="284" w:right="0" w:firstLine="851"/>
        <w:rPr/>
      </w:pPr>
      <w:r>
        <w:rPr/>
      </w:r>
    </w:p>
    <w:p>
      <w:pPr>
        <w:pStyle w:val="Heading3"/>
        <w:numPr>
          <w:ilvl w:val="2"/>
          <w:numId w:val="3"/>
        </w:numPr>
        <w:ind w:left="1224" w:hanging="504"/>
        <w:rPr/>
      </w:pPr>
      <w:bookmarkStart w:id="44" w:name="__RefHeading___Toc31166_2499545058"/>
      <w:bookmarkStart w:id="45" w:name="_Toc54970211"/>
      <w:bookmarkStart w:id="46" w:name="_Toc53759289"/>
      <w:bookmarkStart w:id="47" w:name="_Toc53587985"/>
      <w:bookmarkStart w:id="48" w:name="_Toc51921659"/>
      <w:bookmarkEnd w:id="44"/>
      <w:bookmarkEnd w:id="46"/>
      <w:bookmarkEnd w:id="47"/>
      <w:r>
        <w:rPr/>
        <w:t xml:space="preserve">Требования к срокам поставки </w:t>
      </w:r>
      <w:r>
        <w:rPr>
          <w:lang w:val="ru-RU"/>
        </w:rPr>
        <w:t>продукции</w:t>
      </w:r>
      <w:r>
        <w:rPr/>
        <w:t>, выполнению работ, оказанию услуг</w:t>
      </w:r>
      <w:bookmarkEnd w:id="45"/>
      <w:bookmarkEnd w:id="48"/>
    </w:p>
    <w:p>
      <w:pPr>
        <w:pStyle w:val="Normal"/>
        <w:keepNext w:val="true"/>
        <w:widowControl w:val="false"/>
        <w:tabs>
          <w:tab w:val="clear" w:pos="708"/>
          <w:tab w:val="left" w:pos="426" w:leader="none"/>
        </w:tabs>
        <w:spacing w:before="120" w:after="120"/>
        <w:rPr/>
      </w:pPr>
      <w:bookmarkStart w:id="49" w:name="_Hlk50465669_Копия_1"/>
      <w:bookmarkStart w:id="50" w:name="_Toc50125127_Копия_1"/>
      <w:bookmarkEnd w:id="49"/>
      <w:r>
        <w:rPr>
          <w:b/>
          <w:sz w:val="24"/>
          <w:szCs w:val="24"/>
        </w:rPr>
        <w:t xml:space="preserve">Таблица 3 </w:t>
      </w:r>
      <w:bookmarkStart w:id="51" w:name="_Hlk50465284_Копия_1"/>
      <w:r>
        <w:rPr>
          <w:b/>
          <w:sz w:val="24"/>
          <w:szCs w:val="24"/>
        </w:rPr>
        <w:t xml:space="preserve">Требования к срокам поставки </w:t>
      </w:r>
      <w:bookmarkEnd w:id="50"/>
      <w:bookmarkEnd w:id="51"/>
      <w:r>
        <w:rPr>
          <w:b/>
          <w:sz w:val="24"/>
          <w:szCs w:val="24"/>
        </w:rPr>
        <w:t>продукции, оказания сопутствующих услуг</w:t>
      </w:r>
    </w:p>
    <w:tbl>
      <w:tblPr>
        <w:tblW w:w="9918" w:type="dxa"/>
        <w:jc w:val="left"/>
        <w:tblInd w:w="113" w:type="dxa"/>
        <w:tblLayout w:type="fixed"/>
        <w:tblCellMar>
          <w:top w:w="0" w:type="dxa"/>
          <w:left w:w="108" w:type="dxa"/>
          <w:bottom w:w="0" w:type="dxa"/>
          <w:right w:w="108" w:type="dxa"/>
        </w:tblCellMar>
        <w:tblLook w:noVBand="1" w:val="04a0" w:noHBand="0" w:lastColumn="0" w:firstColumn="1" w:lastRow="0" w:firstRow="1"/>
      </w:tblPr>
      <w:tblGrid>
        <w:gridCol w:w="1106"/>
        <w:gridCol w:w="2344"/>
        <w:gridCol w:w="3125"/>
        <w:gridCol w:w="3342"/>
      </w:tblGrid>
      <w:tr>
        <w:trPr/>
        <w:tc>
          <w:tcPr>
            <w:tcW w:w="110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true"/>
              <w:widowControl w:val="false"/>
              <w:jc w:val="center"/>
              <w:rPr/>
            </w:pPr>
            <w:r>
              <w:rPr>
                <w:sz w:val="24"/>
                <w:szCs w:val="24"/>
              </w:rPr>
              <w:t xml:space="preserve">№ </w:t>
            </w:r>
            <w:r>
              <w:rPr>
                <w:sz w:val="24"/>
                <w:szCs w:val="24"/>
              </w:rPr>
              <w:t>п/п</w:t>
            </w:r>
          </w:p>
        </w:tc>
        <w:tc>
          <w:tcPr>
            <w:tcW w:w="23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true"/>
              <w:widowControl w:val="false"/>
              <w:jc w:val="center"/>
              <w:rPr/>
            </w:pPr>
            <w:r>
              <w:rPr>
                <w:sz w:val="24"/>
                <w:szCs w:val="24"/>
              </w:rPr>
              <w:t>Наименование продукции/услуги</w:t>
            </w:r>
          </w:p>
        </w:tc>
        <w:tc>
          <w:tcPr>
            <w:tcW w:w="3125" w:type="dxa"/>
            <w:tcBorders>
              <w:top w:val="single" w:sz="4" w:space="0" w:color="000000"/>
              <w:left w:val="single" w:sz="4" w:space="0" w:color="000000"/>
              <w:bottom w:val="single" w:sz="4" w:space="0" w:color="000000"/>
              <w:right w:val="single" w:sz="4" w:space="0" w:color="000000"/>
            </w:tcBorders>
            <w:vAlign w:val="center"/>
          </w:tcPr>
          <w:p>
            <w:pPr>
              <w:pStyle w:val="Style30"/>
              <w:widowControl w:val="false"/>
              <w:spacing w:before="40" w:after="40"/>
              <w:jc w:val="center"/>
              <w:rPr/>
            </w:pPr>
            <w:r>
              <w:rPr>
                <w:sz w:val="24"/>
                <w:szCs w:val="24"/>
              </w:rPr>
              <w:t>Требования к началу срока поставки продукции</w:t>
            </w:r>
          </w:p>
        </w:tc>
        <w:tc>
          <w:tcPr>
            <w:tcW w:w="33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30"/>
              <w:widowControl w:val="false"/>
              <w:spacing w:before="40" w:after="40"/>
              <w:jc w:val="center"/>
              <w:rPr/>
            </w:pPr>
            <w:r>
              <w:rPr>
                <w:sz w:val="24"/>
                <w:szCs w:val="24"/>
              </w:rPr>
              <w:t>Требования к окончанию срока поставки продукции</w:t>
            </w:r>
          </w:p>
        </w:tc>
      </w:tr>
      <w:tr>
        <w:trPr/>
        <w:tc>
          <w:tcPr>
            <w:tcW w:w="1106"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widowControl w:val="false"/>
              <w:jc w:val="center"/>
              <w:rPr/>
            </w:pPr>
            <w:r>
              <w:rPr>
                <w:b/>
                <w:sz w:val="24"/>
                <w:szCs w:val="24"/>
              </w:rPr>
              <w:t>1</w:t>
            </w:r>
          </w:p>
        </w:tc>
        <w:tc>
          <w:tcPr>
            <w:tcW w:w="2344"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widowControl w:val="false"/>
              <w:jc w:val="center"/>
              <w:rPr/>
            </w:pPr>
            <w:r>
              <w:rPr>
                <w:b/>
                <w:sz w:val="24"/>
                <w:szCs w:val="24"/>
              </w:rPr>
              <w:t>2</w:t>
            </w:r>
          </w:p>
        </w:tc>
        <w:tc>
          <w:tcPr>
            <w:tcW w:w="3125" w:type="dxa"/>
            <w:tcBorders>
              <w:top w:val="single" w:sz="4" w:space="0" w:color="000000"/>
              <w:left w:val="single" w:sz="4" w:space="0" w:color="000000"/>
              <w:bottom w:val="single" w:sz="4" w:space="0" w:color="000000"/>
              <w:right w:val="single" w:sz="4" w:space="0" w:color="000000"/>
            </w:tcBorders>
          </w:tcPr>
          <w:p>
            <w:pPr>
              <w:pStyle w:val="Style30"/>
              <w:widowControl w:val="false"/>
              <w:spacing w:before="40" w:after="40"/>
              <w:jc w:val="center"/>
              <w:rPr/>
            </w:pPr>
            <w:r>
              <w:rPr>
                <w:b/>
                <w:sz w:val="24"/>
                <w:szCs w:val="24"/>
              </w:rPr>
              <w:t>3</w:t>
            </w:r>
          </w:p>
        </w:tc>
        <w:tc>
          <w:tcPr>
            <w:tcW w:w="3342" w:type="dxa"/>
            <w:tcBorders>
              <w:top w:val="single" w:sz="4" w:space="0" w:color="000000"/>
              <w:left w:val="single" w:sz="4" w:space="0" w:color="000000"/>
              <w:bottom w:val="single" w:sz="4" w:space="0" w:color="000000"/>
              <w:right w:val="single" w:sz="4" w:space="0" w:color="000000"/>
            </w:tcBorders>
            <w:shd w:color="auto" w:fill="auto" w:val="clear"/>
          </w:tcPr>
          <w:p>
            <w:pPr>
              <w:pStyle w:val="Style30"/>
              <w:widowControl w:val="false"/>
              <w:spacing w:before="40" w:after="40"/>
              <w:jc w:val="center"/>
              <w:rPr/>
            </w:pPr>
            <w:r>
              <w:rPr>
                <w:b/>
                <w:sz w:val="24"/>
                <w:szCs w:val="24"/>
              </w:rPr>
              <w:t>4</w:t>
            </w:r>
          </w:p>
        </w:tc>
      </w:tr>
      <w:tr>
        <w:trPr/>
        <w:tc>
          <w:tcPr>
            <w:tcW w:w="11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i/>
                <w:iCs/>
                <w:sz w:val="24"/>
                <w:szCs w:val="24"/>
              </w:rPr>
              <w:t>1.</w:t>
            </w:r>
          </w:p>
        </w:tc>
        <w:tc>
          <w:tcPr>
            <w:tcW w:w="23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bidi w:val="0"/>
              <w:jc w:val="left"/>
              <w:rPr>
                <w:i w:val="false"/>
                <w:i w:val="false"/>
                <w:iCs w:val="false"/>
              </w:rPr>
            </w:pPr>
            <w:r>
              <w:rPr>
                <w:b w:val="false"/>
                <w:bCs w:val="false"/>
                <w:i w:val="false"/>
                <w:iCs w:val="false"/>
                <w:sz w:val="24"/>
                <w:szCs w:val="24"/>
              </w:rPr>
              <w:t>Поставка оборудования</w:t>
            </w:r>
          </w:p>
        </w:tc>
        <w:tc>
          <w:tcPr>
            <w:tcW w:w="3125" w:type="dxa"/>
            <w:tcBorders>
              <w:top w:val="single" w:sz="4" w:space="0" w:color="000000"/>
              <w:left w:val="single" w:sz="4" w:space="0" w:color="000000"/>
              <w:bottom w:val="single" w:sz="4" w:space="0" w:color="000000"/>
              <w:right w:val="single" w:sz="4" w:space="0" w:color="000000"/>
            </w:tcBorders>
          </w:tcPr>
          <w:p>
            <w:pPr>
              <w:pStyle w:val="Normal"/>
              <w:widowControl w:val="false"/>
              <w:rPr>
                <w:i w:val="false"/>
                <w:i w:val="false"/>
                <w:iCs w:val="false"/>
              </w:rPr>
            </w:pPr>
            <w:r>
              <w:rPr>
                <w:b w:val="false"/>
                <w:bCs w:val="false"/>
                <w:i w:val="false"/>
                <w:iCs w:val="false"/>
                <w:sz w:val="24"/>
                <w:szCs w:val="24"/>
              </w:rPr>
              <w:t>С даты подписания договора</w:t>
            </w:r>
          </w:p>
        </w:tc>
        <w:tc>
          <w:tcPr>
            <w:tcW w:w="3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i w:val="false"/>
                <w:i w:val="false"/>
                <w:iCs w:val="false"/>
              </w:rPr>
            </w:pPr>
            <w:r>
              <w:rPr>
                <w:b w:val="false"/>
                <w:bCs w:val="false"/>
                <w:i w:val="false"/>
                <w:iCs w:val="false"/>
                <w:sz w:val="24"/>
                <w:szCs w:val="24"/>
              </w:rPr>
              <w:t>Не позднее 31.10.2028</w:t>
            </w:r>
          </w:p>
        </w:tc>
      </w:tr>
      <w:tr>
        <w:trPr/>
        <w:tc>
          <w:tcPr>
            <w:tcW w:w="1106"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i/>
                <w:iCs/>
                <w:sz w:val="24"/>
                <w:szCs w:val="24"/>
              </w:rPr>
              <w:t>2.</w:t>
            </w:r>
          </w:p>
        </w:tc>
        <w:tc>
          <w:tcPr>
            <w:tcW w:w="2344"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true"/>
              <w:rPr>
                <w:i w:val="false"/>
                <w:i w:val="false"/>
                <w:iCs w:val="false"/>
              </w:rPr>
            </w:pPr>
            <w:r>
              <w:rPr>
                <w:i w:val="false"/>
                <w:iCs w:val="false"/>
                <w:sz w:val="24"/>
                <w:szCs w:val="24"/>
              </w:rPr>
              <w:t>Шеф</w:t>
            </w:r>
            <w:r>
              <w:rPr>
                <w:i w:val="false"/>
                <w:iCs w:val="false"/>
                <w:sz w:val="24"/>
                <w:szCs w:val="24"/>
                <w:lang w:val="en-US"/>
              </w:rPr>
              <w:t>-</w:t>
            </w:r>
            <w:r>
              <w:rPr>
                <w:i w:val="false"/>
                <w:iCs w:val="false"/>
                <w:sz w:val="24"/>
                <w:szCs w:val="24"/>
              </w:rPr>
              <w:t>монтаж</w:t>
            </w:r>
          </w:p>
        </w:tc>
        <w:tc>
          <w:tcPr>
            <w:tcW w:w="3125" w:type="dxa"/>
            <w:tcBorders>
              <w:left w:val="single" w:sz="4" w:space="0" w:color="000000"/>
              <w:bottom w:val="single" w:sz="4" w:space="0" w:color="000000"/>
              <w:right w:val="single" w:sz="4" w:space="0" w:color="000000"/>
            </w:tcBorders>
          </w:tcPr>
          <w:p>
            <w:pPr>
              <w:pStyle w:val="Normal"/>
              <w:widowControl w:val="false"/>
              <w:rPr>
                <w:i w:val="false"/>
                <w:i w:val="false"/>
                <w:iCs w:val="false"/>
              </w:rPr>
            </w:pPr>
            <w:r>
              <w:rPr>
                <w:i w:val="false"/>
                <w:iCs w:val="false"/>
                <w:sz w:val="24"/>
                <w:szCs w:val="24"/>
              </w:rPr>
              <w:t>С даты заключения договора</w:t>
            </w:r>
          </w:p>
        </w:tc>
        <w:tc>
          <w:tcPr>
            <w:tcW w:w="3342" w:type="dxa"/>
            <w:tcBorders>
              <w:left w:val="single" w:sz="4" w:space="0" w:color="000000"/>
              <w:bottom w:val="single" w:sz="4" w:space="0" w:color="000000"/>
              <w:right w:val="single" w:sz="4" w:space="0" w:color="000000"/>
            </w:tcBorders>
            <w:shd w:color="auto" w:fill="auto" w:val="clear"/>
          </w:tcPr>
          <w:p>
            <w:pPr>
              <w:pStyle w:val="Normal"/>
              <w:widowControl w:val="false"/>
              <w:rPr>
                <w:i w:val="false"/>
                <w:i w:val="false"/>
                <w:iCs w:val="false"/>
              </w:rPr>
            </w:pPr>
            <w:r>
              <w:rPr>
                <w:i w:val="false"/>
                <w:iCs w:val="false"/>
                <w:sz w:val="24"/>
                <w:szCs w:val="24"/>
              </w:rPr>
              <w:t xml:space="preserve">В период </w:t>
            </w:r>
            <w:r>
              <w:rPr>
                <w:rFonts w:eastAsia="Times New Roman" w:cs="Times New Roman"/>
                <w:b w:val="false"/>
                <w:bCs w:val="false"/>
                <w:i w:val="false"/>
                <w:iCs w:val="false"/>
                <w:sz w:val="24"/>
                <w:szCs w:val="24"/>
                <w:shd w:fill="auto" w:val="clear"/>
                <w:lang w:eastAsia="ru-RU"/>
              </w:rPr>
              <w:t>с 15.01.2029 по 20.12.2030 в соответствии с отдельным календарным графиком</w:t>
            </w:r>
          </w:p>
        </w:tc>
      </w:tr>
    </w:tbl>
    <w:p>
      <w:pPr>
        <w:pStyle w:val="Heading4"/>
        <w:numPr>
          <w:ilvl w:val="0"/>
          <w:numId w:val="0"/>
        </w:numPr>
        <w:spacing w:before="240" w:after="60"/>
        <w:ind w:left="431" w:hanging="431"/>
        <w:rPr>
          <w:b/>
          <w:sz w:val="24"/>
          <w:szCs w:val="24"/>
        </w:rPr>
      </w:pPr>
      <w:r>
        <w:rPr>
          <w:b/>
          <w:sz w:val="24"/>
          <w:szCs w:val="24"/>
        </w:rPr>
      </w:r>
      <w:bookmarkStart w:id="52" w:name="__RefHeading___Toc31168_2499545058"/>
      <w:bookmarkStart w:id="53" w:name="__RefHeading___Toc31168_2499545058_Копия"/>
      <w:bookmarkStart w:id="54" w:name="__RefHeading___Toc40434_2223457246"/>
      <w:bookmarkStart w:id="55" w:name="__RefHeading___Toc31168_2499545058"/>
      <w:bookmarkStart w:id="56" w:name="__RefHeading___Toc31168_2499545058_Копия"/>
      <w:bookmarkStart w:id="57" w:name="__RefHeading___Toc40434_2223457246"/>
      <w:bookmarkEnd w:id="55"/>
      <w:bookmarkEnd w:id="56"/>
      <w:bookmarkEnd w:id="57"/>
    </w:p>
    <w:p>
      <w:pPr>
        <w:sectPr>
          <w:headerReference w:type="even" r:id="rId2"/>
          <w:headerReference w:type="default" r:id="rId3"/>
          <w:headerReference w:type="first" r:id="rId4"/>
          <w:type w:val="nextPage"/>
          <w:pgSz w:w="11906" w:h="16838"/>
          <w:pgMar w:left="1134" w:right="851" w:gutter="0" w:header="680" w:top="1134" w:footer="0" w:bottom="992"/>
          <w:pgNumType w:fmt="decimal"/>
          <w:formProt w:val="false"/>
          <w:titlePg/>
          <w:textDirection w:val="lrTb"/>
          <w:docGrid w:type="default" w:linePitch="360" w:charSpace="0"/>
        </w:sectPr>
        <w:pStyle w:val="Heading4"/>
        <w:numPr>
          <w:ilvl w:val="1"/>
          <w:numId w:val="3"/>
        </w:numPr>
        <w:spacing w:before="240" w:after="60"/>
        <w:ind w:left="431" w:hanging="431"/>
        <w:rPr/>
      </w:pPr>
      <w:bookmarkStart w:id="58" w:name="__RefHeading___Toc31168_2499545058_Копия"/>
      <w:bookmarkStart w:id="59" w:name="__RefHeading___Toc40434_2223457246"/>
      <w:bookmarkStart w:id="60" w:name="_Ref37699133"/>
      <w:bookmarkStart w:id="61" w:name="_Toc54970213"/>
      <w:bookmarkStart w:id="62" w:name="_Ref40018113"/>
      <w:bookmarkEnd w:id="58"/>
      <w:bookmarkEnd w:id="59"/>
      <w:r>
        <w:rPr/>
        <w:t>Требования</w:t>
      </w:r>
      <w:bookmarkEnd w:id="60"/>
      <w:bookmarkEnd w:id="61"/>
      <w:bookmarkEnd w:id="62"/>
      <w:r>
        <w:rPr/>
        <w:t xml:space="preserve"> к качеству продукции</w:t>
      </w:r>
    </w:p>
    <w:p>
      <w:pPr>
        <w:pStyle w:val="Style29"/>
        <w:numPr>
          <w:ilvl w:val="0"/>
          <w:numId w:val="0"/>
        </w:numPr>
        <w:spacing w:before="60" w:after="120"/>
        <w:ind w:left="0" w:hanging="0"/>
        <w:jc w:val="left"/>
        <w:outlineLvl w:val="0"/>
        <w:rPr/>
      </w:pPr>
      <w:bookmarkStart w:id="63" w:name="__RefHeading___Toc31170_2499545058"/>
      <w:bookmarkStart w:id="64" w:name="_Toc54970214"/>
      <w:bookmarkStart w:id="65" w:name="_Toc51921661"/>
      <w:bookmarkEnd w:id="63"/>
      <w:r>
        <w:rPr/>
        <w:t>Таблица </w:t>
      </w:r>
      <w:r>
        <w:rPr>
          <w:lang w:val="ru-RU"/>
        </w:rPr>
        <w:t>4</w:t>
      </w:r>
      <w:r>
        <w:rPr/>
        <w:t xml:space="preserve">.Требования к качеству </w:t>
      </w:r>
      <w:bookmarkEnd w:id="65"/>
      <w:r>
        <w:rPr>
          <w:lang w:val="ru-RU"/>
        </w:rPr>
        <w:t>продукции</w:t>
      </w:r>
      <w:bookmarkEnd w:id="64"/>
      <w:r>
        <w:rPr>
          <w:lang w:val="ru-RU"/>
        </w:rPr>
        <w:t>.</w:t>
      </w:r>
    </w:p>
    <w:p>
      <w:pPr>
        <w:pStyle w:val="Normal"/>
        <w:spacing w:before="0" w:after="120"/>
        <w:jc w:val="both"/>
        <w:rPr/>
      </w:pPr>
      <w:r>
        <w:rPr>
          <w:b/>
          <w:bCs/>
          <w:sz w:val="24"/>
          <w:szCs w:val="24"/>
        </w:rPr>
        <w:t>Наименование продукции (МТР, работ / услуг) ( позиция 1-3 таблицы 2) «Поставка и шеф-монтаж реакторов заземляющих и разъединителей нулевых выводов гидрогенераторов Саяно-Шушенской ГЭС»</w:t>
      </w:r>
    </w:p>
    <w:tbl>
      <w:tblPr>
        <w:tblStyle w:val="af"/>
        <w:tblW w:w="15309" w:type="dxa"/>
        <w:jc w:val="left"/>
        <w:tblInd w:w="108" w:type="dxa"/>
        <w:tblLayout w:type="fixed"/>
        <w:tblCellMar>
          <w:top w:w="0" w:type="dxa"/>
          <w:left w:w="108" w:type="dxa"/>
          <w:bottom w:w="0" w:type="dxa"/>
          <w:right w:w="108" w:type="dxa"/>
        </w:tblCellMar>
        <w:tblLook w:noVBand="1" w:val="04a0" w:noHBand="0" w:lastColumn="0" w:firstColumn="1" w:lastRow="0" w:firstRow="1"/>
      </w:tblPr>
      <w:tblGrid>
        <w:gridCol w:w="912"/>
        <w:gridCol w:w="2583"/>
        <w:gridCol w:w="6950"/>
        <w:gridCol w:w="2310"/>
        <w:gridCol w:w="2554"/>
      </w:tblGrid>
      <w:tr>
        <w:trPr/>
        <w:tc>
          <w:tcPr>
            <w:tcW w:w="912" w:type="dxa"/>
            <w:vMerge w:val="restart"/>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 xml:space="preserve">№ </w:t>
            </w:r>
            <w:r>
              <w:rPr>
                <w:rFonts w:eastAsia="Times New Roman" w:cs="Times New Roman"/>
                <w:b/>
                <w:bCs/>
                <w:kern w:val="0"/>
                <w:sz w:val="24"/>
                <w:szCs w:val="24"/>
                <w:lang w:val="ru-RU" w:eastAsia="ru-RU" w:bidi="ar-SA"/>
              </w:rPr>
              <w:t>п/п</w:t>
            </w:r>
          </w:p>
        </w:tc>
        <w:tc>
          <w:tcPr>
            <w:tcW w:w="2583" w:type="dxa"/>
            <w:vMerge w:val="restart"/>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Наименование параметра</w:t>
            </w:r>
          </w:p>
        </w:tc>
        <w:tc>
          <w:tcPr>
            <w:tcW w:w="6950" w:type="dxa"/>
            <w:vMerge w:val="restart"/>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Требование заказчика (Технические и функциональные характеристики</w:t>
            </w:r>
          </w:p>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(параметры эквивалентности))Т</w:t>
            </w:r>
          </w:p>
        </w:tc>
        <w:tc>
          <w:tcPr>
            <w:tcW w:w="4864" w:type="dxa"/>
            <w:gridSpan w:val="2"/>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Способ подтверждения Участником соответствия требованиям</w:t>
            </w:r>
          </w:p>
        </w:tc>
      </w:tr>
      <w:tr>
        <w:trPr/>
        <w:tc>
          <w:tcPr>
            <w:tcW w:w="912" w:type="dxa"/>
            <w:vMerge w:val="continue"/>
            <w:tcBorders/>
            <w:vAlign w:val="center"/>
          </w:tcPr>
          <w:p>
            <w:pPr>
              <w:pStyle w:val="Normal"/>
              <w:widowControl w:val="false"/>
              <w:suppressAutoHyphens w:val="true"/>
              <w:spacing w:before="0" w:after="0"/>
              <w:jc w:val="center"/>
              <w:rPr>
                <w:rFonts w:ascii="Times New Roman" w:hAnsi="Times New Roman" w:eastAsia="Times New Roman" w:cs="Times New Roman"/>
                <w:b/>
                <w:bCs/>
                <w:kern w:val="0"/>
                <w:sz w:val="24"/>
                <w:szCs w:val="24"/>
                <w:lang w:val="ru-RU" w:eastAsia="ru-RU" w:bidi="ar-SA"/>
              </w:rPr>
            </w:pPr>
            <w:r>
              <w:rPr>
                <w:rFonts w:eastAsia="Times New Roman" w:cs="Times New Roman"/>
                <w:b/>
                <w:bCs/>
                <w:kern w:val="0"/>
                <w:sz w:val="24"/>
                <w:szCs w:val="24"/>
                <w:lang w:val="ru-RU" w:eastAsia="ru-RU" w:bidi="ar-SA"/>
              </w:rPr>
            </w:r>
          </w:p>
        </w:tc>
        <w:tc>
          <w:tcPr>
            <w:tcW w:w="2583" w:type="dxa"/>
            <w:vMerge w:val="continue"/>
            <w:tcBorders/>
            <w:vAlign w:val="center"/>
          </w:tcPr>
          <w:p>
            <w:pPr>
              <w:pStyle w:val="Normal"/>
              <w:widowControl w:val="false"/>
              <w:suppressAutoHyphens w:val="true"/>
              <w:spacing w:before="0" w:after="0"/>
              <w:jc w:val="center"/>
              <w:rPr>
                <w:rFonts w:ascii="Times New Roman" w:hAnsi="Times New Roman" w:eastAsia="Times New Roman" w:cs="Times New Roman"/>
                <w:b/>
                <w:bCs/>
                <w:kern w:val="0"/>
                <w:sz w:val="24"/>
                <w:szCs w:val="24"/>
                <w:lang w:val="ru-RU" w:eastAsia="ru-RU" w:bidi="ar-SA"/>
              </w:rPr>
            </w:pPr>
            <w:r>
              <w:rPr>
                <w:rFonts w:eastAsia="Times New Roman" w:cs="Times New Roman"/>
                <w:b/>
                <w:bCs/>
                <w:kern w:val="0"/>
                <w:sz w:val="24"/>
                <w:szCs w:val="24"/>
                <w:lang w:val="ru-RU" w:eastAsia="ru-RU" w:bidi="ar-SA"/>
              </w:rPr>
            </w:r>
          </w:p>
        </w:tc>
        <w:tc>
          <w:tcPr>
            <w:tcW w:w="6950" w:type="dxa"/>
            <w:vMerge w:val="continue"/>
            <w:tcBorders/>
            <w:vAlign w:val="center"/>
          </w:tcPr>
          <w:p>
            <w:pPr>
              <w:pStyle w:val="Normal"/>
              <w:widowControl w:val="false"/>
              <w:suppressAutoHyphens w:val="true"/>
              <w:spacing w:before="0" w:after="0"/>
              <w:jc w:val="center"/>
              <w:rPr>
                <w:rFonts w:ascii="Times New Roman" w:hAnsi="Times New Roman" w:eastAsia="Times New Roman" w:cs="Times New Roman"/>
                <w:b/>
                <w:bCs/>
                <w:kern w:val="0"/>
                <w:sz w:val="24"/>
                <w:szCs w:val="24"/>
                <w:lang w:val="ru-RU" w:eastAsia="ru-RU" w:bidi="ar-SA"/>
              </w:rPr>
            </w:pPr>
            <w:r>
              <w:rPr>
                <w:rFonts w:eastAsia="Times New Roman" w:cs="Times New Roman"/>
                <w:b/>
                <w:bCs/>
                <w:kern w:val="0"/>
                <w:sz w:val="24"/>
                <w:szCs w:val="24"/>
                <w:lang w:val="ru-RU" w:eastAsia="ru-RU" w:bidi="ar-SA"/>
              </w:rPr>
            </w:r>
          </w:p>
        </w:tc>
        <w:tc>
          <w:tcPr>
            <w:tcW w:w="2310"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Согласие с требованием/ указание характеристик</w:t>
            </w:r>
          </w:p>
        </w:tc>
        <w:tc>
          <w:tcPr>
            <w:tcW w:w="2554"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Предложение Участника по характеристикам и параметрам</w:t>
            </w:r>
          </w:p>
        </w:tc>
      </w:tr>
      <w:tr>
        <w:trPr/>
        <w:tc>
          <w:tcPr>
            <w:tcW w:w="912"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1</w:t>
            </w:r>
          </w:p>
        </w:tc>
        <w:tc>
          <w:tcPr>
            <w:tcW w:w="2583"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2</w:t>
            </w:r>
          </w:p>
        </w:tc>
        <w:tc>
          <w:tcPr>
            <w:tcW w:w="6950"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3</w:t>
            </w:r>
          </w:p>
        </w:tc>
        <w:tc>
          <w:tcPr>
            <w:tcW w:w="2310"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4</w:t>
            </w:r>
          </w:p>
        </w:tc>
        <w:tc>
          <w:tcPr>
            <w:tcW w:w="2554"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5</w:t>
            </w:r>
          </w:p>
        </w:tc>
      </w:tr>
      <w:tr>
        <w:trPr/>
        <w:tc>
          <w:tcPr>
            <w:tcW w:w="912" w:type="dxa"/>
            <w:tcBorders/>
            <w:vAlign w:val="center"/>
          </w:tcPr>
          <w:p>
            <w:pPr>
              <w:pStyle w:val="ListParagraph"/>
              <w:widowControl w:val="false"/>
              <w:numPr>
                <w:ilvl w:val="0"/>
                <w:numId w:val="7"/>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9533" w:type="dxa"/>
            <w:gridSpan w:val="2"/>
            <w:tcBorders/>
            <w:vAlign w:val="cente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Calibri" w:cs="Times New Roman"/>
                <w:b/>
                <w:bCs/>
                <w:kern w:val="0"/>
                <w:sz w:val="24"/>
                <w:szCs w:val="24"/>
                <w:lang w:val="ru-RU" w:eastAsia="en-US" w:bidi="ar-SA"/>
              </w:rPr>
              <w:t>Требования к техническим и функциональным характеристикам</w:t>
            </w:r>
          </w:p>
        </w:tc>
        <w:tc>
          <w:tcPr>
            <w:tcW w:w="2310"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2554"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val="false"/>
                <w:i w:val="false"/>
                <w:iCs w:val="false"/>
                <w:kern w:val="0"/>
                <w:lang w:val="ru-RU" w:eastAsia="ru-RU" w:bidi="ar-SA"/>
              </w:rPr>
            </w:pPr>
            <w:r>
              <w:rPr>
                <w:rFonts w:cs="Times New Roman"/>
                <w:i w:val="false"/>
                <w:iCs w:val="false"/>
                <w:kern w:val="0"/>
                <w:lang w:val="ru-RU" w:eastAsia="ru-RU" w:bidi="ar-SA"/>
              </w:rPr>
              <w:t>‍</w:t>
            </w:r>
          </w:p>
        </w:tc>
        <w:tc>
          <w:tcPr>
            <w:tcW w:w="2583" w:type="dxa"/>
            <w:tcBorders/>
            <w:shd w:color="auto" w:fill="auto" w:val="clear"/>
          </w:tcPr>
          <w:p>
            <w:pPr>
              <w:pStyle w:val="LHP"/>
              <w:widowControl w:val="false"/>
              <w:spacing w:lineRule="auto" w:line="240" w:before="120" w:after="120"/>
              <w:ind w:left="284" w:right="284" w:hanging="0"/>
              <w:rPr>
                <w:i w:val="false"/>
                <w:i w:val="false"/>
                <w:iCs w:val="false"/>
              </w:rPr>
            </w:pPr>
            <w:r>
              <w:rPr>
                <w:rFonts w:eastAsia="Times New Roman" w:cs="Times New Roman"/>
                <w:i w:val="false"/>
                <w:iCs w:val="false"/>
                <w:kern w:val="0"/>
                <w:sz w:val="24"/>
                <w:szCs w:val="24"/>
                <w:lang w:val="ru-RU" w:eastAsia="en-US" w:bidi="ar-SA"/>
              </w:rPr>
              <w:t>Технические характеристики реакторов заземляющих нулевых выводов 15,75 кВ</w:t>
            </w:r>
          </w:p>
        </w:tc>
        <w:tc>
          <w:tcPr>
            <w:tcW w:w="6950" w:type="dxa"/>
            <w:tcBorders/>
            <w:shd w:color="auto" w:fill="auto" w:val="clear"/>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В соответствии с таблицей 4.1 настоящих ТТ</w:t>
            </w:r>
          </w:p>
        </w:tc>
        <w:tc>
          <w:tcPr>
            <w:tcW w:w="2310" w:type="dxa"/>
            <w:tcBorders/>
            <w:shd w:color="auto" w:fill="auto" w:val="clear"/>
          </w:tcPr>
          <w:p>
            <w:pPr>
              <w:pStyle w:val="Normal"/>
              <w:widowControl w:val="false"/>
              <w:tabs>
                <w:tab w:val="clear" w:pos="708"/>
                <w:tab w:val="left" w:pos="426" w:leader="none"/>
              </w:tabs>
              <w:suppressAutoHyphens w:val="true"/>
              <w:spacing w:before="60" w:after="0"/>
              <w:jc w:val="center"/>
              <w:rPr>
                <w:i w:val="false"/>
                <w:i w:val="false"/>
                <w:iCs w:val="false"/>
              </w:rPr>
            </w:pPr>
            <w:r>
              <w:rPr>
                <w:rFonts w:eastAsia="Times New Roman" w:cs="Times New Roman"/>
                <w:i w:val="false"/>
                <w:iCs w:val="false"/>
                <w:kern w:val="0"/>
                <w:sz w:val="24"/>
                <w:szCs w:val="24"/>
                <w:lang w:val="ru-RU" w:eastAsia="ru-RU" w:bidi="ar-SA"/>
              </w:rPr>
              <w:t>Указание характеристик</w:t>
            </w:r>
          </w:p>
        </w:tc>
        <w:tc>
          <w:tcPr>
            <w:tcW w:w="2554" w:type="dxa"/>
            <w:tcBorders/>
            <w:shd w:color="auto" w:fill="auto" w:val="clear"/>
          </w:tcPr>
          <w:p>
            <w:pPr>
              <w:pStyle w:val="Normal"/>
              <w:widowControl w:val="false"/>
              <w:tabs>
                <w:tab w:val="clear" w:pos="708"/>
                <w:tab w:val="left" w:pos="426" w:leader="none"/>
              </w:tabs>
              <w:suppressAutoHyphens w:val="true"/>
              <w:spacing w:before="60" w:after="0"/>
              <w:jc w:val="left"/>
              <w:rPr/>
            </w:pPr>
            <w:r>
              <w:rPr>
                <w:rFonts w:eastAsia="Times New Roman" w:cs="Times New Roman"/>
                <w:i w:val="false"/>
                <w:iCs w:val="false"/>
                <w:kern w:val="0"/>
                <w:sz w:val="24"/>
                <w:szCs w:val="24"/>
                <w:lang w:val="ru-RU" w:eastAsia="ru-RU" w:bidi="ar-SA"/>
              </w:rPr>
              <w:t>Предложение Участника в формате таблицы 4.1</w:t>
            </w:r>
          </w:p>
        </w:tc>
      </w:tr>
      <w:tr>
        <w:trPr/>
        <w:tc>
          <w:tcPr>
            <w:tcW w:w="912" w:type="dxa"/>
            <w:tcBorders>
              <w:top w:val="nil"/>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val="false"/>
                <w:i w:val="false"/>
                <w:iCs w:val="false"/>
                <w:kern w:val="0"/>
                <w:lang w:val="ru-RU" w:eastAsia="ru-RU" w:bidi="ar-SA"/>
              </w:rPr>
            </w:pPr>
            <w:r>
              <w:rPr>
                <w:rFonts w:cs="Times New Roman"/>
                <w:i w:val="false"/>
                <w:iCs w:val="false"/>
                <w:kern w:val="0"/>
                <w:lang w:val="ru-RU" w:eastAsia="ru-RU" w:bidi="ar-SA"/>
              </w:rPr>
              <w:t>‍</w:t>
            </w:r>
          </w:p>
        </w:tc>
        <w:tc>
          <w:tcPr>
            <w:tcW w:w="2583" w:type="dxa"/>
            <w:tcBorders>
              <w:top w:val="nil"/>
            </w:tcBorders>
            <w:shd w:color="auto" w:fill="auto" w:val="clear"/>
          </w:tcPr>
          <w:p>
            <w:pPr>
              <w:pStyle w:val="LHP"/>
              <w:widowControl w:val="false"/>
              <w:spacing w:lineRule="auto" w:line="240" w:before="120" w:after="120"/>
              <w:ind w:left="284" w:right="284" w:hanging="0"/>
              <w:rPr>
                <w:i w:val="false"/>
                <w:i w:val="false"/>
                <w:iCs w:val="false"/>
              </w:rPr>
            </w:pPr>
            <w:r>
              <w:rPr>
                <w:rFonts w:eastAsia="Times New Roman" w:cs="Times New Roman"/>
                <w:i w:val="false"/>
                <w:iCs w:val="false"/>
                <w:kern w:val="0"/>
                <w:sz w:val="24"/>
                <w:szCs w:val="24"/>
                <w:lang w:val="ru-RU" w:eastAsia="en-US" w:bidi="ar-SA"/>
              </w:rPr>
              <w:t>Технические характеристики разъединителя 15,75 кВ</w:t>
            </w:r>
          </w:p>
        </w:tc>
        <w:tc>
          <w:tcPr>
            <w:tcW w:w="6950" w:type="dxa"/>
            <w:tcBorders>
              <w:top w:val="nil"/>
            </w:tcBorders>
            <w:shd w:color="auto" w:fill="auto" w:val="clear"/>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В соответствии с таблицей 4.2 настоящих ТТ</w:t>
            </w:r>
          </w:p>
        </w:tc>
        <w:tc>
          <w:tcPr>
            <w:tcW w:w="2310" w:type="dxa"/>
            <w:tcBorders>
              <w:top w:val="nil"/>
            </w:tcBorders>
            <w:shd w:color="auto" w:fill="auto" w:val="clear"/>
          </w:tcPr>
          <w:p>
            <w:pPr>
              <w:pStyle w:val="Normal"/>
              <w:widowControl w:val="false"/>
              <w:tabs>
                <w:tab w:val="clear" w:pos="708"/>
                <w:tab w:val="left" w:pos="426" w:leader="none"/>
              </w:tabs>
              <w:suppressAutoHyphens w:val="true"/>
              <w:spacing w:before="60" w:after="0"/>
              <w:jc w:val="center"/>
              <w:rPr>
                <w:i w:val="false"/>
                <w:i w:val="false"/>
                <w:iCs w:val="false"/>
              </w:rPr>
            </w:pPr>
            <w:r>
              <w:rPr>
                <w:rFonts w:eastAsia="Times New Roman" w:cs="Times New Roman"/>
                <w:i w:val="false"/>
                <w:iCs w:val="false"/>
                <w:kern w:val="0"/>
                <w:sz w:val="24"/>
                <w:szCs w:val="24"/>
                <w:lang w:val="ru-RU" w:eastAsia="ru-RU" w:bidi="ar-SA"/>
              </w:rPr>
              <w:t>Указание характеристик</w:t>
            </w:r>
          </w:p>
        </w:tc>
        <w:tc>
          <w:tcPr>
            <w:tcW w:w="2554" w:type="dxa"/>
            <w:tcBorders>
              <w:top w:val="nil"/>
            </w:tcBorders>
            <w:shd w:color="auto" w:fill="auto" w:val="clear"/>
          </w:tcPr>
          <w:p>
            <w:pPr>
              <w:pStyle w:val="Normal"/>
              <w:widowControl w:val="false"/>
              <w:tabs>
                <w:tab w:val="clear" w:pos="708"/>
                <w:tab w:val="left" w:pos="426" w:leader="none"/>
              </w:tabs>
              <w:suppressAutoHyphens w:val="true"/>
              <w:spacing w:before="60" w:after="0"/>
              <w:jc w:val="left"/>
              <w:rPr/>
            </w:pPr>
            <w:r>
              <w:rPr>
                <w:rFonts w:eastAsia="Times New Roman" w:cs="Times New Roman"/>
                <w:i w:val="false"/>
                <w:iCs w:val="false"/>
                <w:kern w:val="0"/>
                <w:sz w:val="24"/>
                <w:szCs w:val="24"/>
                <w:lang w:val="ru-RU" w:eastAsia="ru-RU" w:bidi="ar-SA"/>
              </w:rPr>
              <w:t>Предложение Участника в формате таблицы 4.2</w:t>
            </w:r>
          </w:p>
        </w:tc>
      </w:tr>
      <w:tr>
        <w:trPr/>
        <w:tc>
          <w:tcPr>
            <w:tcW w:w="912" w:type="dxa"/>
            <w:tcBorders>
              <w:top w:val="nil"/>
            </w:tcBorders>
            <w:vAlign w:val="center"/>
          </w:tcPr>
          <w:p>
            <w:pPr>
              <w:pStyle w:val="ListParagraph"/>
              <w:widowControl w:val="false"/>
              <w:numPr>
                <w:ilvl w:val="0"/>
                <w:numId w:val="7"/>
              </w:numPr>
              <w:suppressAutoHyphens w:val="true"/>
              <w:spacing w:before="60" w:after="60"/>
              <w:ind w:left="1224" w:hanging="1199"/>
              <w:contextualSpacing/>
              <w:jc w:val="center"/>
              <w:rPr>
                <w:rFonts w:ascii="Times New Roman" w:hAnsi="Times New Roman" w:cs="Times New Roman"/>
                <w:i w:val="false"/>
                <w:i w:val="false"/>
                <w:iCs w:val="false"/>
                <w:kern w:val="0"/>
                <w:lang w:val="ru-RU" w:eastAsia="ru-RU" w:bidi="ar-SA"/>
              </w:rPr>
            </w:pPr>
            <w:r>
              <w:rPr>
                <w:rFonts w:cs="Times New Roman"/>
                <w:i w:val="false"/>
                <w:iCs w:val="false"/>
                <w:kern w:val="0"/>
                <w:lang w:val="ru-RU" w:eastAsia="ru-RU" w:bidi="ar-SA"/>
              </w:rPr>
              <w:t>‍</w:t>
            </w:r>
          </w:p>
        </w:tc>
        <w:tc>
          <w:tcPr>
            <w:tcW w:w="9533" w:type="dxa"/>
            <w:gridSpan w:val="2"/>
            <w:tcBorders>
              <w:top w:val="nil"/>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Требования к выполнению работ и оказанию услуг</w:t>
            </w:r>
          </w:p>
        </w:tc>
        <w:tc>
          <w:tcPr>
            <w:tcW w:w="2310"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554"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r>
      <w:tr>
        <w:trPr/>
        <w:tc>
          <w:tcPr>
            <w:tcW w:w="912" w:type="dxa"/>
            <w:tcBorders>
              <w:top w:val="nil"/>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val="false"/>
                <w:i w:val="false"/>
                <w:iCs w:val="false"/>
                <w:kern w:val="0"/>
                <w:lang w:val="ru-RU" w:eastAsia="ru-RU" w:bidi="ar-SA"/>
              </w:rPr>
            </w:pPr>
            <w:r>
              <w:rPr>
                <w:rFonts w:cs="Times New Roman"/>
                <w:i w:val="false"/>
                <w:iCs w:val="false"/>
                <w:kern w:val="0"/>
                <w:lang w:val="ru-RU" w:eastAsia="ru-RU" w:bidi="ar-SA"/>
              </w:rPr>
              <w:t>‍</w:t>
            </w:r>
          </w:p>
        </w:tc>
        <w:tc>
          <w:tcPr>
            <w:tcW w:w="9533" w:type="dxa"/>
            <w:gridSpan w:val="2"/>
            <w:tcBorders>
              <w:top w:val="nil"/>
            </w:tcBorders>
            <w:shd w:color="auto" w:fill="auto" w:val="clear"/>
          </w:tcPr>
          <w:p>
            <w:pPr>
              <w:pStyle w:val="Normal"/>
              <w:widowControl w:val="false"/>
              <w:tabs>
                <w:tab w:val="clear" w:pos="708"/>
                <w:tab w:val="left" w:pos="426" w:leader="none"/>
              </w:tabs>
              <w:suppressAutoHyphens w:val="true"/>
              <w:spacing w:before="60" w:after="0"/>
              <w:jc w:val="left"/>
              <w:rPr/>
            </w:pPr>
            <w:r>
              <w:rPr>
                <w:rFonts w:eastAsia="Times New Roman" w:cs="Times New Roman"/>
                <w:b/>
                <w:kern w:val="0"/>
                <w:sz w:val="24"/>
                <w:szCs w:val="24"/>
                <w:lang w:val="ru-RU" w:eastAsia="ru-RU" w:bidi="ar-SA"/>
              </w:rPr>
              <w:t>Требования к способам и технологиям выполнения работ и оказания услуг</w:t>
            </w:r>
          </w:p>
        </w:tc>
        <w:tc>
          <w:tcPr>
            <w:tcW w:w="2310" w:type="dxa"/>
            <w:tcBorders>
              <w:top w:val="nil"/>
            </w:tcBorders>
            <w:shd w:color="auto" w:fill="auto" w:val="clear"/>
          </w:tcPr>
          <w:p>
            <w:pPr>
              <w:pStyle w:val="Normal"/>
              <w:widowControl w:val="false"/>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554" w:type="dxa"/>
            <w:tcBorders>
              <w:top w:val="nil"/>
            </w:tcBorders>
            <w:shd w:color="auto" w:fill="auto" w:val="clear"/>
          </w:tcPr>
          <w:p>
            <w:pPr>
              <w:pStyle w:val="Normal"/>
              <w:widowControl w:val="false"/>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r>
      <w:tr>
        <w:trPr/>
        <w:tc>
          <w:tcPr>
            <w:tcW w:w="912" w:type="dxa"/>
            <w:tcBorders>
              <w:top w:val="nil"/>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val="false"/>
                <w:i w:val="false"/>
                <w:iCs w:val="false"/>
                <w:kern w:val="0"/>
                <w:lang w:val="ru-RU" w:eastAsia="ru-RU" w:bidi="ar-SA"/>
              </w:rPr>
            </w:pPr>
            <w:r>
              <w:rPr>
                <w:rFonts w:cs="Times New Roman"/>
                <w:i w:val="false"/>
                <w:iCs w:val="false"/>
                <w:kern w:val="0"/>
                <w:lang w:val="ru-RU" w:eastAsia="ru-RU" w:bidi="ar-SA"/>
              </w:rPr>
            </w:r>
          </w:p>
        </w:tc>
        <w:tc>
          <w:tcPr>
            <w:tcW w:w="2583" w:type="dxa"/>
            <w:tcBorders>
              <w:top w:val="nil"/>
            </w:tcBorders>
            <w:shd w:color="auto" w:fill="auto" w:val="clear"/>
          </w:tcPr>
          <w:p>
            <w:pPr>
              <w:pStyle w:val="Normal"/>
              <w:widowControl w:val="false"/>
              <w:suppressAutoHyphens w:val="true"/>
              <w:spacing w:before="0" w:after="0"/>
              <w:jc w:val="left"/>
              <w:rPr>
                <w:rFonts w:ascii="Times New Roman" w:hAnsi="Times New Roman" w:eastAsia="Times New Roman" w:cs="Times New Roman"/>
                <w:i w:val="false"/>
                <w:i w:val="false"/>
                <w:iCs w:val="false"/>
                <w:color w:val="auto"/>
                <w:kern w:val="0"/>
                <w:sz w:val="24"/>
                <w:szCs w:val="24"/>
                <w:lang w:val="ru-RU" w:eastAsia="ru-RU" w:bidi="ar-SA"/>
              </w:rPr>
            </w:pPr>
            <w:r>
              <w:rPr>
                <w:rFonts w:eastAsia="Times New Roman" w:cs="Times New Roman"/>
                <w:i w:val="false"/>
                <w:iCs w:val="false"/>
                <w:color w:val="auto"/>
                <w:kern w:val="0"/>
                <w:sz w:val="24"/>
                <w:szCs w:val="24"/>
                <w:lang w:val="ru-RU" w:eastAsia="ru-RU" w:bidi="ar-SA"/>
              </w:rPr>
              <w:t>Соблюдение при выполнении работ норм и правил нормативно-технических документов</w:t>
            </w:r>
          </w:p>
        </w:tc>
        <w:tc>
          <w:tcPr>
            <w:tcW w:w="6950" w:type="dxa"/>
            <w:tcBorders>
              <w:top w:val="nil"/>
            </w:tcBorders>
            <w:shd w:color="auto" w:fill="auto" w:val="clear"/>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При выполнении работ подрядчик должен руководствоваться следующими национальными, отраслевыми и корпоративными нормативно-техническими документами (далее - НТД):</w:t>
            </w:r>
          </w:p>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в соответствии с приложением №3 к настоящим ТТ</w:t>
            </w:r>
          </w:p>
        </w:tc>
        <w:tc>
          <w:tcPr>
            <w:tcW w:w="2310" w:type="dxa"/>
            <w:tcBorders>
              <w:top w:val="nil"/>
            </w:tcBorders>
            <w:shd w:color="auto" w:fill="auto" w:val="clear"/>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Согласие с требованием</w:t>
            </w:r>
          </w:p>
        </w:tc>
        <w:tc>
          <w:tcPr>
            <w:tcW w:w="2554" w:type="dxa"/>
            <w:tcBorders>
              <w:top w:val="nil"/>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val="false"/>
                <w:i w:val="false"/>
                <w:iCs w:val="false"/>
                <w:kern w:val="0"/>
                <w:lang w:val="ru-RU" w:eastAsia="ru-RU" w:bidi="ar-SA"/>
              </w:rPr>
            </w:pPr>
            <w:r>
              <w:rPr>
                <w:rFonts w:cs="Times New Roman"/>
                <w:i w:val="false"/>
                <w:iCs w:val="false"/>
                <w:kern w:val="0"/>
                <w:lang w:val="ru-RU" w:eastAsia="ru-RU" w:bidi="ar-SA"/>
              </w:rPr>
            </w:r>
          </w:p>
        </w:tc>
        <w:tc>
          <w:tcPr>
            <w:tcW w:w="2583" w:type="dxa"/>
            <w:tcBorders/>
            <w:shd w:color="auto" w:fill="auto" w:val="clear"/>
          </w:tcPr>
          <w:p>
            <w:pPr>
              <w:pStyle w:val="Normal"/>
              <w:widowControl w:val="false"/>
              <w:jc w:val="left"/>
              <w:rPr>
                <w:rFonts w:ascii="Times New Roman" w:hAnsi="Times New Roman" w:eastAsia="Times New Roman" w:cs="Times New Roman"/>
                <w:i w:val="false"/>
                <w:i w:val="false"/>
                <w:iCs w:val="false"/>
                <w:color w:val="auto"/>
                <w:kern w:val="0"/>
                <w:sz w:val="24"/>
                <w:szCs w:val="24"/>
                <w:lang w:val="ru-RU" w:eastAsia="ru-RU" w:bidi="ar-SA"/>
              </w:rPr>
            </w:pPr>
            <w:r>
              <w:rPr>
                <w:rFonts w:eastAsia="Times New Roman" w:cs="Times New Roman"/>
                <w:i w:val="false"/>
                <w:iCs w:val="false"/>
                <w:color w:val="auto"/>
                <w:kern w:val="0"/>
                <w:sz w:val="24"/>
                <w:szCs w:val="24"/>
                <w:lang w:val="ru-RU" w:eastAsia="ru-RU" w:bidi="ar-SA"/>
              </w:rPr>
              <w:t>Общие требования</w:t>
            </w:r>
          </w:p>
        </w:tc>
        <w:tc>
          <w:tcPr>
            <w:tcW w:w="6950" w:type="dxa"/>
            <w:tcBorders/>
            <w:shd w:color="auto" w:fill="auto" w:val="clear"/>
          </w:tcPr>
          <w:p>
            <w:pPr>
              <w:pStyle w:val="Normal"/>
              <w:widowControl w:val="false"/>
              <w:suppressAutoHyphens w:val="true"/>
              <w:ind w:left="28" w:right="28" w:hanging="0"/>
              <w:jc w:val="both"/>
              <w:rPr>
                <w:i w:val="false"/>
                <w:i w:val="false"/>
                <w:iCs w:val="false"/>
                <w:sz w:val="24"/>
                <w:szCs w:val="24"/>
              </w:rPr>
            </w:pPr>
            <w:r>
              <w:rPr>
                <w:i w:val="false"/>
                <w:iCs w:val="false"/>
                <w:sz w:val="24"/>
                <w:szCs w:val="24"/>
              </w:rPr>
              <w:t>В объем работ по данному разделу входит</w:t>
            </w:r>
            <w:r>
              <w:rPr>
                <w:bCs/>
                <w:i w:val="false"/>
                <w:iCs w:val="false"/>
                <w:sz w:val="24"/>
                <w:szCs w:val="24"/>
              </w:rPr>
              <w:t>:</w:t>
            </w:r>
          </w:p>
          <w:p>
            <w:pPr>
              <w:pStyle w:val="Normal"/>
              <w:widowControl w:val="false"/>
              <w:numPr>
                <w:ilvl w:val="0"/>
                <w:numId w:val="18"/>
              </w:numPr>
              <w:ind w:left="28" w:right="28" w:hanging="0"/>
              <w:jc w:val="both"/>
              <w:rPr>
                <w:i w:val="false"/>
                <w:i w:val="false"/>
                <w:iCs w:val="false"/>
                <w:sz w:val="24"/>
                <w:szCs w:val="24"/>
              </w:rPr>
            </w:pPr>
            <w:r>
              <w:rPr>
                <w:i w:val="false"/>
                <w:iCs w:val="false"/>
                <w:sz w:val="24"/>
                <w:szCs w:val="24"/>
              </w:rPr>
              <w:t>Изготовление и поставка реактора заземляющего дугогасящего 15,75 кВ, разъединителя 15,75 кВ с подключением гибкими кабельными перемычками для их присоединения к нейтральным выводам генератора Г1 – Г10;</w:t>
            </w:r>
          </w:p>
          <w:p>
            <w:pPr>
              <w:pStyle w:val="Normal"/>
              <w:widowControl w:val="false"/>
              <w:numPr>
                <w:ilvl w:val="0"/>
                <w:numId w:val="18"/>
              </w:numPr>
              <w:ind w:left="28" w:right="28" w:hanging="0"/>
              <w:jc w:val="both"/>
              <w:rPr>
                <w:i w:val="false"/>
                <w:i w:val="false"/>
                <w:iCs w:val="false"/>
                <w:sz w:val="24"/>
                <w:szCs w:val="24"/>
              </w:rPr>
            </w:pPr>
            <w:r>
              <w:rPr>
                <w:rFonts w:eastAsia="Times New Roman" w:cs="Times New Roman"/>
                <w:i w:val="false"/>
                <w:iCs w:val="false"/>
                <w:sz w:val="24"/>
                <w:szCs w:val="24"/>
                <w:lang w:eastAsia="ru-RU"/>
              </w:rPr>
              <w:t>Оборудование предназначено для эксплуатации в закрытом помещении и требуемой сейсмостойкостью.</w:t>
            </w:r>
          </w:p>
          <w:p>
            <w:pPr>
              <w:pStyle w:val="Normal"/>
              <w:widowControl w:val="false"/>
              <w:numPr>
                <w:ilvl w:val="0"/>
                <w:numId w:val="18"/>
              </w:numPr>
              <w:ind w:left="28" w:right="28" w:hanging="0"/>
              <w:jc w:val="both"/>
              <w:rPr>
                <w:i w:val="false"/>
                <w:i w:val="false"/>
                <w:iCs w:val="false"/>
                <w:sz w:val="24"/>
                <w:szCs w:val="24"/>
              </w:rPr>
            </w:pPr>
            <w:r>
              <w:rPr>
                <w:i w:val="false"/>
                <w:iCs w:val="false"/>
                <w:sz w:val="24"/>
                <w:szCs w:val="24"/>
              </w:rPr>
              <w:t>Оборудование должно выдерживать без повреждений номинальные действующие и пиковые значения токов короткого замыкания.</w:t>
            </w:r>
          </w:p>
          <w:p>
            <w:pPr>
              <w:pStyle w:val="Normal"/>
              <w:widowControl w:val="false"/>
              <w:numPr>
                <w:ilvl w:val="0"/>
                <w:numId w:val="18"/>
              </w:numPr>
              <w:ind w:left="28" w:right="28" w:hanging="0"/>
              <w:jc w:val="both"/>
              <w:rPr>
                <w:i w:val="false"/>
                <w:i w:val="false"/>
                <w:iCs w:val="false"/>
                <w:sz w:val="24"/>
                <w:szCs w:val="24"/>
              </w:rPr>
            </w:pPr>
            <w:r>
              <w:rPr>
                <w:i w:val="false"/>
                <w:iCs w:val="false"/>
                <w:sz w:val="24"/>
                <w:szCs w:val="24"/>
              </w:rPr>
              <w:t>Электрические разряды, корона и радиопомехи должны быть минимизированы и не превышать допустимых значений.</w:t>
            </w:r>
          </w:p>
          <w:p>
            <w:pPr>
              <w:pStyle w:val="Normal"/>
              <w:widowControl w:val="false"/>
              <w:numPr>
                <w:ilvl w:val="0"/>
                <w:numId w:val="18"/>
              </w:numPr>
              <w:ind w:left="28" w:right="28" w:hanging="0"/>
              <w:jc w:val="both"/>
              <w:rPr>
                <w:i w:val="false"/>
                <w:i w:val="false"/>
                <w:iCs w:val="false"/>
                <w:sz w:val="24"/>
                <w:szCs w:val="24"/>
              </w:rPr>
            </w:pPr>
            <w:r>
              <w:rPr>
                <w:i w:val="false"/>
                <w:iCs w:val="false"/>
                <w:sz w:val="24"/>
                <w:szCs w:val="24"/>
              </w:rPr>
              <w:t>Если во время заводской приемки оборудования будут обнаружены отклонения параметров, превышающие предельно допустимые для данного типа оборудования, продукция будет считаться некачественной.</w:t>
            </w:r>
          </w:p>
          <w:p>
            <w:pPr>
              <w:pStyle w:val="Normal"/>
              <w:widowControl w:val="false"/>
              <w:numPr>
                <w:ilvl w:val="0"/>
                <w:numId w:val="18"/>
              </w:numPr>
              <w:ind w:left="28" w:right="28" w:hanging="0"/>
              <w:jc w:val="both"/>
              <w:rPr>
                <w:i w:val="false"/>
                <w:i w:val="false"/>
                <w:iCs w:val="false"/>
                <w:sz w:val="24"/>
                <w:szCs w:val="24"/>
              </w:rPr>
            </w:pPr>
            <w:r>
              <w:rPr>
                <w:i w:val="false"/>
                <w:iCs w:val="false"/>
                <w:sz w:val="24"/>
                <w:szCs w:val="24"/>
              </w:rPr>
              <w:t>Оборудование должно быть рассчитано на срок эксплуатации не менее 30 лет.</w:t>
            </w:r>
          </w:p>
          <w:p>
            <w:pPr>
              <w:pStyle w:val="Normal"/>
              <w:widowControl w:val="false"/>
              <w:numPr>
                <w:ilvl w:val="0"/>
                <w:numId w:val="18"/>
              </w:numPr>
              <w:ind w:left="28" w:right="28" w:hanging="0"/>
              <w:jc w:val="both"/>
              <w:rPr>
                <w:i w:val="false"/>
                <w:i w:val="false"/>
                <w:iCs w:val="false"/>
                <w:sz w:val="24"/>
                <w:szCs w:val="24"/>
              </w:rPr>
            </w:pPr>
            <w:r>
              <w:rPr>
                <w:i w:val="false"/>
                <w:iCs w:val="false"/>
                <w:sz w:val="24"/>
                <w:szCs w:val="24"/>
              </w:rPr>
              <w:t>В части воздействия механических факторов внешней среды оборудования должно соответствовать группе М5 ГОСТ 17516.1-90.</w:t>
            </w:r>
          </w:p>
          <w:p>
            <w:pPr>
              <w:pStyle w:val="Normal"/>
              <w:widowControl w:val="false"/>
              <w:numPr>
                <w:ilvl w:val="0"/>
                <w:numId w:val="18"/>
              </w:numPr>
              <w:ind w:left="28" w:right="28" w:hanging="0"/>
              <w:jc w:val="both"/>
              <w:rPr>
                <w:i w:val="false"/>
                <w:i w:val="false"/>
                <w:iCs w:val="false"/>
                <w:sz w:val="24"/>
                <w:szCs w:val="24"/>
              </w:rPr>
            </w:pPr>
            <w:r>
              <w:rPr>
                <w:i w:val="false"/>
                <w:iCs w:val="false"/>
                <w:sz w:val="24"/>
                <w:szCs w:val="24"/>
                <w:lang w:bidi="ru-RU"/>
              </w:rPr>
              <w:t>Оборудование должно быть выполнено с естественным охлаждением.</w:t>
            </w:r>
          </w:p>
          <w:p>
            <w:pPr>
              <w:pStyle w:val="Normal"/>
              <w:widowControl w:val="false"/>
              <w:numPr>
                <w:ilvl w:val="0"/>
                <w:numId w:val="18"/>
              </w:numPr>
              <w:ind w:left="28" w:right="28" w:hanging="0"/>
              <w:jc w:val="both"/>
              <w:rPr>
                <w:i w:val="false"/>
                <w:i w:val="false"/>
                <w:iCs w:val="false"/>
                <w:sz w:val="24"/>
                <w:szCs w:val="24"/>
              </w:rPr>
            </w:pPr>
            <w:r>
              <w:rPr>
                <w:i w:val="false"/>
                <w:iCs w:val="false"/>
                <w:sz w:val="24"/>
                <w:szCs w:val="24"/>
              </w:rPr>
              <w:t>В объем поставки должны входить узлы присоединения, поставляемого гибкими кабельными перемычками к реактору и к гибкими кабельными перемычками нейтральных выводов генераторов, которые должны быть разработаны согласно представленной Генпроектировщиком документации (по данным завода-изготовителя генераторных токопроводов).</w:t>
            </w:r>
          </w:p>
          <w:p>
            <w:pPr>
              <w:pStyle w:val="Normal"/>
              <w:widowControl w:val="false"/>
              <w:numPr>
                <w:ilvl w:val="0"/>
                <w:numId w:val="18"/>
              </w:numPr>
              <w:spacing w:before="0" w:after="60"/>
              <w:ind w:left="28" w:right="28" w:hanging="0"/>
              <w:jc w:val="both"/>
              <w:rPr>
                <w:i w:val="false"/>
                <w:i w:val="false"/>
                <w:iCs w:val="false"/>
                <w:sz w:val="24"/>
                <w:szCs w:val="24"/>
              </w:rPr>
            </w:pPr>
            <w:r>
              <w:rPr>
                <w:i w:val="false"/>
                <w:iCs w:val="false"/>
                <w:sz w:val="24"/>
                <w:szCs w:val="24"/>
              </w:rPr>
              <w:t>Кроме того, в объем поставки гибких кабельных перемычек должны входить элементы для его крепления в необходимом объеме. Металлоконструкции должны быть оцинкованные, и выполнены в климатическом исполнении У, категории размещения 3 по ГОСТ 15150-69.</w:t>
            </w:r>
          </w:p>
        </w:tc>
        <w:tc>
          <w:tcPr>
            <w:tcW w:w="2310" w:type="dxa"/>
            <w:tcBorders/>
            <w:shd w:color="auto" w:fill="auto" w:val="clear"/>
          </w:tcPr>
          <w:p>
            <w:pPr>
              <w:pStyle w:val="Normal"/>
              <w:widowControl w:val="false"/>
              <w:suppressAutoHyphens w:val="true"/>
              <w:spacing w:before="0" w:after="0"/>
              <w:jc w:val="left"/>
              <w:rPr>
                <w:i w:val="false"/>
                <w:i w:val="false"/>
                <w:iCs w:val="false"/>
                <w:sz w:val="24"/>
                <w:szCs w:val="24"/>
              </w:rPr>
            </w:pPr>
            <w:r>
              <w:rPr>
                <w:rFonts w:eastAsia="Times New Roman" w:cs="Times New Roman"/>
                <w:i w:val="false"/>
                <w:iCs w:val="false"/>
                <w:kern w:val="0"/>
                <w:sz w:val="24"/>
                <w:szCs w:val="24"/>
                <w:lang w:val="ru-RU" w:eastAsia="ru-RU" w:bidi="ar-SA"/>
              </w:rPr>
              <w:t>Согласие с требованием</w:t>
            </w:r>
          </w:p>
        </w:tc>
        <w:tc>
          <w:tcPr>
            <w:tcW w:w="2554"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i/>
                <w:i/>
                <w:iCs/>
                <w:kern w:val="0"/>
                <w:sz w:val="24"/>
                <w:szCs w:val="24"/>
                <w:lang w:val="ru-RU" w:eastAsia="ru-RU" w:bidi="ar-SA"/>
              </w:rPr>
            </w:pPr>
            <w:r>
              <w:rPr>
                <w:rFonts w:eastAsia="Times New Roman" w:cs="Times New Roman"/>
                <w:i/>
                <w:iCs/>
                <w:kern w:val="0"/>
                <w:sz w:val="24"/>
                <w:szCs w:val="24"/>
                <w:lang w:val="ru-RU" w:eastAsia="ru-RU" w:bidi="ar-SA"/>
              </w:rPr>
            </w:r>
          </w:p>
        </w:tc>
      </w:tr>
      <w:tr>
        <w:trPr/>
        <w:tc>
          <w:tcPr>
            <w:tcW w:w="912" w:type="dxa"/>
            <w:tcBorders>
              <w:top w:val="nil"/>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2583" w:type="dxa"/>
            <w:tcBorders>
              <w:top w:val="nil"/>
            </w:tcBorders>
            <w:shd w:color="auto" w:fill="auto" w:val="clear"/>
          </w:tcPr>
          <w:p>
            <w:pPr>
              <w:pStyle w:val="Normal"/>
              <w:widowControl w:val="false"/>
              <w:jc w:val="left"/>
              <w:rPr>
                <w:i w:val="false"/>
                <w:i w:val="false"/>
                <w:iCs w:val="false"/>
              </w:rPr>
            </w:pPr>
            <w:r>
              <w:rPr>
                <w:rFonts w:cs="Times New Roman"/>
                <w:bCs/>
                <w:i w:val="false"/>
                <w:iCs w:val="false"/>
                <w:sz w:val="24"/>
                <w:szCs w:val="24"/>
              </w:rPr>
              <w:t>Состав выполняемых работ</w:t>
            </w:r>
          </w:p>
        </w:tc>
        <w:tc>
          <w:tcPr>
            <w:tcW w:w="6950" w:type="dxa"/>
            <w:tcBorders>
              <w:top w:val="nil"/>
            </w:tcBorders>
            <w:shd w:color="auto" w:fill="auto" w:val="clear"/>
          </w:tcPr>
          <w:p>
            <w:pPr>
              <w:pStyle w:val="Normal"/>
              <w:widowControl w:val="false"/>
              <w:numPr>
                <w:ilvl w:val="0"/>
                <w:numId w:val="19"/>
              </w:numPr>
              <w:tabs>
                <w:tab w:val="clear" w:pos="708"/>
                <w:tab w:val="left" w:pos="0" w:leader="none"/>
              </w:tabs>
              <w:suppressAutoHyphens w:val="true"/>
              <w:ind w:left="28" w:right="28" w:hanging="0"/>
              <w:jc w:val="both"/>
              <w:rPr>
                <w:i w:val="false"/>
                <w:i w:val="false"/>
                <w:iCs w:val="false"/>
                <w:sz w:val="24"/>
                <w:szCs w:val="24"/>
              </w:rPr>
            </w:pPr>
            <w:r>
              <w:rPr>
                <w:rFonts w:eastAsia="Calibri" w:cs="Times New Roman"/>
                <w:bCs/>
                <w:i w:val="false"/>
                <w:iCs w:val="false"/>
                <w:sz w:val="24"/>
                <w:szCs w:val="24"/>
                <w:lang w:eastAsia="ru-RU"/>
              </w:rPr>
              <w:t xml:space="preserve">Разработка проектно-конструкторской и эксплуатационной </w:t>
            </w:r>
            <w:r>
              <w:rPr>
                <w:rFonts w:eastAsia="Calibri" w:cs="Times New Roman"/>
                <w:i w:val="false"/>
                <w:iCs w:val="false"/>
                <w:sz w:val="24"/>
                <w:szCs w:val="24"/>
              </w:rPr>
              <w:t>документации</w:t>
            </w:r>
            <w:r>
              <w:rPr>
                <w:rFonts w:eastAsia="Calibri" w:cs="Times New Roman"/>
                <w:bCs/>
                <w:i w:val="false"/>
                <w:iCs w:val="false"/>
                <w:color w:val="000000"/>
                <w:sz w:val="24"/>
                <w:szCs w:val="24"/>
              </w:rPr>
              <w:t xml:space="preserve"> на оборудование.</w:t>
            </w:r>
          </w:p>
          <w:p>
            <w:pPr>
              <w:pStyle w:val="Normal"/>
              <w:widowControl w:val="false"/>
              <w:numPr>
                <w:ilvl w:val="0"/>
                <w:numId w:val="19"/>
              </w:numPr>
              <w:tabs>
                <w:tab w:val="clear" w:pos="708"/>
                <w:tab w:val="left" w:pos="0" w:leader="none"/>
              </w:tabs>
              <w:suppressAutoHyphens w:val="true"/>
              <w:ind w:left="28" w:right="28" w:hanging="0"/>
              <w:jc w:val="both"/>
              <w:rPr>
                <w:i w:val="false"/>
                <w:i w:val="false"/>
                <w:iCs w:val="false"/>
                <w:sz w:val="24"/>
                <w:szCs w:val="24"/>
              </w:rPr>
            </w:pPr>
            <w:r>
              <w:rPr>
                <w:rFonts w:eastAsia="Calibri" w:cs="Times New Roman"/>
                <w:i w:val="false"/>
                <w:iCs w:val="false"/>
                <w:sz w:val="24"/>
                <w:szCs w:val="24"/>
              </w:rPr>
              <w:t>Согласование документации с Проектировщиком, а затем с Заказчиком.</w:t>
            </w:r>
          </w:p>
          <w:p>
            <w:pPr>
              <w:pStyle w:val="Normal"/>
              <w:widowControl w:val="false"/>
              <w:numPr>
                <w:ilvl w:val="0"/>
                <w:numId w:val="19"/>
              </w:numPr>
              <w:suppressAutoHyphens w:val="true"/>
              <w:ind w:left="28" w:right="28" w:hanging="0"/>
              <w:jc w:val="both"/>
              <w:rPr>
                <w:i w:val="false"/>
                <w:i w:val="false"/>
                <w:iCs w:val="false"/>
                <w:sz w:val="24"/>
                <w:szCs w:val="24"/>
              </w:rPr>
            </w:pPr>
            <w:r>
              <w:rPr>
                <w:rFonts w:eastAsia="Calibri" w:cs="Times New Roman"/>
                <w:i w:val="false"/>
                <w:iCs w:val="false"/>
                <w:sz w:val="24"/>
                <w:szCs w:val="24"/>
              </w:rPr>
              <w:t xml:space="preserve">Изготовление </w:t>
            </w:r>
            <w:r>
              <w:rPr>
                <w:rFonts w:eastAsia="Calibri" w:cs="Times New Roman"/>
                <w:bCs/>
                <w:i w:val="false"/>
                <w:iCs w:val="false"/>
                <w:color w:val="000000"/>
                <w:sz w:val="24"/>
                <w:szCs w:val="24"/>
              </w:rPr>
              <w:t xml:space="preserve">оборудования </w:t>
            </w:r>
            <w:r>
              <w:rPr>
                <w:rFonts w:eastAsia="Calibri" w:cs="Times New Roman"/>
                <w:i w:val="false"/>
                <w:iCs w:val="false"/>
                <w:sz w:val="24"/>
                <w:szCs w:val="24"/>
              </w:rPr>
              <w:t>на основании согласованной рабочей документации.</w:t>
            </w:r>
          </w:p>
          <w:p>
            <w:pPr>
              <w:pStyle w:val="Normal"/>
              <w:widowControl w:val="false"/>
              <w:numPr>
                <w:ilvl w:val="0"/>
                <w:numId w:val="19"/>
              </w:numPr>
              <w:tabs>
                <w:tab w:val="clear" w:pos="708"/>
                <w:tab w:val="left" w:pos="851" w:leader="none"/>
              </w:tabs>
              <w:suppressAutoHyphens w:val="true"/>
              <w:ind w:left="28" w:right="28" w:hanging="0"/>
              <w:jc w:val="both"/>
              <w:rPr>
                <w:i w:val="false"/>
                <w:i w:val="false"/>
                <w:iCs w:val="false"/>
                <w:sz w:val="24"/>
                <w:szCs w:val="24"/>
              </w:rPr>
            </w:pPr>
            <w:r>
              <w:rPr>
                <w:rFonts w:eastAsia="Calibri" w:cs="Times New Roman"/>
                <w:i w:val="false"/>
                <w:iCs w:val="false"/>
                <w:sz w:val="24"/>
                <w:szCs w:val="24"/>
              </w:rPr>
              <w:t>Проведение заводских приемочных испытаний.</w:t>
            </w:r>
          </w:p>
          <w:p>
            <w:pPr>
              <w:pStyle w:val="Normal"/>
              <w:widowControl w:val="false"/>
              <w:numPr>
                <w:ilvl w:val="0"/>
                <w:numId w:val="19"/>
              </w:numPr>
              <w:tabs>
                <w:tab w:val="clear" w:pos="708"/>
                <w:tab w:val="left" w:pos="851" w:leader="none"/>
              </w:tabs>
              <w:suppressAutoHyphens w:val="true"/>
              <w:ind w:left="28" w:right="28" w:hanging="0"/>
              <w:jc w:val="both"/>
              <w:rPr>
                <w:i w:val="false"/>
                <w:i w:val="false"/>
                <w:iCs w:val="false"/>
                <w:sz w:val="24"/>
                <w:szCs w:val="24"/>
              </w:rPr>
            </w:pPr>
            <w:r>
              <w:rPr>
                <w:rFonts w:eastAsia="Calibri" w:cs="Times New Roman"/>
                <w:i w:val="false"/>
                <w:iCs w:val="false"/>
                <w:sz w:val="24"/>
                <w:szCs w:val="24"/>
              </w:rPr>
              <w:t>Страхование транспортировки поставляемого оборудования.</w:t>
            </w:r>
          </w:p>
          <w:p>
            <w:pPr>
              <w:pStyle w:val="ListParagraph"/>
              <w:widowControl w:val="false"/>
              <w:numPr>
                <w:ilvl w:val="0"/>
                <w:numId w:val="19"/>
              </w:numPr>
              <w:shd w:val="clear" w:color="auto" w:fill="FFFFFF"/>
              <w:tabs>
                <w:tab w:val="clear" w:pos="708"/>
                <w:tab w:val="left" w:pos="0" w:leader="none"/>
              </w:tabs>
              <w:suppressAutoHyphens w:val="true"/>
              <w:ind w:left="28" w:right="28" w:hanging="0"/>
              <w:jc w:val="both"/>
              <w:rPr>
                <w:i w:val="false"/>
                <w:i w:val="false"/>
                <w:iCs w:val="false"/>
                <w:sz w:val="24"/>
                <w:szCs w:val="24"/>
              </w:rPr>
            </w:pPr>
            <w:r>
              <w:rPr>
                <w:i w:val="false"/>
                <w:iCs w:val="false"/>
                <w:sz w:val="24"/>
                <w:szCs w:val="24"/>
              </w:rPr>
              <w:t>Транспортировка до склада Заказчика.</w:t>
            </w:r>
          </w:p>
          <w:p>
            <w:pPr>
              <w:pStyle w:val="ListParagraph"/>
              <w:widowControl w:val="false"/>
              <w:numPr>
                <w:ilvl w:val="0"/>
                <w:numId w:val="19"/>
              </w:numPr>
              <w:shd w:val="clear" w:color="auto" w:fill="FFFFFF"/>
              <w:tabs>
                <w:tab w:val="clear" w:pos="708"/>
                <w:tab w:val="left" w:pos="0" w:leader="none"/>
              </w:tabs>
              <w:suppressAutoHyphens w:val="true"/>
              <w:spacing w:before="0" w:after="0"/>
              <w:ind w:left="28" w:right="28" w:hanging="0"/>
              <w:contextualSpacing w:val="false"/>
              <w:jc w:val="both"/>
              <w:rPr>
                <w:i w:val="false"/>
                <w:i w:val="false"/>
                <w:iCs w:val="false"/>
                <w:sz w:val="24"/>
                <w:szCs w:val="24"/>
              </w:rPr>
            </w:pPr>
            <w:r>
              <w:rPr>
                <w:i w:val="false"/>
                <w:iCs w:val="false"/>
                <w:sz w:val="24"/>
                <w:szCs w:val="24"/>
              </w:rPr>
              <w:t>Оказание полного объема шеф-монтажных и шеф-наладочных услуг, необходимого для ввода Оборудования в эксплуатацию.</w:t>
            </w:r>
          </w:p>
          <w:p>
            <w:pPr>
              <w:pStyle w:val="ListParagraph"/>
              <w:widowControl w:val="false"/>
              <w:numPr>
                <w:ilvl w:val="0"/>
                <w:numId w:val="19"/>
              </w:numPr>
              <w:shd w:val="clear" w:color="auto" w:fill="FFFFFF"/>
              <w:tabs>
                <w:tab w:val="clear" w:pos="708"/>
                <w:tab w:val="left" w:pos="0" w:leader="none"/>
              </w:tabs>
              <w:suppressAutoHyphens w:val="true"/>
              <w:spacing w:before="0" w:after="0"/>
              <w:ind w:left="28" w:right="28" w:hanging="0"/>
              <w:contextualSpacing w:val="false"/>
              <w:jc w:val="both"/>
              <w:rPr>
                <w:i w:val="false"/>
                <w:i w:val="false"/>
                <w:iCs w:val="false"/>
                <w:sz w:val="24"/>
                <w:szCs w:val="24"/>
              </w:rPr>
            </w:pPr>
            <w:r>
              <w:rPr>
                <w:i w:val="false"/>
                <w:iCs w:val="false"/>
                <w:sz w:val="24"/>
                <w:szCs w:val="24"/>
              </w:rPr>
              <w:t>Проведение индивидуальных испытаний и участие в комплексном опробовании Оборудования.</w:t>
            </w:r>
          </w:p>
          <w:p>
            <w:pPr>
              <w:pStyle w:val="ListParagraph"/>
              <w:widowControl w:val="false"/>
              <w:numPr>
                <w:ilvl w:val="0"/>
                <w:numId w:val="19"/>
              </w:numPr>
              <w:shd w:val="clear" w:color="auto" w:fill="FFFFFF"/>
              <w:tabs>
                <w:tab w:val="clear" w:pos="708"/>
                <w:tab w:val="left" w:pos="0" w:leader="none"/>
              </w:tabs>
              <w:suppressAutoHyphens w:val="true"/>
              <w:spacing w:before="0" w:after="0"/>
              <w:ind w:left="28" w:right="28" w:hanging="0"/>
              <w:contextualSpacing w:val="false"/>
              <w:jc w:val="both"/>
              <w:rPr>
                <w:i w:val="false"/>
                <w:i w:val="false"/>
                <w:iCs w:val="false"/>
                <w:sz w:val="24"/>
                <w:szCs w:val="24"/>
              </w:rPr>
            </w:pPr>
            <w:r>
              <w:rPr>
                <w:i w:val="false"/>
                <w:iCs w:val="false"/>
                <w:sz w:val="24"/>
                <w:szCs w:val="24"/>
              </w:rPr>
              <w:t>Обучение эксплуатационного персонала Заказчика в соответствии с требованиями Правил технической эксплуатации электрических станций и сетей Российской Федерации (ПТЭЭС), утвержденных приказом Минэнерго России от 04.10.2022 № 1070.</w:t>
            </w:r>
          </w:p>
          <w:p>
            <w:pPr>
              <w:pStyle w:val="ListParagraph"/>
              <w:widowControl w:val="false"/>
              <w:numPr>
                <w:ilvl w:val="0"/>
                <w:numId w:val="19"/>
              </w:numPr>
              <w:shd w:val="clear" w:color="auto" w:fill="FFFFFF"/>
              <w:tabs>
                <w:tab w:val="clear" w:pos="708"/>
                <w:tab w:val="left" w:pos="0" w:leader="none"/>
              </w:tabs>
              <w:suppressAutoHyphens w:val="true"/>
              <w:spacing w:before="0" w:after="0"/>
              <w:ind w:left="28" w:right="28" w:hanging="0"/>
              <w:contextualSpacing w:val="false"/>
              <w:jc w:val="both"/>
              <w:rPr>
                <w:i w:val="false"/>
                <w:i w:val="false"/>
                <w:iCs w:val="false"/>
                <w:sz w:val="24"/>
                <w:szCs w:val="24"/>
              </w:rPr>
            </w:pPr>
            <w:r>
              <w:rPr>
                <w:i w:val="false"/>
                <w:iCs w:val="false"/>
                <w:sz w:val="24"/>
                <w:szCs w:val="24"/>
              </w:rPr>
              <w:t>Ремонт (замена) поставленного</w:t>
            </w:r>
            <w:r>
              <w:rPr>
                <w:bCs/>
                <w:i w:val="false"/>
                <w:iCs w:val="false"/>
                <w:sz w:val="24"/>
                <w:szCs w:val="24"/>
              </w:rPr>
              <w:t xml:space="preserve"> о</w:t>
            </w:r>
            <w:r>
              <w:rPr>
                <w:i w:val="false"/>
                <w:iCs w:val="false"/>
                <w:sz w:val="24"/>
                <w:szCs w:val="24"/>
              </w:rPr>
              <w:t>борудования в период гарантийного срока.</w:t>
            </w:r>
          </w:p>
        </w:tc>
        <w:tc>
          <w:tcPr>
            <w:tcW w:w="2310" w:type="dxa"/>
            <w:tcBorders>
              <w:top w:val="nil"/>
            </w:tcBorders>
            <w:shd w:color="auto" w:fill="auto" w:val="clear"/>
          </w:tcPr>
          <w:p>
            <w:pPr>
              <w:pStyle w:val="Normal"/>
              <w:widowControl w:val="false"/>
              <w:suppressAutoHyphens w:val="true"/>
              <w:spacing w:before="0" w:after="0"/>
              <w:jc w:val="left"/>
              <w:rPr>
                <w:i w:val="false"/>
                <w:i w:val="false"/>
                <w:iCs w:val="false"/>
                <w:sz w:val="24"/>
                <w:szCs w:val="24"/>
              </w:rPr>
            </w:pPr>
            <w:r>
              <w:rPr>
                <w:i w:val="false"/>
                <w:iCs w:val="false"/>
                <w:sz w:val="24"/>
                <w:szCs w:val="24"/>
              </w:rPr>
              <w:t>Согласие с требованием</w:t>
            </w:r>
          </w:p>
        </w:tc>
        <w:tc>
          <w:tcPr>
            <w:tcW w:w="2554" w:type="dxa"/>
            <w:tcBorders>
              <w:top w:val="nil"/>
            </w:tcBorders>
            <w:shd w:color="auto" w:fill="auto" w:val="clear"/>
          </w:tcPr>
          <w:p>
            <w:pPr>
              <w:pStyle w:val="Normal"/>
              <w:widowControl w:val="false"/>
              <w:suppressAutoHyphens w:val="true"/>
              <w:spacing w:before="0" w:after="0"/>
              <w:jc w:val="left"/>
              <w:rPr>
                <w:rFonts w:ascii="Times New Roman" w:hAnsi="Times New Roman" w:eastAsia="Times New Roman" w:cs="Times New Roman"/>
                <w:i/>
                <w:i/>
                <w:iCs/>
                <w:kern w:val="0"/>
                <w:sz w:val="24"/>
                <w:szCs w:val="24"/>
                <w:lang w:val="ru-RU" w:eastAsia="ru-RU" w:bidi="ar-SA"/>
              </w:rPr>
            </w:pPr>
            <w:r>
              <w:rPr>
                <w:rFonts w:eastAsia="Times New Roman" w:cs="Times New Roman"/>
                <w:i/>
                <w:iCs/>
                <w:kern w:val="0"/>
                <w:sz w:val="24"/>
                <w:szCs w:val="24"/>
                <w:lang w:val="ru-RU" w:eastAsia="ru-RU" w:bidi="ar-SA"/>
              </w:rPr>
            </w:r>
          </w:p>
        </w:tc>
      </w:tr>
      <w:tr>
        <w:trPr/>
        <w:tc>
          <w:tcPr>
            <w:tcW w:w="912" w:type="dxa"/>
            <w:tcBorders/>
          </w:tcPr>
          <w:p>
            <w:pPr>
              <w:pStyle w:val="Normal"/>
              <w:widowControl w:val="false"/>
              <w:suppressAutoHyphens w:val="true"/>
              <w:spacing w:before="60" w:after="60"/>
              <w:jc w:val="center"/>
              <w:rPr>
                <w:i w:val="false"/>
                <w:i w:val="false"/>
                <w:iCs w:val="false"/>
              </w:rPr>
            </w:pPr>
            <w:r>
              <w:rPr>
                <w:rFonts w:eastAsia="Times New Roman" w:cs="Times New Roman"/>
                <w:i w:val="false"/>
                <w:iCs w:val="false"/>
                <w:kern w:val="0"/>
                <w:sz w:val="24"/>
                <w:szCs w:val="24"/>
                <w:lang w:val="ru-RU" w:eastAsia="ru-RU" w:bidi="ar-SA"/>
              </w:rPr>
              <w:t>2.5</w:t>
            </w:r>
          </w:p>
        </w:tc>
        <w:tc>
          <w:tcPr>
            <w:tcW w:w="2583" w:type="dxa"/>
            <w:tcBorders/>
            <w:shd w:color="auto" w:fill="auto" w:val="clear"/>
          </w:tcPr>
          <w:p>
            <w:pPr>
              <w:pStyle w:val="Normal"/>
              <w:widowControl w:val="false"/>
              <w:suppressAutoHyphens w:val="true"/>
              <w:spacing w:before="0" w:after="0"/>
              <w:ind w:left="0" w:hanging="0"/>
              <w:jc w:val="left"/>
              <w:rPr>
                <w:i w:val="false"/>
                <w:i w:val="false"/>
                <w:iCs w:val="false"/>
              </w:rPr>
            </w:pPr>
            <w:r>
              <w:rPr>
                <w:rFonts w:eastAsia="Times New Roman" w:cs="Times New Roman"/>
                <w:i w:val="false"/>
                <w:iCs w:val="false"/>
                <w:kern w:val="0"/>
                <w:sz w:val="24"/>
                <w:szCs w:val="24"/>
                <w:lang w:val="ru-RU" w:eastAsia="ru-RU" w:bidi="ar-SA"/>
              </w:rPr>
              <w:t>Требования к выполнению шеф-монтажа и испытаний</w:t>
            </w:r>
          </w:p>
        </w:tc>
        <w:tc>
          <w:tcPr>
            <w:tcW w:w="6950" w:type="dxa"/>
            <w:tcBorders/>
            <w:shd w:color="auto" w:fill="auto" w:val="clear"/>
          </w:tcPr>
          <w:p>
            <w:pPr>
              <w:pStyle w:val="LHP"/>
              <w:widowControl w:val="false"/>
              <w:numPr>
                <w:ilvl w:val="0"/>
                <w:numId w:val="20"/>
              </w:numPr>
              <w:tabs>
                <w:tab w:val="clear" w:pos="708"/>
                <w:tab w:val="left" w:pos="120" w:leader="none"/>
              </w:tabs>
              <w:suppressAutoHyphens w:val="true"/>
              <w:bidi w:val="0"/>
              <w:spacing w:lineRule="auto" w:line="240" w:before="0" w:after="0"/>
              <w:ind w:left="57" w:right="0" w:firstLine="283"/>
              <w:jc w:val="both"/>
              <w:rPr>
                <w:i w:val="false"/>
                <w:i w:val="false"/>
                <w:iCs w:val="false"/>
              </w:rPr>
            </w:pPr>
            <w:r>
              <w:rPr>
                <w:rFonts w:eastAsia="Calibri" w:cs="Times New Roman"/>
                <w:i w:val="false"/>
                <w:iCs w:val="false"/>
                <w:color w:val="auto"/>
                <w:kern w:val="0"/>
                <w:sz w:val="24"/>
                <w:szCs w:val="24"/>
                <w:lang w:val="ru-RU" w:eastAsia="ru-RU" w:bidi="ar-SA"/>
              </w:rPr>
              <w:t>Услуги по шеф-монтажу на месте при установке, монтаже и проведении приемо-сдаточных испытаний поставляемого оборудования проводятся в соответствии с «Объемами и нормами испытаний электрооборудования» РД 34.45.51.300-97, изд. 6 и заводской документацией.</w:t>
            </w:r>
          </w:p>
          <w:p>
            <w:pPr>
              <w:pStyle w:val="LHP"/>
              <w:widowControl w:val="false"/>
              <w:numPr>
                <w:ilvl w:val="0"/>
                <w:numId w:val="20"/>
              </w:numPr>
              <w:tabs>
                <w:tab w:val="clear" w:pos="708"/>
                <w:tab w:val="left" w:pos="120" w:leader="none"/>
              </w:tabs>
              <w:suppressAutoHyphens w:val="true"/>
              <w:bidi w:val="0"/>
              <w:spacing w:lineRule="auto" w:line="240" w:before="0" w:after="0"/>
              <w:ind w:left="57" w:right="0" w:firstLine="283"/>
              <w:jc w:val="both"/>
              <w:rPr>
                <w:i w:val="false"/>
                <w:i w:val="false"/>
                <w:iCs w:val="false"/>
              </w:rPr>
            </w:pPr>
            <w:r>
              <w:rPr>
                <w:rFonts w:eastAsia="Calibri" w:cs="Times New Roman"/>
                <w:i w:val="false"/>
                <w:iCs w:val="false"/>
                <w:color w:val="auto"/>
                <w:kern w:val="0"/>
                <w:sz w:val="24"/>
                <w:szCs w:val="24"/>
                <w:lang w:val="ru-RU" w:eastAsia="ru-RU" w:bidi="ar-SA"/>
              </w:rPr>
              <w:t>Поставщиком оборудования должны выполняться три вида (категории) испытаний: типовые испытания, приемо-сдаточные заводские испытания и приемо-сдаточные испытания по окончании монтажа.</w:t>
            </w:r>
          </w:p>
          <w:p>
            <w:pPr>
              <w:pStyle w:val="LHP"/>
              <w:widowControl w:val="false"/>
              <w:numPr>
                <w:ilvl w:val="0"/>
                <w:numId w:val="20"/>
              </w:numPr>
              <w:tabs>
                <w:tab w:val="clear" w:pos="708"/>
                <w:tab w:val="left" w:pos="120" w:leader="none"/>
              </w:tabs>
              <w:suppressAutoHyphens w:val="true"/>
              <w:bidi w:val="0"/>
              <w:spacing w:lineRule="auto" w:line="240" w:before="0" w:after="0"/>
              <w:ind w:left="57" w:right="0" w:firstLine="283"/>
              <w:jc w:val="both"/>
              <w:rPr>
                <w:i w:val="false"/>
                <w:i w:val="false"/>
                <w:iCs w:val="false"/>
              </w:rPr>
            </w:pPr>
            <w:r>
              <w:rPr>
                <w:rFonts w:eastAsia="Calibri" w:cs="Times New Roman"/>
                <w:i w:val="false"/>
                <w:iCs w:val="false"/>
                <w:color w:val="auto"/>
                <w:kern w:val="0"/>
                <w:sz w:val="24"/>
                <w:szCs w:val="24"/>
                <w:lang w:val="ru-RU" w:eastAsia="ru-RU" w:bidi="ar-SA"/>
              </w:rPr>
              <w:t>Поставщик, на этапе исполнения договора, представляет результаты (протоколы) проведенных ранее типовых испытаний и сертификаты соответствия ГОСТ, требованиям МЭК (IEC), а также требованиям международного стандарта системы качества ISO 9001.</w:t>
            </w:r>
          </w:p>
          <w:p>
            <w:pPr>
              <w:pStyle w:val="LHP"/>
              <w:widowControl w:val="false"/>
              <w:numPr>
                <w:ilvl w:val="0"/>
                <w:numId w:val="20"/>
              </w:numPr>
              <w:tabs>
                <w:tab w:val="clear" w:pos="708"/>
                <w:tab w:val="left" w:pos="120" w:leader="none"/>
              </w:tabs>
              <w:suppressAutoHyphens w:val="true"/>
              <w:bidi w:val="0"/>
              <w:spacing w:lineRule="auto" w:line="240" w:before="0" w:after="0"/>
              <w:ind w:left="57" w:right="0" w:firstLine="283"/>
              <w:jc w:val="both"/>
              <w:rPr>
                <w:i w:val="false"/>
                <w:i w:val="false"/>
                <w:iCs w:val="false"/>
              </w:rPr>
            </w:pPr>
            <w:r>
              <w:rPr>
                <w:rFonts w:eastAsia="Calibri" w:cs="Times New Roman"/>
                <w:i w:val="false"/>
                <w:iCs w:val="false"/>
                <w:color w:val="auto"/>
                <w:kern w:val="0"/>
                <w:sz w:val="24"/>
                <w:szCs w:val="24"/>
                <w:lang w:val="ru-RU" w:eastAsia="ru-RU" w:bidi="ar-SA"/>
              </w:rPr>
              <w:t>Результаты испытаний должны подтверждать, что поставляемое оборудование соответствует техническим требованиям.</w:t>
            </w:r>
          </w:p>
          <w:p>
            <w:pPr>
              <w:pStyle w:val="LHP"/>
              <w:widowControl w:val="false"/>
              <w:numPr>
                <w:ilvl w:val="0"/>
                <w:numId w:val="20"/>
              </w:numPr>
              <w:tabs>
                <w:tab w:val="clear" w:pos="708"/>
                <w:tab w:val="left" w:pos="120" w:leader="none"/>
              </w:tabs>
              <w:suppressAutoHyphens w:val="true"/>
              <w:bidi w:val="0"/>
              <w:spacing w:lineRule="auto" w:line="240" w:before="0" w:after="0"/>
              <w:ind w:left="57" w:right="0" w:firstLine="283"/>
              <w:jc w:val="both"/>
              <w:rPr>
                <w:i w:val="false"/>
                <w:i w:val="false"/>
                <w:iCs w:val="false"/>
              </w:rPr>
            </w:pPr>
            <w:r>
              <w:rPr>
                <w:rFonts w:eastAsia="Calibri" w:cs="Times New Roman"/>
                <w:i w:val="false"/>
                <w:iCs w:val="false"/>
                <w:color w:val="auto"/>
                <w:kern w:val="0"/>
                <w:sz w:val="24"/>
                <w:szCs w:val="24"/>
                <w:lang w:val="ru-RU" w:eastAsia="ru-RU" w:bidi="ar-SA"/>
              </w:rPr>
              <w:t>Приемо-сдаточные заводские испытания производятся на заводе на собранном оборудовании в присутствии Заказчика перед отправкой оборудования. Объем этих испытаний должен соответствовать рекомендациям ГОСТ и МЭК (IEC).</w:t>
            </w:r>
          </w:p>
          <w:p>
            <w:pPr>
              <w:pStyle w:val="LHP"/>
              <w:widowControl w:val="false"/>
              <w:numPr>
                <w:ilvl w:val="0"/>
                <w:numId w:val="20"/>
              </w:numPr>
              <w:tabs>
                <w:tab w:val="clear" w:pos="708"/>
                <w:tab w:val="left" w:pos="120" w:leader="none"/>
              </w:tabs>
              <w:suppressAutoHyphens w:val="true"/>
              <w:bidi w:val="0"/>
              <w:spacing w:lineRule="auto" w:line="240" w:before="0" w:after="0"/>
              <w:ind w:left="57" w:right="0" w:firstLine="283"/>
              <w:jc w:val="both"/>
              <w:rPr>
                <w:i w:val="false"/>
                <w:i w:val="false"/>
                <w:iCs w:val="false"/>
              </w:rPr>
            </w:pPr>
            <w:r>
              <w:rPr>
                <w:rFonts w:eastAsia="Calibri" w:cs="Times New Roman"/>
                <w:i w:val="false"/>
                <w:iCs w:val="false"/>
                <w:color w:val="auto"/>
                <w:kern w:val="0"/>
                <w:sz w:val="24"/>
                <w:szCs w:val="24"/>
                <w:lang w:val="ru-RU" w:eastAsia="ru-RU" w:bidi="ar-SA"/>
              </w:rPr>
              <w:t>Поставщик, на этапе исполнения договора, должен представить состав, основные параметры и габариты испытательного оборудования, необходимого при проведении приемо-сдаточных испытаний на месте, включая ввозимое или представляемое</w:t>
            </w:r>
          </w:p>
          <w:p>
            <w:pPr>
              <w:pStyle w:val="LHP"/>
              <w:widowControl w:val="false"/>
              <w:numPr>
                <w:ilvl w:val="0"/>
                <w:numId w:val="20"/>
              </w:numPr>
              <w:tabs>
                <w:tab w:val="clear" w:pos="708"/>
                <w:tab w:val="left" w:pos="120" w:leader="none"/>
              </w:tabs>
              <w:suppressAutoHyphens w:val="true"/>
              <w:bidi w:val="0"/>
              <w:spacing w:lineRule="auto" w:line="240" w:before="0" w:after="0"/>
              <w:ind w:left="57" w:right="0" w:firstLine="283"/>
              <w:jc w:val="both"/>
              <w:rPr>
                <w:i w:val="false"/>
                <w:i w:val="false"/>
                <w:iCs w:val="false"/>
              </w:rPr>
            </w:pPr>
            <w:r>
              <w:rPr>
                <w:rFonts w:eastAsia="Calibri" w:cs="Times New Roman"/>
                <w:i w:val="false"/>
                <w:iCs w:val="false"/>
                <w:color w:val="auto"/>
                <w:kern w:val="0"/>
                <w:sz w:val="24"/>
                <w:szCs w:val="24"/>
                <w:lang w:val="ru-RU" w:eastAsia="ru-RU" w:bidi="ar-SA"/>
              </w:rPr>
              <w:t>Поставщиком испытательное оборудование, для подготовки Заказчиком необходимых площадей и организации электроснабжения.</w:t>
            </w:r>
          </w:p>
          <w:p>
            <w:pPr>
              <w:pStyle w:val="LHP"/>
              <w:widowControl w:val="false"/>
              <w:numPr>
                <w:ilvl w:val="0"/>
                <w:numId w:val="20"/>
              </w:numPr>
              <w:tabs>
                <w:tab w:val="clear" w:pos="708"/>
                <w:tab w:val="left" w:pos="120" w:leader="none"/>
              </w:tabs>
              <w:suppressAutoHyphens w:val="true"/>
              <w:bidi w:val="0"/>
              <w:spacing w:lineRule="auto" w:line="240" w:before="0" w:after="0"/>
              <w:ind w:left="57" w:right="0" w:firstLine="283"/>
              <w:jc w:val="both"/>
              <w:rPr>
                <w:i w:val="false"/>
                <w:i w:val="false"/>
                <w:iCs w:val="false"/>
              </w:rPr>
            </w:pPr>
            <w:r>
              <w:rPr>
                <w:rFonts w:eastAsia="Calibri" w:cs="Times New Roman"/>
                <w:i w:val="false"/>
                <w:iCs w:val="false"/>
                <w:color w:val="auto"/>
                <w:kern w:val="0"/>
                <w:sz w:val="24"/>
                <w:szCs w:val="24"/>
                <w:lang w:val="ru-RU" w:eastAsia="ru-RU" w:bidi="ar-SA"/>
              </w:rPr>
              <w:t>В процессе шеф-наладки на месте монтажа осуществляется также проверка цепей измерения, управления и сигнализации, состояние герметичности и др. согласно заводским инструкциям.</w:t>
            </w:r>
          </w:p>
          <w:p>
            <w:pPr>
              <w:pStyle w:val="LHP"/>
              <w:widowControl w:val="false"/>
              <w:numPr>
                <w:ilvl w:val="0"/>
                <w:numId w:val="20"/>
              </w:numPr>
              <w:tabs>
                <w:tab w:val="clear" w:pos="708"/>
                <w:tab w:val="left" w:pos="120" w:leader="none"/>
              </w:tabs>
              <w:suppressAutoHyphens w:val="true"/>
              <w:bidi w:val="0"/>
              <w:spacing w:lineRule="auto" w:line="240" w:before="0" w:after="0"/>
              <w:ind w:left="57" w:right="0" w:firstLine="283"/>
              <w:jc w:val="both"/>
              <w:rPr>
                <w:i w:val="false"/>
                <w:i w:val="false"/>
                <w:iCs w:val="false"/>
              </w:rPr>
            </w:pPr>
            <w:r>
              <w:rPr>
                <w:rFonts w:eastAsia="Calibri" w:cs="Times New Roman"/>
                <w:i w:val="false"/>
                <w:iCs w:val="false"/>
                <w:color w:val="auto"/>
                <w:kern w:val="0"/>
                <w:sz w:val="24"/>
                <w:szCs w:val="24"/>
                <w:lang w:val="ru-RU" w:eastAsia="ru-RU" w:bidi="ar-SA"/>
              </w:rPr>
              <w:t>Результаты этих испытаний должны соответствовать результатам заводских испытаний и требуемым техническим характеристикам.</w:t>
            </w:r>
          </w:p>
        </w:tc>
        <w:tc>
          <w:tcPr>
            <w:tcW w:w="2310" w:type="dxa"/>
            <w:tcBorders/>
            <w:shd w:color="auto" w:fill="auto" w:val="clear"/>
          </w:tcPr>
          <w:p>
            <w:pPr>
              <w:pStyle w:val="Normal"/>
              <w:widowControl w:val="false"/>
              <w:suppressAutoHyphens w:val="true"/>
              <w:spacing w:before="0" w:after="0"/>
              <w:jc w:val="left"/>
              <w:rPr>
                <w:i w:val="false"/>
                <w:i w:val="false"/>
                <w:iCs w:val="false"/>
                <w:sz w:val="24"/>
                <w:szCs w:val="24"/>
              </w:rPr>
            </w:pPr>
            <w:r>
              <w:rPr>
                <w:i w:val="false"/>
                <w:iCs w:val="false"/>
                <w:sz w:val="24"/>
                <w:szCs w:val="24"/>
              </w:rPr>
              <w:t>Согласие с требованием</w:t>
            </w:r>
          </w:p>
        </w:tc>
        <w:tc>
          <w:tcPr>
            <w:tcW w:w="2554"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i/>
                <w:i/>
                <w:iCs/>
                <w:kern w:val="0"/>
                <w:sz w:val="24"/>
                <w:szCs w:val="24"/>
                <w:lang w:val="ru-RU" w:eastAsia="ru-RU" w:bidi="ar-SA"/>
              </w:rPr>
            </w:pPr>
            <w:r>
              <w:rPr>
                <w:rFonts w:eastAsia="Times New Roman" w:cs="Times New Roman"/>
                <w:i/>
                <w:iCs/>
                <w:kern w:val="0"/>
                <w:sz w:val="24"/>
                <w:szCs w:val="24"/>
                <w:lang w:val="ru-RU" w:eastAsia="ru-RU" w:bidi="ar-SA"/>
              </w:rPr>
            </w:r>
          </w:p>
        </w:tc>
      </w:tr>
      <w:tr>
        <w:trPr/>
        <w:tc>
          <w:tcPr>
            <w:tcW w:w="912" w:type="dxa"/>
            <w:tcBorders/>
            <w:vAlign w:val="center"/>
          </w:tcPr>
          <w:p>
            <w:pPr>
              <w:pStyle w:val="ListParagraph"/>
              <w:widowControl w:val="false"/>
              <w:numPr>
                <w:ilvl w:val="0"/>
                <w:numId w:val="7"/>
              </w:numPr>
              <w:suppressAutoHyphens w:val="true"/>
              <w:spacing w:before="60" w:after="60"/>
              <w:ind w:left="-117" w:firstLine="142"/>
              <w:contextualSpacing/>
              <w:jc w:val="center"/>
              <w:rPr>
                <w:rFonts w:ascii="Times New Roman" w:hAnsi="Times New Roman" w:cs="Times New Roman"/>
                <w:i/>
                <w:i/>
                <w:iCs/>
                <w:kern w:val="0"/>
                <w:lang w:val="en-US" w:eastAsia="ru-RU" w:bidi="ar-SA"/>
              </w:rPr>
            </w:pPr>
            <w:r>
              <w:rPr>
                <w:rFonts w:cs="Times New Roman"/>
                <w:i/>
                <w:iCs/>
                <w:kern w:val="0"/>
                <w:lang w:val="en-US" w:eastAsia="ru-RU" w:bidi="ar-SA"/>
              </w:rPr>
            </w:r>
          </w:p>
        </w:tc>
        <w:tc>
          <w:tcPr>
            <w:tcW w:w="9533" w:type="dxa"/>
            <w:gridSpan w:val="2"/>
            <w:tcBorders/>
            <w:vAlign w:val="center"/>
          </w:tcPr>
          <w:p>
            <w:pPr>
              <w:pStyle w:val="Normal"/>
              <w:widowControl w:val="false"/>
              <w:suppressAutoHyphens w:val="true"/>
              <w:spacing w:before="60" w:after="0"/>
              <w:jc w:val="left"/>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Требования к организации работ / услуг</w:t>
            </w:r>
          </w:p>
        </w:tc>
        <w:tc>
          <w:tcPr>
            <w:tcW w:w="2310"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2554"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912" w:type="dxa"/>
            <w:tcBorders/>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2583" w:type="dxa"/>
            <w:tcBorders/>
          </w:tcPr>
          <w:p>
            <w:pPr>
              <w:pStyle w:val="Normal"/>
              <w:widowControl w:val="false"/>
              <w:tabs>
                <w:tab w:val="clear" w:pos="708"/>
                <w:tab w:val="left" w:pos="426" w:leader="none"/>
              </w:tabs>
              <w:suppressAutoHyphens w:val="true"/>
              <w:spacing w:before="60" w:after="0"/>
              <w:jc w:val="left"/>
              <w:rPr>
                <w:i w:val="false"/>
                <w:i w:val="false"/>
                <w:iCs w:val="false"/>
              </w:rPr>
            </w:pPr>
            <w:r>
              <w:rPr>
                <w:rFonts w:eastAsia="Times New Roman" w:cs="Times New Roman"/>
                <w:i w:val="false"/>
                <w:iCs w:val="false"/>
                <w:kern w:val="0"/>
                <w:sz w:val="24"/>
                <w:szCs w:val="24"/>
                <w:lang w:val="ru-RU" w:eastAsia="ru-RU" w:bidi="ar-SA"/>
              </w:rPr>
              <w:t>Организационно-технические мероприятия по допуску персонала подрядчика</w:t>
            </w:r>
          </w:p>
          <w:p>
            <w:pPr>
              <w:pStyle w:val="Style29"/>
              <w:keepNext w:val="false"/>
              <w:widowControl w:val="false"/>
              <w:numPr>
                <w:ilvl w:val="0"/>
                <w:numId w:val="0"/>
              </w:numPr>
              <w:suppressAutoHyphens w:val="true"/>
              <w:spacing w:before="0" w:after="60"/>
              <w:ind w:left="0" w:hanging="0"/>
              <w:jc w:val="left"/>
              <w:outlineLvl w:val="2"/>
              <w:rPr>
                <w:rFonts w:ascii="Times New Roman" w:hAnsi="Times New Roman" w:eastAsia="Times New Roman" w:cs="Times New Roman"/>
                <w:b w:val="false"/>
                <w:i w:val="false"/>
                <w:i w:val="false"/>
                <w:iCs w:val="false"/>
                <w:kern w:val="0"/>
                <w:sz w:val="20"/>
                <w:szCs w:val="20"/>
                <w:lang w:val="ru-RU" w:eastAsia="ru-RU" w:bidi="ar-SA"/>
              </w:rPr>
            </w:pPr>
            <w:r>
              <w:rPr>
                <w:rFonts w:eastAsia="Times New Roman" w:cs="Times New Roman"/>
                <w:b w:val="false"/>
                <w:i w:val="false"/>
                <w:iCs w:val="false"/>
                <w:kern w:val="0"/>
                <w:sz w:val="20"/>
                <w:szCs w:val="20"/>
                <w:lang w:val="ru-RU" w:eastAsia="ru-RU" w:bidi="ar-SA"/>
              </w:rPr>
            </w:r>
          </w:p>
        </w:tc>
        <w:tc>
          <w:tcPr>
            <w:tcW w:w="6950" w:type="dxa"/>
            <w:tcBorders/>
          </w:tcPr>
          <w:p>
            <w:pPr>
              <w:pStyle w:val="Normal"/>
              <w:widowControl w:val="false"/>
              <w:tabs>
                <w:tab w:val="clear" w:pos="708"/>
                <w:tab w:val="left" w:pos="426" w:leader="none"/>
              </w:tabs>
              <w:suppressAutoHyphens w:val="true"/>
              <w:spacing w:before="60" w:after="0"/>
              <w:jc w:val="left"/>
              <w:rPr>
                <w:i w:val="false"/>
                <w:i w:val="false"/>
                <w:iCs w:val="false"/>
              </w:rPr>
            </w:pPr>
            <w:r>
              <w:rPr>
                <w:rFonts w:eastAsia="Times New Roman" w:cs="Times New Roman"/>
                <w:i w:val="false"/>
                <w:iCs w:val="false"/>
                <w:kern w:val="0"/>
                <w:sz w:val="24"/>
                <w:szCs w:val="24"/>
                <w:lang w:val="ru-RU" w:eastAsia="ru-RU" w:bidi="ar-SA"/>
              </w:rPr>
              <w:t>Допуск персонала подрядчика для выполнения работ должен осуществляется в соответствии со следующими документами:</w:t>
            </w:r>
          </w:p>
          <w:p>
            <w:pPr>
              <w:pStyle w:val="Normal"/>
              <w:widowControl w:val="false"/>
              <w:numPr>
                <w:ilvl w:val="0"/>
                <w:numId w:val="21"/>
              </w:numPr>
              <w:tabs>
                <w:tab w:val="clear" w:pos="708"/>
                <w:tab w:val="left" w:pos="567" w:leader="none"/>
                <w:tab w:val="left" w:pos="1276" w:leader="none"/>
              </w:tabs>
              <w:spacing w:lineRule="auto" w:line="240" w:before="0" w:after="0"/>
              <w:ind w:left="0" w:hanging="0"/>
              <w:contextualSpacing/>
              <w:jc w:val="both"/>
              <w:rPr>
                <w:i w:val="false"/>
                <w:i w:val="false"/>
                <w:iCs w:val="false"/>
              </w:rPr>
            </w:pPr>
            <w:r>
              <w:rPr>
                <w:rFonts w:eastAsia="Times New Roman" w:cs="Times New Roman"/>
                <w:i w:val="false"/>
                <w:iCs w:val="false"/>
                <w:color w:val="auto"/>
                <w:kern w:val="0"/>
                <w:sz w:val="24"/>
                <w:szCs w:val="24"/>
                <w:lang w:val="ru-RU" w:eastAsia="ru-RU" w:bidi="ar-SA"/>
              </w:rPr>
              <w:t xml:space="preserve">Регламент процесса «Допуск персонала подрядных организаций на объекты ПАО «РусГидро» </w:t>
            </w:r>
            <w:r>
              <w:rPr>
                <w:rFonts w:eastAsia="Times New Roman" w:cs="Times New Roman"/>
                <w:i w:val="false"/>
                <w:iCs w:val="false"/>
                <w:kern w:val="0"/>
                <w:sz w:val="24"/>
                <w:szCs w:val="24"/>
                <w:lang w:val="ru-RU" w:eastAsia="ru-RU" w:bidi="ar-SA"/>
              </w:rPr>
              <w:t xml:space="preserve">(утв. приказом ПАО «РусГидро» №300 от 24.08.2023 г) (Приложение № 4 </w:t>
            </w:r>
            <w:r>
              <w:rPr>
                <w:rFonts w:eastAsia="Times New Roman" w:cs="Times New Roman"/>
                <w:i w:val="false"/>
                <w:iCs w:val="false"/>
                <w:color w:val="auto"/>
                <w:kern w:val="0"/>
                <w:sz w:val="24"/>
                <w:szCs w:val="24"/>
                <w:lang w:val="ru-RU" w:eastAsia="ru-RU" w:bidi="ar-SA"/>
              </w:rPr>
              <w:t>к настоящим ТТ</w:t>
            </w:r>
            <w:r>
              <w:rPr>
                <w:rFonts w:eastAsia="Times New Roman" w:cs="Times New Roman"/>
                <w:i w:val="false"/>
                <w:iCs w:val="false"/>
                <w:kern w:val="0"/>
                <w:sz w:val="24"/>
                <w:szCs w:val="24"/>
                <w:lang w:val="ru-RU" w:eastAsia="ru-RU" w:bidi="ar-SA"/>
              </w:rPr>
              <w:t>);</w:t>
            </w:r>
          </w:p>
          <w:p>
            <w:pPr>
              <w:pStyle w:val="Normal"/>
              <w:widowControl w:val="false"/>
              <w:numPr>
                <w:ilvl w:val="0"/>
                <w:numId w:val="21"/>
              </w:numPr>
              <w:tabs>
                <w:tab w:val="clear" w:pos="708"/>
                <w:tab w:val="left" w:pos="225" w:leader="none"/>
              </w:tabs>
              <w:suppressAutoHyphens w:val="true"/>
              <w:bidi w:val="0"/>
              <w:spacing w:before="60" w:after="0"/>
              <w:ind w:left="170" w:right="0" w:firstLine="57"/>
              <w:jc w:val="left"/>
              <w:rPr>
                <w:i w:val="false"/>
                <w:i w:val="false"/>
                <w:iCs w:val="false"/>
              </w:rPr>
            </w:pPr>
            <w:r>
              <w:rPr>
                <w:rFonts w:eastAsia="Times New Roman" w:cs="Times New Roman"/>
                <w:i w:val="false"/>
                <w:iCs w:val="false"/>
                <w:kern w:val="0"/>
                <w:sz w:val="24"/>
                <w:szCs w:val="24"/>
                <w:lang w:val="ru-RU" w:eastAsia="ru-RU" w:bidi="ar-SA"/>
              </w:rPr>
              <w:t xml:space="preserve">Приказ филиала ПАО «РусГидро» - «Саяно-Шушенская ГЭС имени П.С. Непорожнего» от 30.12.2025 № СШГЭС/95-730 «Об упорядочивании допуска персонала подрядных организаций» (Приложение № 5 к </w:t>
            </w:r>
            <w:r>
              <w:rPr>
                <w:rFonts w:eastAsia="Times New Roman" w:cs="Times New Roman"/>
                <w:i w:val="false"/>
                <w:iCs w:val="false"/>
                <w:color w:val="auto"/>
                <w:kern w:val="0"/>
                <w:sz w:val="24"/>
                <w:szCs w:val="24"/>
                <w:lang w:val="ru-RU" w:eastAsia="ru-RU" w:bidi="ar-SA"/>
              </w:rPr>
              <w:t>настоящим ТТ</w:t>
            </w:r>
            <w:r>
              <w:rPr>
                <w:rFonts w:eastAsia="Times New Roman" w:cs="Times New Roman"/>
                <w:i w:val="false"/>
                <w:iCs w:val="false"/>
                <w:kern w:val="0"/>
                <w:sz w:val="24"/>
                <w:szCs w:val="24"/>
                <w:lang w:val="ru-RU" w:eastAsia="ru-RU" w:bidi="ar-SA"/>
              </w:rPr>
              <w:t>),</w:t>
            </w:r>
          </w:p>
          <w:p>
            <w:pPr>
              <w:pStyle w:val="Normal"/>
              <w:widowControl w:val="false"/>
              <w:tabs>
                <w:tab w:val="clear" w:pos="708"/>
                <w:tab w:val="left" w:pos="426" w:leader="none"/>
              </w:tabs>
              <w:suppressAutoHyphens w:val="true"/>
              <w:spacing w:before="60" w:after="0"/>
              <w:jc w:val="left"/>
              <w:rPr>
                <w:i w:val="false"/>
                <w:i w:val="false"/>
                <w:iCs w:val="false"/>
              </w:rPr>
            </w:pPr>
            <w:r>
              <w:rPr>
                <w:rFonts w:eastAsia="Times New Roman" w:cs="Times New Roman"/>
                <w:i w:val="false"/>
                <w:iCs w:val="false"/>
                <w:kern w:val="0"/>
                <w:sz w:val="24"/>
                <w:szCs w:val="24"/>
                <w:lang w:val="ru-RU" w:eastAsia="ru-RU" w:bidi="ar-SA"/>
              </w:rPr>
              <w:t>с обязательным оформлением необходимых нарядов-допусков.</w:t>
            </w:r>
          </w:p>
          <w:p>
            <w:pPr>
              <w:pStyle w:val="Normal"/>
              <w:widowControl w:val="false"/>
              <w:tabs>
                <w:tab w:val="clear" w:pos="708"/>
                <w:tab w:val="left" w:pos="426" w:leader="none"/>
              </w:tabs>
              <w:suppressAutoHyphens w:val="true"/>
              <w:spacing w:before="60" w:after="0"/>
              <w:jc w:val="left"/>
              <w:rPr>
                <w:i w:val="false"/>
                <w:i w:val="false"/>
                <w:iCs w:val="false"/>
              </w:rPr>
            </w:pPr>
            <w:r>
              <w:rPr>
                <w:rFonts w:eastAsia="Times New Roman" w:cs="Times New Roman"/>
                <w:i w:val="false"/>
                <w:iCs w:val="false"/>
                <w:kern w:val="0"/>
                <w:sz w:val="24"/>
                <w:szCs w:val="24"/>
                <w:lang w:val="ru-RU" w:eastAsia="ru-RU" w:bidi="ar-SA"/>
              </w:rPr>
              <w:t xml:space="preserve">Подготовку рабочих мест и допуск к выполнению работ выполняет персонал заказчика. </w:t>
            </w:r>
          </w:p>
        </w:tc>
        <w:tc>
          <w:tcPr>
            <w:tcW w:w="2310"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Согласие с требованием</w:t>
            </w:r>
          </w:p>
        </w:tc>
        <w:tc>
          <w:tcPr>
            <w:tcW w:w="2554"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w:t>
            </w:r>
          </w:p>
        </w:tc>
      </w:tr>
      <w:tr>
        <w:trPr/>
        <w:tc>
          <w:tcPr>
            <w:tcW w:w="912" w:type="dxa"/>
            <w:tcBorders>
              <w:top w:val="nil"/>
            </w:tcBorders>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t>‍</w:t>
            </w:r>
          </w:p>
        </w:tc>
        <w:tc>
          <w:tcPr>
            <w:tcW w:w="2583" w:type="dxa"/>
            <w:tcBorders>
              <w:top w:val="nil"/>
            </w:tcBorders>
          </w:tcPr>
          <w:p>
            <w:pPr>
              <w:pStyle w:val="Normal"/>
              <w:widowControl w:val="false"/>
              <w:bidi w:val="0"/>
              <w:spacing w:lineRule="atLeast" w:line="100" w:before="0" w:after="0"/>
              <w:ind w:left="0" w:right="0" w:hanging="0"/>
              <w:jc w:val="left"/>
              <w:rPr>
                <w:sz w:val="24"/>
                <w:szCs w:val="28"/>
              </w:rPr>
            </w:pPr>
            <w:r>
              <w:rPr>
                <w:b w:val="false"/>
                <w:i w:val="false"/>
                <w:strike w:val="false"/>
                <w:dstrike w:val="false"/>
                <w:outline w:val="false"/>
                <w:shadow w:val="false"/>
                <w:color w:val="auto"/>
                <w:spacing w:val="0"/>
                <w:kern w:val="0"/>
                <w:sz w:val="24"/>
                <w:szCs w:val="28"/>
                <w:u w:val="none"/>
                <w:em w:val="none"/>
              </w:rPr>
              <w:t>Мероприятия по обеспечению средств защиты персонала от диких животных (в т. ч. медведей) при выполнении работ</w:t>
            </w:r>
          </w:p>
        </w:tc>
        <w:tc>
          <w:tcPr>
            <w:tcW w:w="6950" w:type="dxa"/>
            <w:tcBorders>
              <w:top w:val="nil"/>
            </w:tcBorders>
          </w:tcPr>
          <w:p>
            <w:pPr>
              <w:pStyle w:val="Normal"/>
              <w:widowControl w:val="false"/>
              <w:tabs>
                <w:tab w:val="clear" w:pos="708"/>
                <w:tab w:val="left" w:pos="426" w:leader="none"/>
              </w:tabs>
              <w:suppressAutoHyphens w:val="true"/>
              <w:spacing w:before="60" w:after="0"/>
              <w:jc w:val="left"/>
              <w:rPr>
                <w:i w:val="false"/>
                <w:i w:val="false"/>
                <w:iCs w:val="false"/>
                <w:sz w:val="24"/>
                <w:szCs w:val="28"/>
              </w:rPr>
            </w:pPr>
            <w:r>
              <w:rPr>
                <w:i w:val="false"/>
                <w:iCs w:val="false"/>
                <w:sz w:val="24"/>
                <w:szCs w:val="28"/>
              </w:rPr>
              <w:t>Исполнитель должен издать приказ о введении особого режима работ в связи с угрозой выхода диких животных, определив сроки и ответственных лиц.</w:t>
            </w:r>
          </w:p>
          <w:p>
            <w:pPr>
              <w:pStyle w:val="Normal"/>
              <w:widowControl w:val="false"/>
              <w:tabs>
                <w:tab w:val="clear" w:pos="708"/>
                <w:tab w:val="left" w:pos="426" w:leader="none"/>
              </w:tabs>
              <w:suppressAutoHyphens w:val="true"/>
              <w:spacing w:before="60" w:after="0"/>
              <w:jc w:val="left"/>
              <w:rPr>
                <w:i w:val="false"/>
                <w:i w:val="false"/>
                <w:iCs w:val="false"/>
              </w:rPr>
            </w:pPr>
            <w:r>
              <w:rPr>
                <w:i w:val="false"/>
                <w:iCs w:val="false"/>
              </w:rPr>
            </w:r>
          </w:p>
        </w:tc>
        <w:tc>
          <w:tcPr>
            <w:tcW w:w="2310" w:type="dxa"/>
            <w:tcBorders>
              <w:top w:val="nil"/>
            </w:tcBorders>
          </w:tcPr>
          <w:p>
            <w:pPr>
              <w:pStyle w:val="Normal"/>
              <w:widowControl w:val="false"/>
              <w:suppressAutoHyphens w:val="true"/>
              <w:spacing w:before="0" w:after="0"/>
              <w:jc w:val="left"/>
              <w:rPr>
                <w:i w:val="false"/>
                <w:i w:val="false"/>
                <w:iCs w:val="false"/>
              </w:rPr>
            </w:pPr>
            <w:r>
              <w:rPr>
                <w:rFonts w:eastAsia="Times New Roman" w:cs="Times New Roman"/>
                <w:kern w:val="0"/>
                <w:sz w:val="24"/>
                <w:szCs w:val="24"/>
                <w:lang w:val="ru-RU" w:eastAsia="ru-RU" w:bidi="ar-SA"/>
              </w:rPr>
              <w:t>Согласие с требованием</w:t>
            </w:r>
          </w:p>
        </w:tc>
        <w:tc>
          <w:tcPr>
            <w:tcW w:w="2554" w:type="dxa"/>
            <w:tcBorders>
              <w:top w:val="nil"/>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r>
      <w:tr>
        <w:trPr/>
        <w:tc>
          <w:tcPr>
            <w:tcW w:w="912" w:type="dxa"/>
            <w:tcBorders/>
            <w:vAlign w:val="center"/>
          </w:tcPr>
          <w:p>
            <w:pPr>
              <w:pStyle w:val="ListParagraph"/>
              <w:widowControl w:val="false"/>
              <w:numPr>
                <w:ilvl w:val="0"/>
                <w:numId w:val="7"/>
              </w:numPr>
              <w:suppressAutoHyphens w:val="true"/>
              <w:spacing w:before="60" w:after="60"/>
              <w:ind w:left="-117" w:firstLine="142"/>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9533" w:type="dxa"/>
            <w:gridSpan w:val="2"/>
            <w:tcBorders/>
            <w:vAlign w:val="center"/>
          </w:tcPr>
          <w:p>
            <w:pPr>
              <w:pStyle w:val="Normal"/>
              <w:widowControl w:val="false"/>
              <w:suppressAutoHyphens w:val="true"/>
              <w:spacing w:before="60" w:after="0"/>
              <w:jc w:val="left"/>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Требования к применяемому при выполнении работ / оказании услуг оборудованию и материалам</w:t>
            </w:r>
          </w:p>
        </w:tc>
        <w:tc>
          <w:tcPr>
            <w:tcW w:w="2310"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2554"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2583" w:type="dxa"/>
            <w:tcBorders/>
          </w:tcPr>
          <w:p>
            <w:pPr>
              <w:pStyle w:val="Normal"/>
              <w:widowControl w:val="false"/>
              <w:tabs>
                <w:tab w:val="clear" w:pos="708"/>
                <w:tab w:val="left" w:pos="426" w:leader="none"/>
              </w:tabs>
              <w:suppressAutoHyphens w:val="true"/>
              <w:spacing w:before="60" w:after="0"/>
              <w:jc w:val="left"/>
              <w:rPr>
                <w:i w:val="false"/>
                <w:i w:val="false"/>
                <w:iCs w:val="false"/>
              </w:rPr>
            </w:pPr>
            <w:r>
              <w:rPr>
                <w:rFonts w:eastAsia="Times New Roman" w:cs="Times New Roman"/>
                <w:i w:val="false"/>
                <w:iCs w:val="false"/>
                <w:kern w:val="0"/>
                <w:sz w:val="24"/>
                <w:szCs w:val="24"/>
                <w:lang w:val="ru-RU" w:eastAsia="ru-RU" w:bidi="ar-SA"/>
              </w:rPr>
              <w:t>Требования к используемым запасным частям и материалам</w:t>
            </w:r>
          </w:p>
        </w:tc>
        <w:tc>
          <w:tcPr>
            <w:tcW w:w="6950"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Все поставляемое и применяемое оборудование, комплектующие, запасные части и материалы должны быть новыми и не использованными ранее</w:t>
            </w:r>
          </w:p>
        </w:tc>
        <w:tc>
          <w:tcPr>
            <w:tcW w:w="2310"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Согласие с требованием</w:t>
            </w:r>
          </w:p>
        </w:tc>
        <w:tc>
          <w:tcPr>
            <w:tcW w:w="2554"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17" w:firstLine="142"/>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9533" w:type="dxa"/>
            <w:gridSpan w:val="2"/>
            <w:tcBorders/>
            <w:vAlign w:val="center"/>
          </w:tcPr>
          <w:p>
            <w:pPr>
              <w:pStyle w:val="Normal"/>
              <w:widowControl w:val="false"/>
              <w:tabs>
                <w:tab w:val="clear" w:pos="708"/>
                <w:tab w:val="left" w:pos="426" w:leader="none"/>
              </w:tabs>
              <w:suppressAutoHyphens w:val="true"/>
              <w:spacing w:before="60" w:after="0"/>
              <w:jc w:val="left"/>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Требования к контролю качества работ / услуг и материалов</w:t>
            </w:r>
          </w:p>
        </w:tc>
        <w:tc>
          <w:tcPr>
            <w:tcW w:w="2310"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2554"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2583" w:type="dxa"/>
            <w:tcBorders/>
          </w:tcPr>
          <w:p>
            <w:pPr>
              <w:pStyle w:val="Normal"/>
              <w:widowControl w:val="false"/>
              <w:tabs>
                <w:tab w:val="clear" w:pos="708"/>
                <w:tab w:val="left" w:pos="426" w:leader="none"/>
              </w:tabs>
              <w:suppressAutoHyphens w:val="true"/>
              <w:spacing w:before="60" w:after="0"/>
              <w:jc w:val="left"/>
              <w:rPr>
                <w:i w:val="false"/>
                <w:i w:val="false"/>
                <w:iCs w:val="false"/>
              </w:rPr>
            </w:pPr>
            <w:r>
              <w:rPr>
                <w:rFonts w:eastAsia="Times New Roman" w:cs="Times New Roman"/>
                <w:i w:val="false"/>
                <w:iCs w:val="false"/>
                <w:kern w:val="0"/>
                <w:sz w:val="24"/>
                <w:szCs w:val="24"/>
                <w:lang w:val="ru-RU" w:eastAsia="ru-RU" w:bidi="ar-SA"/>
              </w:rPr>
              <w:t>Контроль качества используемых запасных частей и материалов</w:t>
            </w:r>
          </w:p>
        </w:tc>
        <w:tc>
          <w:tcPr>
            <w:tcW w:w="6950" w:type="dxa"/>
            <w:tcBorders/>
          </w:tcPr>
          <w:p>
            <w:pPr>
              <w:pStyle w:val="Normal"/>
              <w:widowControl w:val="false"/>
              <w:suppressAutoHyphens w:val="true"/>
              <w:spacing w:before="0" w:after="60"/>
              <w:jc w:val="left"/>
              <w:rPr>
                <w:i w:val="false"/>
                <w:i w:val="false"/>
                <w:iCs w:val="false"/>
              </w:rPr>
            </w:pPr>
            <w:r>
              <w:rPr>
                <w:rFonts w:eastAsia="Times New Roman" w:cs="Times New Roman"/>
                <w:i w:val="false"/>
                <w:iCs w:val="false"/>
                <w:kern w:val="0"/>
                <w:sz w:val="24"/>
                <w:szCs w:val="24"/>
                <w:lang w:val="ru-RU" w:eastAsia="ru-RU" w:bidi="ar-SA"/>
              </w:rPr>
              <w:t>Подрядчик должен обеспечить входной контроль с участием Заказчика поступающих материалов и запасных частей, включающий в себя проверку:</w:t>
            </w:r>
          </w:p>
          <w:p>
            <w:pPr>
              <w:pStyle w:val="ListParagraph"/>
              <w:widowControl w:val="false"/>
              <w:numPr>
                <w:ilvl w:val="0"/>
                <w:numId w:val="9"/>
              </w:numPr>
              <w:suppressAutoHyphens w:val="true"/>
              <w:spacing w:before="0" w:after="60"/>
              <w:ind w:left="170" w:hanging="170"/>
              <w:contextualSpacing w:val="false"/>
              <w:jc w:val="left"/>
              <w:rPr>
                <w:i w:val="false"/>
                <w:i w:val="false"/>
                <w:iCs w:val="false"/>
              </w:rPr>
            </w:pPr>
            <w:r>
              <w:rPr>
                <w:rFonts w:eastAsia="Times New Roman" w:cs="Times New Roman"/>
                <w:i w:val="false"/>
                <w:iCs w:val="false"/>
                <w:kern w:val="0"/>
                <w:lang w:val="ru-RU" w:eastAsia="ru-RU" w:bidi="ar-SA"/>
              </w:rPr>
              <w:t>наличия соответствующих сертификатов в соответствии с требованиями постановления Правительства Российской Федерации от 01.12.2009 N 982 (ред. от 21.02.2018) «Об утверждении единого перечня продукции, подлежащей обязательной сертификации»;</w:t>
            </w:r>
          </w:p>
          <w:p>
            <w:pPr>
              <w:pStyle w:val="ListParagraph"/>
              <w:widowControl w:val="false"/>
              <w:numPr>
                <w:ilvl w:val="0"/>
                <w:numId w:val="9"/>
              </w:numPr>
              <w:suppressAutoHyphens w:val="true"/>
              <w:spacing w:before="0" w:after="60"/>
              <w:ind w:left="170" w:hanging="170"/>
              <w:contextualSpacing w:val="false"/>
              <w:jc w:val="left"/>
              <w:rPr>
                <w:i w:val="false"/>
                <w:i w:val="false"/>
                <w:iCs w:val="false"/>
              </w:rPr>
            </w:pPr>
            <w:r>
              <w:rPr>
                <w:rFonts w:eastAsia="Times New Roman" w:cs="Times New Roman"/>
                <w:i w:val="false"/>
                <w:iCs w:val="false"/>
                <w:kern w:val="0"/>
                <w:lang w:val="ru-RU" w:eastAsia="ru-RU" w:bidi="ar-SA"/>
              </w:rPr>
              <w:t>наличия и надлежащего заполнения документа о качестве и соответствии приведенных в нем данных характеристикам, установленным в нормативном документе, регламентирующем технические требования к данной продукции;</w:t>
            </w:r>
          </w:p>
          <w:p>
            <w:pPr>
              <w:pStyle w:val="ListParagraph"/>
              <w:widowControl w:val="false"/>
              <w:numPr>
                <w:ilvl w:val="0"/>
                <w:numId w:val="9"/>
              </w:numPr>
              <w:suppressAutoHyphens w:val="true"/>
              <w:spacing w:before="0" w:after="60"/>
              <w:ind w:left="170" w:hanging="170"/>
              <w:contextualSpacing w:val="false"/>
              <w:jc w:val="left"/>
              <w:rPr>
                <w:i w:val="false"/>
                <w:i w:val="false"/>
                <w:iCs w:val="false"/>
              </w:rPr>
            </w:pPr>
            <w:r>
              <w:rPr>
                <w:rFonts w:eastAsia="Times New Roman" w:cs="Times New Roman"/>
                <w:i w:val="false"/>
                <w:iCs w:val="false"/>
                <w:kern w:val="0"/>
                <w:lang w:val="ru-RU" w:eastAsia="ru-RU" w:bidi="ar-SA"/>
              </w:rPr>
              <w:t>наличия маркировки, сохранности упаковки, наличия и сохранности защитных и окрасочных покрытий и т.п.;</w:t>
            </w:r>
          </w:p>
          <w:p>
            <w:pPr>
              <w:pStyle w:val="ListParagraph"/>
              <w:widowControl w:val="false"/>
              <w:numPr>
                <w:ilvl w:val="0"/>
                <w:numId w:val="9"/>
              </w:numPr>
              <w:suppressAutoHyphens w:val="true"/>
              <w:spacing w:before="0" w:after="60"/>
              <w:ind w:left="170" w:hanging="170"/>
              <w:contextualSpacing w:val="false"/>
              <w:jc w:val="left"/>
              <w:rPr>
                <w:i w:val="false"/>
                <w:i w:val="false"/>
                <w:iCs w:val="false"/>
              </w:rPr>
            </w:pPr>
            <w:r>
              <w:rPr>
                <w:rFonts w:eastAsia="Times New Roman" w:cs="Times New Roman"/>
                <w:i w:val="false"/>
                <w:iCs w:val="false"/>
                <w:kern w:val="0"/>
                <w:lang w:val="ru-RU" w:eastAsia="ru-RU" w:bidi="ar-SA"/>
              </w:rPr>
              <w:t>комплектности поставляемых материалов.</w:t>
            </w:r>
          </w:p>
        </w:tc>
        <w:tc>
          <w:tcPr>
            <w:tcW w:w="2310"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Согласие с требованием</w:t>
            </w:r>
          </w:p>
        </w:tc>
        <w:tc>
          <w:tcPr>
            <w:tcW w:w="2554"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2583"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Организация и проведение входного контроля</w:t>
            </w:r>
          </w:p>
        </w:tc>
        <w:tc>
          <w:tcPr>
            <w:tcW w:w="6950" w:type="dxa"/>
            <w:tcBorders/>
          </w:tcPr>
          <w:p>
            <w:pPr>
              <w:pStyle w:val="Normal"/>
              <w:widowControl w:val="false"/>
              <w:tabs>
                <w:tab w:val="clear" w:pos="708"/>
                <w:tab w:val="left" w:pos="8250" w:leader="none"/>
              </w:tabs>
              <w:jc w:val="left"/>
              <w:rPr>
                <w:i w:val="false"/>
                <w:i w:val="false"/>
                <w:iCs w:val="false"/>
              </w:rPr>
            </w:pPr>
            <w:r>
              <w:rPr>
                <w:rFonts w:eastAsia="Times New Roman" w:cs="Times New Roman"/>
                <w:i w:val="false"/>
                <w:iCs w:val="false"/>
                <w:color w:val="auto"/>
                <w:kern w:val="0"/>
                <w:sz w:val="24"/>
                <w:szCs w:val="24"/>
                <w:lang w:val="ru-RU" w:eastAsia="ru-RU" w:bidi="ar-SA"/>
              </w:rPr>
              <w:t>- Входной контроль должен выполняться в соответствии с регламентом процесса «Организация и проведение входного контроля материально-технических ресурсов Филиала», утв. приказом филиала ПАО «РусГидро» - «Саяно-Шушенская ГЭС имени П.С. Непорожнего» от 22.07.2025 № СШГЭС/95-389 (Приложение № 6 к ТТ);</w:t>
            </w:r>
          </w:p>
          <w:p>
            <w:pPr>
              <w:pStyle w:val="Normal"/>
              <w:widowControl w:val="false"/>
              <w:tabs>
                <w:tab w:val="clear" w:pos="708"/>
                <w:tab w:val="left" w:pos="8250" w:leader="none"/>
              </w:tabs>
              <w:jc w:val="left"/>
              <w:rPr>
                <w:i w:val="false"/>
                <w:i w:val="false"/>
                <w:iCs w:val="false"/>
              </w:rPr>
            </w:pPr>
            <w:r>
              <w:rPr>
                <w:rFonts w:eastAsia="Times New Roman" w:cs="Times New Roman"/>
                <w:i w:val="false"/>
                <w:iCs w:val="false"/>
                <w:kern w:val="0"/>
                <w:sz w:val="24"/>
                <w:szCs w:val="24"/>
                <w:lang w:val="ru-RU" w:eastAsia="ru-RU" w:bidi="ar-SA"/>
              </w:rPr>
              <w:t>- Проверка поставляемой продукции выполняется до приемки на складе Филиала с привлечением специалистов Службы мониторинга оборудования</w:t>
            </w:r>
          </w:p>
        </w:tc>
        <w:tc>
          <w:tcPr>
            <w:tcW w:w="2310" w:type="dxa"/>
            <w:tcBorders/>
          </w:tcPr>
          <w:p>
            <w:pPr>
              <w:pStyle w:val="Normal"/>
              <w:widowControl w:val="false"/>
              <w:suppressAutoHyphens w:val="true"/>
              <w:spacing w:before="0" w:after="0"/>
              <w:jc w:val="left"/>
              <w:rPr>
                <w:i w:val="false"/>
                <w:i w:val="false"/>
                <w:iCs w:val="false"/>
              </w:rPr>
            </w:pPr>
            <w:r>
              <w:rPr>
                <w:i w:val="false"/>
                <w:iCs w:val="false"/>
                <w:sz w:val="24"/>
                <w:szCs w:val="28"/>
              </w:rPr>
              <w:t>Согласие с требованием</w:t>
            </w:r>
          </w:p>
        </w:tc>
        <w:tc>
          <w:tcPr>
            <w:tcW w:w="2554" w:type="dxa"/>
            <w:tcBorders/>
          </w:tcPr>
          <w:p>
            <w:pPr>
              <w:pStyle w:val="Normal"/>
              <w:widowControl w:val="false"/>
              <w:suppressAutoHyphens w:val="true"/>
              <w:spacing w:before="0" w:after="0"/>
              <w:jc w:val="left"/>
              <w:rPr>
                <w:rFonts w:ascii="Times New Roman" w:hAnsi="Times New Roman" w:eastAsia="Times New Roman" w:cs="Times New Roman"/>
                <w:i/>
                <w:i/>
                <w:iCs/>
                <w:kern w:val="0"/>
                <w:sz w:val="24"/>
                <w:szCs w:val="24"/>
                <w:lang w:val="ru-RU" w:eastAsia="ru-RU" w:bidi="ar-SA"/>
              </w:rPr>
            </w:pPr>
            <w:r>
              <w:rPr>
                <w:rFonts w:eastAsia="Times New Roman" w:cs="Times New Roman"/>
                <w:i/>
                <w:iCs/>
                <w:kern w:val="0"/>
                <w:sz w:val="24"/>
                <w:szCs w:val="24"/>
                <w:lang w:val="ru-RU" w:eastAsia="ru-RU" w:bidi="ar-SA"/>
              </w:rPr>
            </w:r>
          </w:p>
        </w:tc>
      </w:tr>
      <w:tr>
        <w:trPr/>
        <w:tc>
          <w:tcPr>
            <w:tcW w:w="912" w:type="dxa"/>
            <w:tcBorders/>
            <w:vAlign w:val="center"/>
          </w:tcPr>
          <w:p>
            <w:pPr>
              <w:pStyle w:val="ListParagraph"/>
              <w:widowControl w:val="false"/>
              <w:numPr>
                <w:ilvl w:val="0"/>
                <w:numId w:val="7"/>
              </w:numPr>
              <w:suppressAutoHyphens w:val="true"/>
              <w:spacing w:before="60" w:after="60"/>
              <w:ind w:left="-117" w:firstLine="142"/>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9533" w:type="dxa"/>
            <w:gridSpan w:val="2"/>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Требования к персоналу подрядчика / исполнителя</w:t>
            </w:r>
          </w:p>
        </w:tc>
        <w:tc>
          <w:tcPr>
            <w:tcW w:w="2310"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2554"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2583" w:type="dxa"/>
            <w:tcBorders/>
          </w:tcPr>
          <w:p>
            <w:pPr>
              <w:pStyle w:val="Normal"/>
              <w:widowControl w:val="false"/>
              <w:tabs>
                <w:tab w:val="clear" w:pos="708"/>
                <w:tab w:val="left" w:pos="426" w:leader="none"/>
              </w:tabs>
              <w:suppressAutoHyphens w:val="true"/>
              <w:spacing w:before="60" w:after="0"/>
              <w:jc w:val="left"/>
              <w:rPr>
                <w:i w:val="false"/>
                <w:i w:val="false"/>
                <w:iCs w:val="false"/>
              </w:rPr>
            </w:pPr>
            <w:r>
              <w:rPr>
                <w:rFonts w:eastAsia="Times New Roman" w:cs="Times New Roman"/>
                <w:i w:val="false"/>
                <w:iCs w:val="false"/>
                <w:kern w:val="0"/>
                <w:sz w:val="24"/>
                <w:szCs w:val="24"/>
                <w:lang w:val="ru-RU" w:eastAsia="ru-RU" w:bidi="ar-SA"/>
              </w:rPr>
              <w:t>Квалификация персонала подрядчика, привлекаемого к выполнению работ</w:t>
            </w:r>
          </w:p>
          <w:p>
            <w:pPr>
              <w:pStyle w:val="Style29"/>
              <w:keepNext w:val="false"/>
              <w:widowControl w:val="false"/>
              <w:numPr>
                <w:ilvl w:val="0"/>
                <w:numId w:val="0"/>
              </w:numPr>
              <w:suppressAutoHyphens w:val="true"/>
              <w:spacing w:before="0" w:after="60"/>
              <w:ind w:left="0" w:hanging="0"/>
              <w:jc w:val="left"/>
              <w:outlineLvl w:val="3"/>
              <w:rPr>
                <w:rFonts w:ascii="Times New Roman" w:hAnsi="Times New Roman" w:eastAsia="Times New Roman" w:cs="Times New Roman"/>
                <w:b w:val="false"/>
                <w:i w:val="false"/>
                <w:i w:val="false"/>
                <w:iCs w:val="false"/>
                <w:kern w:val="0"/>
                <w:sz w:val="20"/>
                <w:szCs w:val="20"/>
                <w:lang w:val="ru-RU" w:eastAsia="ru-RU" w:bidi="ar-SA"/>
              </w:rPr>
            </w:pPr>
            <w:r>
              <w:rPr>
                <w:rFonts w:eastAsia="Times New Roman" w:cs="Times New Roman"/>
                <w:b w:val="false"/>
                <w:i w:val="false"/>
                <w:iCs w:val="false"/>
                <w:kern w:val="0"/>
                <w:sz w:val="20"/>
                <w:szCs w:val="20"/>
                <w:lang w:val="ru-RU" w:eastAsia="ru-RU" w:bidi="ar-SA"/>
              </w:rPr>
            </w:r>
          </w:p>
        </w:tc>
        <w:tc>
          <w:tcPr>
            <w:tcW w:w="6950" w:type="dxa"/>
            <w:tcBorders/>
          </w:tcPr>
          <w:p>
            <w:pPr>
              <w:pStyle w:val="ListParagraph"/>
              <w:widowControl w:val="false"/>
              <w:numPr>
                <w:ilvl w:val="0"/>
                <w:numId w:val="0"/>
              </w:numPr>
              <w:tabs>
                <w:tab w:val="clear" w:pos="708"/>
                <w:tab w:val="left" w:pos="426" w:leader="none"/>
              </w:tabs>
              <w:suppressAutoHyphens w:val="true"/>
              <w:spacing w:before="60" w:after="0"/>
              <w:ind w:left="27" w:hanging="0"/>
              <w:contextualSpacing/>
              <w:jc w:val="left"/>
              <w:rPr>
                <w:i w:val="false"/>
                <w:i w:val="false"/>
                <w:iCs w:val="false"/>
              </w:rPr>
            </w:pPr>
            <w:r>
              <w:rPr>
                <w:rFonts w:cs="Times New Roman"/>
                <w:i w:val="false"/>
                <w:iCs w:val="false"/>
                <w:kern w:val="0"/>
                <w:lang w:val="ru-RU" w:eastAsia="ru-RU" w:bidi="ar-SA"/>
              </w:rPr>
              <w:t>До начала проведения работ в рамках исполнения договора после его заключения подрядчик предоставляет список персонала с указанием сведений о квалификации персонала, разряде и группе по электробезопасности  с приложением копий  удостоверений на производство специальных видов работ (огневых, грузоподъемных, работ с электро - и пневмоинструментом) (возможно совмещение специальностей).</w:t>
            </w:r>
          </w:p>
        </w:tc>
        <w:tc>
          <w:tcPr>
            <w:tcW w:w="2310"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Согласие с требованием</w:t>
            </w:r>
          </w:p>
        </w:tc>
        <w:tc>
          <w:tcPr>
            <w:tcW w:w="2554"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w:t>
            </w:r>
          </w:p>
        </w:tc>
      </w:tr>
      <w:tr>
        <w:trPr/>
        <w:tc>
          <w:tcPr>
            <w:tcW w:w="912" w:type="dxa"/>
            <w:tcBorders/>
            <w:vAlign w:val="center"/>
          </w:tcPr>
          <w:p>
            <w:pPr>
              <w:pStyle w:val="ListParagraph"/>
              <w:widowControl w:val="false"/>
              <w:numPr>
                <w:ilvl w:val="0"/>
                <w:numId w:val="7"/>
              </w:numPr>
              <w:suppressAutoHyphens w:val="true"/>
              <w:spacing w:before="60" w:after="60"/>
              <w:ind w:left="-117" w:firstLine="142"/>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9533" w:type="dxa"/>
            <w:gridSpan w:val="2"/>
            <w:tcBorders/>
            <w:vAlign w:val="center"/>
          </w:tcPr>
          <w:p>
            <w:pPr>
              <w:pStyle w:val="Normal"/>
              <w:widowControl w:val="false"/>
              <w:suppressAutoHyphens w:val="true"/>
              <w:spacing w:before="60" w:after="0"/>
              <w:jc w:val="left"/>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Требования к безопасности работ / услуг и охране труда</w:t>
            </w:r>
          </w:p>
        </w:tc>
        <w:tc>
          <w:tcPr>
            <w:tcW w:w="2310"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2554"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2583" w:type="dxa"/>
            <w:tcBorders/>
          </w:tcPr>
          <w:p>
            <w:pPr>
              <w:pStyle w:val="Normal"/>
              <w:widowControl w:val="false"/>
              <w:tabs>
                <w:tab w:val="clear" w:pos="708"/>
                <w:tab w:val="left" w:pos="426" w:leader="none"/>
              </w:tabs>
              <w:suppressAutoHyphens w:val="true"/>
              <w:spacing w:before="60" w:after="0"/>
              <w:jc w:val="left"/>
              <w:rPr>
                <w:i w:val="false"/>
                <w:i w:val="false"/>
                <w:iCs w:val="false"/>
              </w:rPr>
            </w:pPr>
            <w:r>
              <w:rPr>
                <w:rFonts w:eastAsia="Times New Roman" w:cs="Times New Roman"/>
                <w:i w:val="false"/>
                <w:iCs w:val="false"/>
                <w:kern w:val="0"/>
                <w:sz w:val="24"/>
                <w:szCs w:val="24"/>
                <w:lang w:val="ru-RU" w:eastAsia="ru-RU" w:bidi="ar-SA"/>
              </w:rPr>
              <w:t>Требования к безопасности выполняемых работ</w:t>
            </w:r>
          </w:p>
        </w:tc>
        <w:tc>
          <w:tcPr>
            <w:tcW w:w="6950"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Подрядчик должен:</w:t>
            </w:r>
          </w:p>
          <w:p>
            <w:pPr>
              <w:pStyle w:val="ListParagraph"/>
              <w:widowControl w:val="false"/>
              <w:numPr>
                <w:ilvl w:val="0"/>
                <w:numId w:val="10"/>
              </w:numPr>
              <w:suppressAutoHyphens w:val="true"/>
              <w:spacing w:before="0" w:after="0"/>
              <w:ind w:left="169" w:hanging="142"/>
              <w:contextualSpacing/>
              <w:jc w:val="left"/>
              <w:rPr>
                <w:i w:val="false"/>
                <w:i w:val="false"/>
                <w:iCs w:val="false"/>
              </w:rPr>
            </w:pPr>
            <w:r>
              <w:rPr>
                <w:rFonts w:cs="Times New Roman"/>
                <w:i w:val="false"/>
                <w:iCs w:val="false"/>
                <w:kern w:val="0"/>
                <w:lang w:val="ru-RU" w:eastAsia="ru-RU" w:bidi="ar-SA"/>
              </w:rPr>
              <w:t xml:space="preserve"> </w:t>
            </w:r>
            <w:r>
              <w:rPr>
                <w:rFonts w:cs="Times New Roman"/>
                <w:i w:val="false"/>
                <w:iCs w:val="false"/>
                <w:kern w:val="0"/>
                <w:lang w:val="ru-RU" w:eastAsia="ru-RU" w:bidi="ar-SA"/>
              </w:rPr>
              <w:t>соблюдать требования действующего федерального законодательства Российской Федерации , нормативных правовых актов субъектов Российской Федерации, в т.ч. законодательство о недрах, охране окружающей среды, промышленной и пожарной безопасности, охране труда, энергоэффективности, рационального использования природных ресурсов и полезных ископаемых, а также все прочие законы и нормативные акты, относящиеся к сфере деятельности;</w:t>
            </w:r>
          </w:p>
          <w:p>
            <w:pPr>
              <w:pStyle w:val="ListParagraph"/>
              <w:widowControl w:val="false"/>
              <w:suppressAutoHyphens w:val="true"/>
              <w:spacing w:before="0" w:after="0"/>
              <w:ind w:left="0" w:hanging="0"/>
              <w:contextualSpacing/>
              <w:jc w:val="left"/>
              <w:rPr>
                <w:rFonts w:cs="Times New Roman"/>
                <w:kern w:val="0"/>
                <w:lang w:val="ru-RU" w:eastAsia="ru-RU" w:bidi="ar-SA"/>
              </w:rPr>
            </w:pPr>
            <w:r>
              <w:rPr>
                <w:rFonts w:cs="Times New Roman"/>
                <w:kern w:val="0"/>
                <w:lang w:val="ru-RU" w:eastAsia="ru-RU" w:bidi="ar-SA"/>
              </w:rPr>
            </w:r>
          </w:p>
          <w:p>
            <w:pPr>
              <w:pStyle w:val="Normal"/>
              <w:widowControl w:val="false"/>
              <w:tabs>
                <w:tab w:val="clear" w:pos="708"/>
                <w:tab w:val="left" w:pos="567" w:leader="none"/>
              </w:tabs>
              <w:suppressAutoHyphens w:val="true"/>
              <w:spacing w:before="0" w:after="0"/>
              <w:contextualSpacing/>
              <w:jc w:val="left"/>
              <w:rPr>
                <w:i w:val="false"/>
                <w:i w:val="false"/>
                <w:iCs w:val="false"/>
              </w:rPr>
            </w:pPr>
            <w:r>
              <w:rPr>
                <w:rFonts w:eastAsia="Times New Roman" w:cs="Times New Roman"/>
                <w:i w:val="false"/>
                <w:iCs w:val="false"/>
                <w:kern w:val="0"/>
                <w:sz w:val="24"/>
                <w:szCs w:val="24"/>
                <w:lang w:val="ru-RU" w:eastAsia="ru-RU" w:bidi="ar-SA"/>
              </w:rPr>
              <w:t>Подрядчик обязан:</w:t>
            </w:r>
          </w:p>
          <w:p>
            <w:pPr>
              <w:pStyle w:val="ListParagraph"/>
              <w:widowControl w:val="false"/>
              <w:numPr>
                <w:ilvl w:val="0"/>
                <w:numId w:val="10"/>
              </w:numPr>
              <w:tabs>
                <w:tab w:val="clear" w:pos="708"/>
                <w:tab w:val="left" w:pos="567" w:leader="none"/>
              </w:tabs>
              <w:suppressAutoHyphens w:val="true"/>
              <w:spacing w:before="0" w:after="0"/>
              <w:ind w:left="169" w:hanging="142"/>
              <w:contextualSpacing/>
              <w:jc w:val="left"/>
              <w:rPr>
                <w:i w:val="false"/>
                <w:i w:val="false"/>
                <w:iCs w:val="false"/>
              </w:rPr>
            </w:pPr>
            <w:r>
              <w:rPr>
                <w:rFonts w:eastAsia="Times New Roman" w:cs="Times New Roman"/>
                <w:i w:val="false"/>
                <w:iCs w:val="false"/>
                <w:kern w:val="0"/>
                <w:lang w:val="ru-RU" w:eastAsia="ru-RU" w:bidi="ar-SA"/>
              </w:rPr>
              <w:t>направлять на объекты заказчика работников, обученных правилам безопасного ведения работ и имеющих все необходимые допуски к производству работ, а также представлять документы на русском языке, подтверждающие аттестацию работников на проведение соответствующих видов работ.</w:t>
            </w:r>
          </w:p>
        </w:tc>
        <w:tc>
          <w:tcPr>
            <w:tcW w:w="2310"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Согласие с требованием</w:t>
            </w:r>
          </w:p>
        </w:tc>
        <w:tc>
          <w:tcPr>
            <w:tcW w:w="2554"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2583" w:type="dxa"/>
            <w:tcBorders/>
          </w:tcPr>
          <w:p>
            <w:pPr>
              <w:pStyle w:val="Normal"/>
              <w:widowControl w:val="false"/>
              <w:suppressAutoHyphens w:val="true"/>
              <w:spacing w:before="0" w:after="0"/>
              <w:jc w:val="left"/>
              <w:rPr>
                <w:sz w:val="24"/>
                <w:szCs w:val="28"/>
              </w:rPr>
            </w:pPr>
            <w:r>
              <w:rPr>
                <w:i w:val="false"/>
                <w:iCs w:val="false"/>
                <w:sz w:val="24"/>
                <w:szCs w:val="28"/>
              </w:rPr>
              <w:t>Требования по охране труда</w:t>
            </w:r>
          </w:p>
        </w:tc>
        <w:tc>
          <w:tcPr>
            <w:tcW w:w="6950" w:type="dxa"/>
            <w:tcBorders/>
          </w:tcPr>
          <w:p>
            <w:pPr>
              <w:pStyle w:val="Normal"/>
              <w:widowControl w:val="false"/>
              <w:suppressAutoHyphens w:val="true"/>
              <w:spacing w:before="0" w:after="0"/>
              <w:jc w:val="left"/>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t>В соответствии с приложением №3 к ТТ</w:t>
            </w:r>
          </w:p>
        </w:tc>
        <w:tc>
          <w:tcPr>
            <w:tcW w:w="2310" w:type="dxa"/>
            <w:tcBorders/>
          </w:tcPr>
          <w:p>
            <w:pPr>
              <w:pStyle w:val="Normal"/>
              <w:widowControl w:val="false"/>
              <w:suppressAutoHyphens w:val="true"/>
              <w:spacing w:before="0" w:after="0"/>
              <w:jc w:val="left"/>
              <w:rPr>
                <w:i w:val="false"/>
                <w:i w:val="false"/>
                <w:iCs w:val="false"/>
                <w:sz w:val="24"/>
                <w:szCs w:val="24"/>
              </w:rPr>
            </w:pPr>
            <w:r>
              <w:rPr>
                <w:i w:val="false"/>
                <w:iCs w:val="false"/>
                <w:sz w:val="24"/>
                <w:szCs w:val="24"/>
              </w:rPr>
              <w:t>Согласие с требованием</w:t>
            </w:r>
          </w:p>
        </w:tc>
        <w:tc>
          <w:tcPr>
            <w:tcW w:w="2554" w:type="dxa"/>
            <w:tcBorders/>
          </w:tcPr>
          <w:p>
            <w:pPr>
              <w:pStyle w:val="Normal"/>
              <w:widowControl w:val="false"/>
              <w:suppressAutoHyphens w:val="true"/>
              <w:spacing w:before="0" w:after="0"/>
              <w:jc w:val="left"/>
              <w:rPr>
                <w:rFonts w:ascii="Times New Roman" w:hAnsi="Times New Roman" w:eastAsia="Times New Roman" w:cs="Times New Roman"/>
                <w:kern w:val="0"/>
                <w:sz w:val="24"/>
                <w:szCs w:val="24"/>
                <w:lang w:val="ru-RU" w:eastAsia="ru-RU" w:bidi="ar-SA"/>
              </w:rPr>
            </w:pPr>
            <w:r>
              <w:rPr>
                <w:rFonts w:eastAsia="Times New Roman" w:cs="Times New Roman"/>
                <w:kern w:val="0"/>
                <w:sz w:val="24"/>
                <w:szCs w:val="24"/>
                <w:lang w:val="ru-RU" w:eastAsia="ru-RU" w:bidi="ar-SA"/>
              </w:rPr>
            </w:r>
          </w:p>
        </w:tc>
      </w:tr>
      <w:tr>
        <w:trPr/>
        <w:tc>
          <w:tcPr>
            <w:tcW w:w="912" w:type="dxa"/>
            <w:tcBorders/>
            <w:vAlign w:val="center"/>
          </w:tcPr>
          <w:p>
            <w:pPr>
              <w:pStyle w:val="ListParagraph"/>
              <w:widowControl w:val="false"/>
              <w:numPr>
                <w:ilvl w:val="0"/>
                <w:numId w:val="7"/>
              </w:numPr>
              <w:suppressAutoHyphens w:val="true"/>
              <w:spacing w:before="60" w:after="60"/>
              <w:ind w:left="-117" w:firstLine="142"/>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9533" w:type="dxa"/>
            <w:gridSpan w:val="2"/>
            <w:tcBorders/>
            <w:vAlign w:val="cente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Требования к безопасности</w:t>
            </w:r>
          </w:p>
        </w:tc>
        <w:tc>
          <w:tcPr>
            <w:tcW w:w="2310"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2554"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0" w:hanging="0"/>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2583" w:type="dxa"/>
            <w:tcBorders/>
          </w:tcPr>
          <w:p>
            <w:pPr>
              <w:pStyle w:val="Normal"/>
              <w:widowControl w:val="false"/>
              <w:suppressAutoHyphens w:val="true"/>
              <w:spacing w:before="0" w:after="0"/>
              <w:jc w:val="left"/>
              <w:rPr/>
            </w:pPr>
            <w:r>
              <w:rPr>
                <w:rStyle w:val="Style14"/>
                <w:rFonts w:eastAsia="Calibri" w:cs="Times New Roman"/>
                <w:b w:val="false"/>
                <w:bCs/>
                <w:i w:val="false"/>
                <w:iCs w:val="false"/>
                <w:color w:val="000000"/>
                <w:kern w:val="0"/>
                <w:sz w:val="24"/>
                <w:szCs w:val="24"/>
                <w:shd w:fill="auto" w:val="clear"/>
                <w:lang w:val="ru-RU" w:eastAsia="ru-RU" w:bidi="ar-SA"/>
              </w:rPr>
              <w:t>Пожарная безопасность</w:t>
            </w:r>
          </w:p>
        </w:tc>
        <w:tc>
          <w:tcPr>
            <w:tcW w:w="6950" w:type="dxa"/>
            <w:tcBorders/>
          </w:tcPr>
          <w:p>
            <w:pPr>
              <w:pStyle w:val="Normal"/>
              <w:widowControl w:val="false"/>
              <w:suppressAutoHyphens w:val="true"/>
              <w:spacing w:before="0" w:after="0"/>
              <w:jc w:val="left"/>
              <w:rPr/>
            </w:pPr>
            <w:r>
              <w:rPr>
                <w:rStyle w:val="Style14"/>
                <w:rFonts w:eastAsia="Calibri" w:cs="Times New Roman"/>
                <w:b w:val="false"/>
                <w:bCs/>
                <w:i w:val="false"/>
                <w:iCs w:val="false"/>
                <w:color w:val="000000"/>
                <w:kern w:val="0"/>
                <w:sz w:val="24"/>
                <w:szCs w:val="24"/>
                <w:shd w:fill="auto" w:val="clear"/>
                <w:lang w:val="ru-RU" w:eastAsia="ru-RU" w:bidi="ar-SA"/>
              </w:rPr>
              <w:t>В соответствии с Федеральным законом № 123-ФЗ «Технический регламент о требованиях пожарной безопасности»</w:t>
            </w:r>
          </w:p>
        </w:tc>
        <w:tc>
          <w:tcPr>
            <w:tcW w:w="2310"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554"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i/>
                <w:iCs/>
                <w:kern w:val="0"/>
                <w:sz w:val="24"/>
                <w:szCs w:val="24"/>
                <w:lang w:val="ru-RU" w:eastAsia="ru-RU" w:bidi="ar-SA"/>
              </w:rPr>
              <w:t>-</w:t>
            </w:r>
          </w:p>
        </w:tc>
      </w:tr>
      <w:tr>
        <w:trPr/>
        <w:tc>
          <w:tcPr>
            <w:tcW w:w="912" w:type="dxa"/>
            <w:tcBorders/>
            <w:vAlign w:val="center"/>
          </w:tcPr>
          <w:p>
            <w:pPr>
              <w:pStyle w:val="ListParagraph"/>
              <w:widowControl w:val="false"/>
              <w:numPr>
                <w:ilvl w:val="0"/>
                <w:numId w:val="7"/>
              </w:numPr>
              <w:suppressAutoHyphens w:val="true"/>
              <w:spacing w:before="60" w:after="60"/>
              <w:ind w:left="-117" w:firstLine="142"/>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9533" w:type="dxa"/>
            <w:gridSpan w:val="2"/>
            <w:tcBorders/>
            <w:vAlign w:val="cente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Требования к климатическому исполнению и стойкости к воздействующим климатическим факторам</w:t>
            </w:r>
          </w:p>
          <w:p>
            <w:pPr>
              <w:pStyle w:val="Normal"/>
              <w:widowControl w:val="false"/>
              <w:suppressAutoHyphens w:val="true"/>
              <w:spacing w:before="0" w:after="0"/>
              <w:jc w:val="left"/>
              <w:rPr>
                <w:rStyle w:val="Style8"/>
                <w:rFonts w:eastAsia="Times New Roman" w:cs="Times New Roman"/>
                <w:b w:val="false"/>
                <w:iCs/>
                <w:kern w:val="0"/>
                <w:sz w:val="24"/>
                <w:szCs w:val="24"/>
                <w:lang w:val="ru-RU" w:eastAsia="ru-RU" w:bidi="ar-SA"/>
              </w:rPr>
            </w:pPr>
            <w:r>
              <w:rPr>
                <w:rFonts w:eastAsia="Times New Roman" w:cs="Times New Roman"/>
                <w:b w:val="false"/>
                <w:iCs/>
                <w:kern w:val="0"/>
                <w:sz w:val="24"/>
                <w:szCs w:val="24"/>
                <w:lang w:val="ru-RU" w:eastAsia="ru-RU" w:bidi="ar-SA"/>
              </w:rPr>
            </w:r>
          </w:p>
        </w:tc>
        <w:tc>
          <w:tcPr>
            <w:tcW w:w="2310"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2554"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0" w:hanging="0"/>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2583"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Климатическое исполнение поставляемого оборудования</w:t>
            </w:r>
          </w:p>
        </w:tc>
        <w:tc>
          <w:tcPr>
            <w:tcW w:w="6950"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Климатическое исполнение – У3 по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tc>
        <w:tc>
          <w:tcPr>
            <w:tcW w:w="2310" w:type="dxa"/>
            <w:tcBorders/>
          </w:tcPr>
          <w:p>
            <w:pPr>
              <w:pStyle w:val="Normal"/>
              <w:widowControl w:val="false"/>
              <w:tabs>
                <w:tab w:val="clear" w:pos="708"/>
                <w:tab w:val="left" w:pos="426" w:leader="none"/>
              </w:tabs>
              <w:suppressAutoHyphens w:val="true"/>
              <w:spacing w:before="60" w:after="0"/>
              <w:jc w:val="left"/>
              <w:rPr>
                <w:i w:val="false"/>
                <w:i w:val="false"/>
                <w:iCs w:val="false"/>
              </w:rPr>
            </w:pPr>
            <w:r>
              <w:rPr>
                <w:rFonts w:eastAsia="Times New Roman" w:cs="Times New Roman"/>
                <w:i w:val="false"/>
                <w:iCs w:val="false"/>
                <w:kern w:val="0"/>
                <w:sz w:val="24"/>
                <w:szCs w:val="24"/>
                <w:lang w:val="ru-RU" w:eastAsia="ru-RU" w:bidi="ar-SA"/>
              </w:rPr>
              <w:t>Согласие с требованием</w:t>
            </w:r>
          </w:p>
        </w:tc>
        <w:tc>
          <w:tcPr>
            <w:tcW w:w="2554" w:type="dxa"/>
            <w:tcBorders/>
          </w:tcPr>
          <w:p>
            <w:pPr>
              <w:pStyle w:val="Normal"/>
              <w:widowControl w:val="false"/>
              <w:tabs>
                <w:tab w:val="clear" w:pos="708"/>
                <w:tab w:val="left" w:pos="426" w:leader="none"/>
              </w:tabs>
              <w:suppressAutoHyphens w:val="true"/>
              <w:spacing w:before="60" w:after="0"/>
              <w:jc w:val="left"/>
              <w:rPr>
                <w:rFonts w:ascii="Times New Roman" w:hAnsi="Times New Roman" w:eastAsia="Times New Roman" w:cs="Times New Roman"/>
                <w:kern w:val="0"/>
                <w:lang w:val="ru-RU" w:eastAsia="ru-RU" w:bidi="ar-SA"/>
              </w:rPr>
            </w:pPr>
            <w:r>
              <w:rPr>
                <w:rFonts w:eastAsia="Times New Roman" w:cs="Times New Roman"/>
                <w:i/>
                <w:iCs/>
                <w:kern w:val="0"/>
                <w:sz w:val="24"/>
                <w:szCs w:val="24"/>
                <w:lang w:val="ru-RU" w:eastAsia="ru-RU" w:bidi="ar-SA"/>
              </w:rPr>
              <w:t>-</w:t>
            </w:r>
          </w:p>
        </w:tc>
      </w:tr>
      <w:tr>
        <w:trPr/>
        <w:tc>
          <w:tcPr>
            <w:tcW w:w="912" w:type="dxa"/>
            <w:tcBorders/>
            <w:vAlign w:val="center"/>
          </w:tcPr>
          <w:p>
            <w:pPr>
              <w:pStyle w:val="ListParagraph"/>
              <w:widowControl w:val="false"/>
              <w:numPr>
                <w:ilvl w:val="0"/>
                <w:numId w:val="7"/>
              </w:numPr>
              <w:suppressAutoHyphens w:val="true"/>
              <w:spacing w:before="60" w:after="60"/>
              <w:ind w:left="-117" w:firstLine="142"/>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9533" w:type="dxa"/>
            <w:gridSpan w:val="2"/>
            <w:tcBorders/>
            <w:vAlign w:val="cente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Требования к доставке, маркировке, упаковке, транспортировке, перемещению, условиям хранения, приемке и испытаниям</w:t>
            </w:r>
          </w:p>
        </w:tc>
        <w:tc>
          <w:tcPr>
            <w:tcW w:w="2310"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2554"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2583" w:type="dxa"/>
            <w:tcBorders/>
          </w:tcPr>
          <w:p>
            <w:pPr>
              <w:pStyle w:val="Normal"/>
              <w:widowControl w:val="false"/>
              <w:suppressAutoHyphens w:val="true"/>
              <w:spacing w:before="0" w:after="0"/>
              <w:jc w:val="left"/>
              <w:rPr>
                <w:i w:val="false"/>
                <w:i w:val="false"/>
                <w:iCs w:val="false"/>
              </w:rPr>
            </w:pPr>
            <w:r>
              <w:rPr>
                <w:rFonts w:eastAsia="Times New Roman" w:cs="Times New Roman"/>
                <w:b w:val="false"/>
                <w:bCs w:val="false"/>
                <w:i w:val="false"/>
                <w:iCs w:val="false"/>
                <w:kern w:val="0"/>
                <w:sz w:val="24"/>
                <w:szCs w:val="24"/>
                <w:u w:val="none"/>
                <w:lang w:val="ru-RU" w:eastAsia="ru-RU" w:bidi="ar-SA"/>
              </w:rPr>
              <w:t>Место поставки</w:t>
            </w:r>
          </w:p>
        </w:tc>
        <w:tc>
          <w:tcPr>
            <w:tcW w:w="6950" w:type="dxa"/>
            <w:tcBorders/>
          </w:tcPr>
          <w:p>
            <w:pPr>
              <w:pStyle w:val="Normal"/>
              <w:widowControl w:val="false"/>
              <w:tabs>
                <w:tab w:val="clear" w:pos="708"/>
                <w:tab w:val="left" w:pos="1276" w:leader="none"/>
              </w:tabs>
              <w:jc w:val="both"/>
              <w:rPr>
                <w:i w:val="false"/>
                <w:i w:val="false"/>
                <w:iCs w:val="false"/>
              </w:rPr>
            </w:pPr>
            <w:r>
              <w:rPr>
                <w:rFonts w:eastAsia="Times New Roman" w:cs="Times New Roman"/>
                <w:i w:val="false"/>
                <w:iCs w:val="false"/>
                <w:color w:val="auto"/>
                <w:kern w:val="0"/>
                <w:sz w:val="24"/>
                <w:szCs w:val="24"/>
                <w:lang w:val="ru-RU" w:eastAsia="ru-RU" w:bidi="ar-SA"/>
              </w:rPr>
              <w:t>Поставка Товара осуществляется до склада Покупателя, находящегося по адресу: Республика Хакасия, г. Саяногорск, рп. Черемушки, 106.</w:t>
            </w:r>
          </w:p>
        </w:tc>
        <w:tc>
          <w:tcPr>
            <w:tcW w:w="2310"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Согласие с требованием</w:t>
            </w:r>
          </w:p>
        </w:tc>
        <w:tc>
          <w:tcPr>
            <w:tcW w:w="2554"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i/>
                <w:iCs/>
                <w:kern w:val="0"/>
                <w:sz w:val="24"/>
                <w:szCs w:val="24"/>
                <w:lang w:val="ru-RU" w:eastAsia="ru-RU" w:bidi="ar-SA"/>
              </w:rPr>
              <w:t>-</w:t>
            </w:r>
          </w:p>
        </w:tc>
      </w:tr>
      <w:tr>
        <w:trPr/>
        <w:tc>
          <w:tcPr>
            <w:tcW w:w="912" w:type="dxa"/>
            <w:tcBorders/>
            <w:vAlign w:val="center"/>
          </w:tcPr>
          <w:p>
            <w:pPr>
              <w:pStyle w:val="Normal"/>
              <w:widowControl w:val="false"/>
              <w:numPr>
                <w:ilvl w:val="1"/>
                <w:numId w:val="7"/>
              </w:numPr>
              <w:suppressAutoHyphens w:val="true"/>
              <w:spacing w:before="60" w:after="60"/>
              <w:jc w:val="center"/>
              <w:rPr>
                <w:rFonts w:ascii="Times New Roman" w:hAnsi="Times New Roman" w:eastAsia="Times New Roman" w:cs="Times New Roman"/>
                <w:kern w:val="0"/>
                <w:lang w:val="ru-RU" w:eastAsia="ru-RU" w:bidi="ar-SA"/>
              </w:rPr>
            </w:pPr>
            <w:r>
              <w:rPr>
                <w:rFonts w:eastAsia="Times New Roman" w:cs="Times New Roman"/>
                <w:i/>
                <w:iCs/>
                <w:kern w:val="0"/>
                <w:sz w:val="24"/>
                <w:szCs w:val="24"/>
                <w:lang w:val="ru-RU" w:eastAsia="ru-RU" w:bidi="ar-SA"/>
              </w:rPr>
              <w:t>.</w:t>
            </w:r>
          </w:p>
        </w:tc>
        <w:tc>
          <w:tcPr>
            <w:tcW w:w="2583"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Условия поставки</w:t>
            </w:r>
          </w:p>
        </w:tc>
        <w:tc>
          <w:tcPr>
            <w:tcW w:w="6950" w:type="dxa"/>
            <w:tcBorders/>
            <w:vAlign w:val="center"/>
          </w:tcPr>
          <w:p>
            <w:pPr>
              <w:pStyle w:val="Normal"/>
              <w:widowControl w:val="false"/>
              <w:jc w:val="left"/>
              <w:rPr>
                <w:i w:val="false"/>
                <w:i w:val="false"/>
                <w:iCs w:val="false"/>
                <w:sz w:val="24"/>
                <w:szCs w:val="24"/>
              </w:rPr>
            </w:pPr>
            <w:r>
              <w:rPr>
                <w:i w:val="false"/>
                <w:iCs w:val="false"/>
                <w:sz w:val="24"/>
                <w:szCs w:val="24"/>
              </w:rPr>
              <w:t>Условия транспортировки Товара: погрузка и доставка до склада Покупателя осуществляется силами и средствами Поставщика. Поставщик несет все расходы и риски, связанные с доставкой до пункта назначения.</w:t>
            </w:r>
          </w:p>
          <w:p>
            <w:pPr>
              <w:pStyle w:val="Normal"/>
              <w:widowControl w:val="false"/>
              <w:jc w:val="left"/>
              <w:rPr>
                <w:i w:val="false"/>
                <w:i w:val="false"/>
                <w:iCs w:val="false"/>
                <w:sz w:val="24"/>
                <w:szCs w:val="24"/>
              </w:rPr>
            </w:pPr>
            <w:r>
              <w:rPr>
                <w:i w:val="false"/>
                <w:iCs w:val="false"/>
                <w:sz w:val="24"/>
                <w:szCs w:val="24"/>
              </w:rPr>
              <w:t>Полный перечень условий поставки прописан в проекте договора поставки, который является неотъемлемой частью закупочной документации.</w:t>
            </w:r>
          </w:p>
        </w:tc>
        <w:tc>
          <w:tcPr>
            <w:tcW w:w="2310" w:type="dxa"/>
            <w:tcBorders/>
          </w:tcPr>
          <w:p>
            <w:pPr>
              <w:pStyle w:val="Normal"/>
              <w:widowControl w:val="false"/>
              <w:suppressAutoHyphens w:val="true"/>
              <w:spacing w:before="0" w:after="0"/>
              <w:jc w:val="left"/>
              <w:rPr>
                <w:i w:val="false"/>
                <w:i w:val="false"/>
                <w:iCs w:val="false"/>
                <w:sz w:val="24"/>
                <w:szCs w:val="24"/>
              </w:rPr>
            </w:pPr>
            <w:r>
              <w:rPr>
                <w:i w:val="false"/>
                <w:iCs w:val="false"/>
                <w:sz w:val="24"/>
                <w:szCs w:val="24"/>
              </w:rPr>
              <w:t>Согласие с требованием</w:t>
            </w:r>
          </w:p>
        </w:tc>
        <w:tc>
          <w:tcPr>
            <w:tcW w:w="2554" w:type="dxa"/>
            <w:tcBorders/>
          </w:tcPr>
          <w:p>
            <w:pPr>
              <w:pStyle w:val="Normal"/>
              <w:widowControl w:val="false"/>
              <w:suppressAutoHyphens w:val="true"/>
              <w:spacing w:before="0" w:after="0"/>
              <w:jc w:val="left"/>
              <w:rPr>
                <w:rFonts w:ascii="Times New Roman" w:hAnsi="Times New Roman" w:eastAsia="Times New Roman" w:cs="Times New Roman"/>
                <w:i/>
                <w:i/>
                <w:iCs/>
                <w:kern w:val="0"/>
                <w:sz w:val="24"/>
                <w:szCs w:val="24"/>
                <w:lang w:val="ru-RU" w:eastAsia="ru-RU" w:bidi="ar-SA"/>
              </w:rPr>
            </w:pPr>
            <w:r>
              <w:rPr>
                <w:rFonts w:eastAsia="Times New Roman" w:cs="Times New Roman"/>
                <w:i/>
                <w:iCs/>
                <w:kern w:val="0"/>
                <w:sz w:val="24"/>
                <w:szCs w:val="24"/>
                <w:lang w:val="ru-RU" w:eastAsia="ru-RU" w:bidi="ar-SA"/>
              </w:rPr>
            </w:r>
          </w:p>
        </w:tc>
      </w:tr>
      <w:tr>
        <w:trPr/>
        <w:tc>
          <w:tcPr>
            <w:tcW w:w="912" w:type="dxa"/>
            <w:tcBorders>
              <w:top w:val="nil"/>
            </w:tcBorders>
            <w:vAlign w:val="center"/>
          </w:tcPr>
          <w:p>
            <w:pPr>
              <w:pStyle w:val="Normal"/>
              <w:widowControl w:val="false"/>
              <w:numPr>
                <w:ilvl w:val="1"/>
                <w:numId w:val="7"/>
              </w:numPr>
              <w:suppressAutoHyphens w:val="true"/>
              <w:spacing w:before="60" w:after="60"/>
              <w:jc w:val="center"/>
              <w:rPr>
                <w:b w:val="false"/>
                <w:bCs/>
                <w:i w:val="false"/>
                <w:i w:val="false"/>
                <w:iCs w:val="false"/>
                <w:sz w:val="24"/>
                <w:szCs w:val="24"/>
              </w:rPr>
            </w:pPr>
            <w:r>
              <w:rPr>
                <w:b w:val="false"/>
                <w:bCs/>
                <w:i w:val="false"/>
                <w:iCs w:val="false"/>
                <w:sz w:val="24"/>
                <w:szCs w:val="24"/>
              </w:rPr>
            </w:r>
          </w:p>
        </w:tc>
        <w:tc>
          <w:tcPr>
            <w:tcW w:w="2583" w:type="dxa"/>
            <w:tcBorders>
              <w:top w:val="nil"/>
            </w:tcBorders>
            <w:vAlign w:val="center"/>
          </w:tcPr>
          <w:p>
            <w:pPr>
              <w:pStyle w:val="Normal"/>
              <w:widowControl w:val="false"/>
              <w:suppressAutoHyphens w:val="true"/>
              <w:spacing w:lineRule="auto" w:line="240" w:before="0" w:after="0"/>
              <w:jc w:val="left"/>
              <w:rPr>
                <w:i w:val="false"/>
                <w:i w:val="false"/>
                <w:iCs w:val="false"/>
              </w:rPr>
            </w:pPr>
            <w:r>
              <w:rPr>
                <w:rFonts w:eastAsia="Times New Roman" w:cs="Times New Roman"/>
                <w:i w:val="false"/>
                <w:iCs w:val="false"/>
                <w:color w:val="auto"/>
                <w:kern w:val="0"/>
                <w:sz w:val="24"/>
                <w:szCs w:val="24"/>
                <w:lang w:val="ru-RU" w:eastAsia="ru-RU" w:bidi="ar-SA"/>
              </w:rPr>
              <w:t>Требования к маркировке</w:t>
            </w:r>
          </w:p>
        </w:tc>
        <w:tc>
          <w:tcPr>
            <w:tcW w:w="6950" w:type="dxa"/>
            <w:tcBorders>
              <w:top w:val="nil"/>
            </w:tcBorders>
            <w:vAlign w:val="center"/>
          </w:tcPr>
          <w:p>
            <w:pPr>
              <w:pStyle w:val="LHP"/>
              <w:widowControl w:val="false"/>
              <w:suppressAutoHyphens w:val="true"/>
              <w:bidi w:val="0"/>
              <w:spacing w:lineRule="auto" w:line="240" w:before="0" w:after="0"/>
              <w:ind w:left="113" w:right="0" w:firstLine="170"/>
              <w:jc w:val="both"/>
              <w:rPr>
                <w:i w:val="false"/>
                <w:i w:val="false"/>
                <w:iCs w:val="false"/>
                <w:sz w:val="24"/>
                <w:szCs w:val="24"/>
              </w:rPr>
            </w:pPr>
            <w:r>
              <w:rPr>
                <w:rFonts w:eastAsia="Times New Roman" w:cs="Times New Roman"/>
                <w:i w:val="false"/>
                <w:iCs w:val="false"/>
                <w:color w:val="auto"/>
                <w:kern w:val="0"/>
                <w:sz w:val="24"/>
                <w:szCs w:val="24"/>
                <w:lang w:val="ru-RU" w:eastAsia="ru-RU" w:bidi="ar-SA"/>
              </w:rPr>
              <w:t>Реактор должен иметь лицевую табличку с четким и разборчивым начертанием следующих данных на русском языке:</w:t>
            </w:r>
          </w:p>
          <w:p>
            <w:pPr>
              <w:pStyle w:val="LHP"/>
              <w:widowControl w:val="false"/>
              <w:suppressAutoHyphens w:val="true"/>
              <w:bidi w:val="0"/>
              <w:spacing w:lineRule="auto" w:line="240" w:before="0" w:after="0"/>
              <w:ind w:left="113" w:right="0" w:firstLine="170"/>
              <w:jc w:val="both"/>
              <w:rPr>
                <w:i w:val="false"/>
                <w:i w:val="false"/>
                <w:iCs w:val="false"/>
                <w:sz w:val="24"/>
                <w:szCs w:val="24"/>
              </w:rPr>
            </w:pPr>
            <w:r>
              <w:rPr>
                <w:rFonts w:eastAsia="Times New Roman" w:cs="Times New Roman"/>
                <w:i w:val="false"/>
                <w:iCs w:val="false"/>
                <w:color w:val="auto"/>
                <w:kern w:val="0"/>
                <w:sz w:val="24"/>
                <w:szCs w:val="24"/>
                <w:lang w:val="ru-RU" w:eastAsia="ru-RU" w:bidi="ar-SA"/>
              </w:rPr>
              <w:t>- страна-изготовитель;</w:t>
            </w:r>
          </w:p>
          <w:p>
            <w:pPr>
              <w:pStyle w:val="LHP"/>
              <w:widowControl w:val="false"/>
              <w:suppressAutoHyphens w:val="true"/>
              <w:bidi w:val="0"/>
              <w:spacing w:lineRule="auto" w:line="240" w:before="0" w:after="0"/>
              <w:ind w:left="113" w:right="0" w:firstLine="170"/>
              <w:jc w:val="both"/>
              <w:rPr>
                <w:i w:val="false"/>
                <w:i w:val="false"/>
                <w:iCs w:val="false"/>
                <w:sz w:val="24"/>
                <w:szCs w:val="24"/>
              </w:rPr>
            </w:pPr>
            <w:r>
              <w:rPr>
                <w:rFonts w:eastAsia="Times New Roman" w:cs="Times New Roman"/>
                <w:i w:val="false"/>
                <w:iCs w:val="false"/>
                <w:color w:val="auto"/>
                <w:kern w:val="0"/>
                <w:sz w:val="24"/>
                <w:szCs w:val="24"/>
                <w:lang w:val="ru-RU" w:eastAsia="ru-RU" w:bidi="ar-SA"/>
              </w:rPr>
              <w:t>- товарный знак предприятия – изготовителя;</w:t>
            </w:r>
          </w:p>
          <w:p>
            <w:pPr>
              <w:pStyle w:val="LHP"/>
              <w:widowControl w:val="false"/>
              <w:suppressAutoHyphens w:val="true"/>
              <w:bidi w:val="0"/>
              <w:spacing w:lineRule="auto" w:line="240" w:before="0" w:after="0"/>
              <w:ind w:left="113" w:right="0" w:firstLine="170"/>
              <w:jc w:val="both"/>
              <w:rPr>
                <w:i w:val="false"/>
                <w:i w:val="false"/>
                <w:iCs w:val="false"/>
                <w:sz w:val="24"/>
                <w:szCs w:val="24"/>
              </w:rPr>
            </w:pPr>
            <w:r>
              <w:rPr>
                <w:rFonts w:eastAsia="Times New Roman" w:cs="Times New Roman"/>
                <w:i w:val="false"/>
                <w:iCs w:val="false"/>
                <w:color w:val="auto"/>
                <w:kern w:val="0"/>
                <w:sz w:val="24"/>
                <w:szCs w:val="24"/>
                <w:lang w:val="ru-RU" w:eastAsia="ru-RU" w:bidi="ar-SA"/>
              </w:rPr>
              <w:t>- год выпуска;</w:t>
            </w:r>
          </w:p>
          <w:p>
            <w:pPr>
              <w:pStyle w:val="LHP"/>
              <w:widowControl w:val="false"/>
              <w:suppressAutoHyphens w:val="true"/>
              <w:bidi w:val="0"/>
              <w:spacing w:lineRule="auto" w:line="240" w:before="0" w:after="0"/>
              <w:ind w:left="113" w:right="0" w:firstLine="170"/>
              <w:jc w:val="both"/>
              <w:rPr>
                <w:i w:val="false"/>
                <w:i w:val="false"/>
                <w:iCs w:val="false"/>
                <w:sz w:val="24"/>
                <w:szCs w:val="24"/>
              </w:rPr>
            </w:pPr>
            <w:r>
              <w:rPr>
                <w:rFonts w:eastAsia="Times New Roman" w:cs="Times New Roman"/>
                <w:i w:val="false"/>
                <w:iCs w:val="false"/>
                <w:color w:val="auto"/>
                <w:kern w:val="0"/>
                <w:sz w:val="24"/>
                <w:szCs w:val="24"/>
                <w:lang w:val="ru-RU" w:eastAsia="ru-RU" w:bidi="ar-SA"/>
              </w:rPr>
              <w:t>- знак соответствия (сертификации);</w:t>
            </w:r>
          </w:p>
          <w:p>
            <w:pPr>
              <w:pStyle w:val="LHP"/>
              <w:widowControl w:val="false"/>
              <w:suppressAutoHyphens w:val="true"/>
              <w:bidi w:val="0"/>
              <w:spacing w:lineRule="auto" w:line="240" w:before="0" w:after="0"/>
              <w:ind w:left="113" w:right="0" w:firstLine="170"/>
              <w:jc w:val="both"/>
              <w:rPr>
                <w:i w:val="false"/>
                <w:i w:val="false"/>
                <w:iCs w:val="false"/>
                <w:sz w:val="24"/>
                <w:szCs w:val="24"/>
              </w:rPr>
            </w:pPr>
            <w:r>
              <w:rPr>
                <w:rFonts w:eastAsia="Times New Roman" w:cs="Times New Roman"/>
                <w:i w:val="false"/>
                <w:iCs w:val="false"/>
                <w:color w:val="auto"/>
                <w:kern w:val="0"/>
                <w:sz w:val="24"/>
                <w:szCs w:val="24"/>
                <w:lang w:val="ru-RU" w:eastAsia="ru-RU" w:bidi="ar-SA"/>
              </w:rPr>
              <w:t>- № серии.</w:t>
            </w:r>
          </w:p>
          <w:p>
            <w:pPr>
              <w:pStyle w:val="LHP"/>
              <w:widowControl w:val="false"/>
              <w:suppressAutoHyphens w:val="true"/>
              <w:bidi w:val="0"/>
              <w:spacing w:lineRule="auto" w:line="240" w:before="0" w:after="0"/>
              <w:ind w:left="113" w:right="0" w:firstLine="170"/>
              <w:jc w:val="both"/>
              <w:rPr>
                <w:i w:val="false"/>
                <w:i w:val="false"/>
                <w:iCs w:val="false"/>
                <w:sz w:val="24"/>
                <w:szCs w:val="24"/>
              </w:rPr>
            </w:pPr>
            <w:r>
              <w:rPr>
                <w:rFonts w:eastAsia="Times New Roman" w:cs="Times New Roman"/>
                <w:i w:val="false"/>
                <w:iCs w:val="false"/>
                <w:color w:val="auto"/>
                <w:kern w:val="0"/>
                <w:sz w:val="24"/>
                <w:szCs w:val="24"/>
                <w:lang w:val="ru-RU" w:eastAsia="ru-RU" w:bidi="ar-SA"/>
              </w:rPr>
              <w:t>Маркирование деталей должно производиться в соответствии с требованиями ГОСТ 2.314-68.</w:t>
            </w:r>
          </w:p>
          <w:p>
            <w:pPr>
              <w:pStyle w:val="LHP"/>
              <w:widowControl w:val="false"/>
              <w:suppressAutoHyphens w:val="true"/>
              <w:bidi w:val="0"/>
              <w:spacing w:lineRule="auto" w:line="240" w:before="0" w:after="0"/>
              <w:ind w:left="113" w:right="0" w:firstLine="170"/>
              <w:jc w:val="both"/>
              <w:rPr>
                <w:i w:val="false"/>
                <w:i w:val="false"/>
                <w:iCs w:val="false"/>
                <w:sz w:val="24"/>
                <w:szCs w:val="24"/>
              </w:rPr>
            </w:pPr>
            <w:r>
              <w:rPr>
                <w:rFonts w:eastAsia="Times New Roman" w:cs="Times New Roman"/>
                <w:i w:val="false"/>
                <w:iCs w:val="false"/>
                <w:color w:val="auto"/>
                <w:kern w:val="0"/>
                <w:sz w:val="24"/>
                <w:szCs w:val="24"/>
                <w:lang w:val="ru-RU" w:eastAsia="ru-RU" w:bidi="ar-SA"/>
              </w:rPr>
              <w:t>Таблички для составных частей установки должны выполняться по ГОСТ12969-67 и ГОСТ12971-67 и заполняться по ГОСТ Р 72671-2026.</w:t>
            </w:r>
          </w:p>
          <w:p>
            <w:pPr>
              <w:pStyle w:val="LHP"/>
              <w:widowControl w:val="false"/>
              <w:suppressAutoHyphens w:val="true"/>
              <w:bidi w:val="0"/>
              <w:spacing w:lineRule="auto" w:line="240" w:before="0" w:after="0"/>
              <w:ind w:left="113" w:right="0" w:firstLine="170"/>
              <w:jc w:val="both"/>
              <w:rPr>
                <w:i w:val="false"/>
                <w:i w:val="false"/>
                <w:iCs w:val="false"/>
                <w:sz w:val="24"/>
                <w:szCs w:val="24"/>
              </w:rPr>
            </w:pPr>
            <w:r>
              <w:rPr>
                <w:rFonts w:eastAsia="Times New Roman" w:cs="Times New Roman"/>
                <w:i w:val="false"/>
                <w:iCs w:val="false"/>
                <w:color w:val="auto"/>
                <w:kern w:val="0"/>
                <w:sz w:val="24"/>
                <w:szCs w:val="24"/>
                <w:lang w:val="ru-RU" w:eastAsia="ru-RU" w:bidi="ar-SA"/>
              </w:rPr>
              <w:t>Транспортная маркировка каждого грузового места должна выполняться в соответствии с требованиями ГОСТ 14192-96.</w:t>
            </w:r>
          </w:p>
          <w:p>
            <w:pPr>
              <w:pStyle w:val="LHP"/>
              <w:widowControl w:val="false"/>
              <w:suppressAutoHyphens w:val="true"/>
              <w:bidi w:val="0"/>
              <w:spacing w:lineRule="auto" w:line="240" w:before="0" w:after="0"/>
              <w:ind w:left="113" w:right="0" w:firstLine="170"/>
              <w:jc w:val="both"/>
              <w:rPr>
                <w:i w:val="false"/>
                <w:i w:val="false"/>
                <w:iCs w:val="false"/>
                <w:sz w:val="24"/>
                <w:szCs w:val="24"/>
              </w:rPr>
            </w:pPr>
            <w:r>
              <w:rPr>
                <w:rFonts w:eastAsia="Times New Roman" w:cs="Times New Roman"/>
                <w:i w:val="false"/>
                <w:iCs w:val="false"/>
                <w:color w:val="auto"/>
                <w:kern w:val="0"/>
                <w:sz w:val="24"/>
                <w:szCs w:val="24"/>
                <w:lang w:val="ru-RU" w:eastAsia="ru-RU" w:bidi="ar-SA"/>
              </w:rPr>
              <w:t>Транспортная маркировка грузовых мест должна наноситься по трафарету яркой несмываемой краской на видных местах.</w:t>
            </w:r>
          </w:p>
          <w:p>
            <w:pPr>
              <w:pStyle w:val="LHP"/>
              <w:widowControl w:val="false"/>
              <w:suppressAutoHyphens w:val="true"/>
              <w:bidi w:val="0"/>
              <w:spacing w:lineRule="auto" w:line="240" w:before="0" w:after="0"/>
              <w:ind w:left="113" w:right="0" w:firstLine="170"/>
              <w:jc w:val="both"/>
              <w:rPr>
                <w:i w:val="false"/>
                <w:i w:val="false"/>
                <w:iCs w:val="false"/>
                <w:sz w:val="24"/>
                <w:szCs w:val="24"/>
              </w:rPr>
            </w:pPr>
            <w:r>
              <w:rPr>
                <w:rFonts w:eastAsia="Times New Roman" w:cs="Times New Roman"/>
                <w:i w:val="false"/>
                <w:iCs w:val="false"/>
                <w:color w:val="auto"/>
                <w:kern w:val="0"/>
                <w:sz w:val="24"/>
                <w:szCs w:val="24"/>
                <w:lang w:val="ru-RU" w:eastAsia="ru-RU" w:bidi="ar-SA"/>
              </w:rPr>
              <w:t>Маркировка наносится на одной из боковых сторон ящика или неупакованной крупной детали, а на остальных деталях - на ярлык, надежно прикрепленный проволокой по ГОСТ3282-74 к изделию на видном месте.</w:t>
            </w:r>
          </w:p>
        </w:tc>
        <w:tc>
          <w:tcPr>
            <w:tcW w:w="2310" w:type="dxa"/>
            <w:tcBorders>
              <w:top w:val="nil"/>
            </w:tcBorders>
          </w:tcPr>
          <w:p>
            <w:pPr>
              <w:pStyle w:val="Normal"/>
              <w:widowControl w:val="false"/>
              <w:suppressAutoHyphens w:val="true"/>
              <w:spacing w:before="0" w:after="0"/>
              <w:jc w:val="left"/>
              <w:rPr>
                <w:i w:val="false"/>
                <w:i w:val="false"/>
                <w:iCs w:val="false"/>
                <w:sz w:val="24"/>
                <w:szCs w:val="24"/>
              </w:rPr>
            </w:pPr>
            <w:r>
              <w:rPr>
                <w:i w:val="false"/>
                <w:iCs w:val="false"/>
                <w:sz w:val="24"/>
                <w:szCs w:val="24"/>
              </w:rPr>
              <w:t>Согласие с требованием</w:t>
            </w:r>
          </w:p>
        </w:tc>
        <w:tc>
          <w:tcPr>
            <w:tcW w:w="2554" w:type="dxa"/>
            <w:tcBorders>
              <w:top w:val="nil"/>
            </w:tcBorders>
          </w:tcPr>
          <w:p>
            <w:pPr>
              <w:pStyle w:val="Normal"/>
              <w:widowControl w:val="false"/>
              <w:suppressAutoHyphens w:val="true"/>
              <w:spacing w:before="0" w:after="0"/>
              <w:jc w:val="left"/>
              <w:rPr>
                <w:rFonts w:ascii="Times New Roman" w:hAnsi="Times New Roman" w:eastAsia="Times New Roman" w:cs="Times New Roman"/>
                <w:i/>
                <w:i/>
                <w:iCs/>
                <w:kern w:val="0"/>
                <w:sz w:val="24"/>
                <w:szCs w:val="24"/>
                <w:lang w:val="ru-RU" w:eastAsia="ru-RU" w:bidi="ar-SA"/>
              </w:rPr>
            </w:pPr>
            <w:r>
              <w:rPr>
                <w:rFonts w:eastAsia="Times New Roman" w:cs="Times New Roman"/>
                <w:i/>
                <w:iCs/>
                <w:kern w:val="0"/>
                <w:sz w:val="24"/>
                <w:szCs w:val="24"/>
                <w:lang w:val="ru-RU" w:eastAsia="ru-RU" w:bidi="ar-SA"/>
              </w:rPr>
            </w:r>
          </w:p>
        </w:tc>
      </w:tr>
      <w:tr>
        <w:trPr/>
        <w:tc>
          <w:tcPr>
            <w:tcW w:w="912" w:type="dxa"/>
            <w:tcBorders>
              <w:top w:val="nil"/>
            </w:tcBorders>
            <w:vAlign w:val="center"/>
          </w:tcPr>
          <w:p>
            <w:pPr>
              <w:pStyle w:val="Normal"/>
              <w:widowControl w:val="false"/>
              <w:numPr>
                <w:ilvl w:val="1"/>
                <w:numId w:val="7"/>
              </w:numPr>
              <w:suppressAutoHyphens w:val="true"/>
              <w:spacing w:before="60" w:after="60"/>
              <w:jc w:val="center"/>
              <w:rPr>
                <w:rFonts w:ascii="Times New Roman" w:hAnsi="Times New Roman" w:eastAsia="Times New Roman" w:cs="Times New Roman"/>
                <w:b w:val="false"/>
                <w:bCs/>
                <w:i w:val="false"/>
                <w:i w:val="false"/>
                <w:iCs w:val="false"/>
                <w:color w:val="auto"/>
                <w:kern w:val="0"/>
                <w:sz w:val="24"/>
                <w:szCs w:val="24"/>
                <w:lang w:val="ru-RU" w:eastAsia="ru-RU" w:bidi="ar-SA"/>
              </w:rPr>
            </w:pPr>
            <w:r>
              <w:rPr>
                <w:rFonts w:eastAsia="Times New Roman" w:cs="Times New Roman"/>
                <w:b w:val="false"/>
                <w:bCs/>
                <w:i w:val="false"/>
                <w:iCs w:val="false"/>
                <w:color w:val="auto"/>
                <w:kern w:val="0"/>
                <w:sz w:val="24"/>
                <w:szCs w:val="24"/>
                <w:lang w:val="ru-RU" w:eastAsia="ru-RU" w:bidi="ar-SA"/>
              </w:rPr>
            </w:r>
          </w:p>
        </w:tc>
        <w:tc>
          <w:tcPr>
            <w:tcW w:w="2583" w:type="dxa"/>
            <w:tcBorders>
              <w:top w:val="nil"/>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Требования к упаковке и консервации</w:t>
            </w:r>
          </w:p>
        </w:tc>
        <w:tc>
          <w:tcPr>
            <w:tcW w:w="6950" w:type="dxa"/>
            <w:tcBorders>
              <w:top w:val="nil"/>
            </w:tcBorders>
            <w:vAlign w:val="center"/>
          </w:tcPr>
          <w:p>
            <w:pPr>
              <w:pStyle w:val="LHP"/>
              <w:widowControl w:val="false"/>
              <w:suppressAutoHyphens w:val="true"/>
              <w:bidi w:val="0"/>
              <w:spacing w:lineRule="auto" w:line="240" w:before="0" w:after="0"/>
              <w:ind w:left="227" w:right="0" w:firstLine="170"/>
              <w:jc w:val="both"/>
              <w:rPr>
                <w:i w:val="false"/>
                <w:i w:val="false"/>
                <w:iCs w:val="false"/>
              </w:rPr>
            </w:pPr>
            <w:r>
              <w:rPr>
                <w:rFonts w:eastAsia="Times New Roman" w:cs="Times New Roman"/>
                <w:i w:val="false"/>
                <w:iCs w:val="false"/>
                <w:color w:val="auto"/>
                <w:kern w:val="0"/>
                <w:sz w:val="24"/>
                <w:szCs w:val="24"/>
                <w:lang w:val="ru-RU" w:eastAsia="ru-RU" w:bidi="ar-SA"/>
              </w:rPr>
              <w:t>Консервация оборудования должна обеспечивать возможность удаления при монтаже защитных покрытий механическим или химическим путем (с применением неядовитых растворителей).</w:t>
            </w:r>
          </w:p>
          <w:p>
            <w:pPr>
              <w:pStyle w:val="LHP"/>
              <w:widowControl w:val="false"/>
              <w:suppressAutoHyphens w:val="true"/>
              <w:bidi w:val="0"/>
              <w:spacing w:lineRule="auto" w:line="240" w:before="0" w:after="0"/>
              <w:ind w:left="227" w:right="0" w:firstLine="170"/>
              <w:jc w:val="both"/>
              <w:rPr>
                <w:i w:val="false"/>
                <w:i w:val="false"/>
                <w:iCs w:val="false"/>
              </w:rPr>
            </w:pPr>
            <w:r>
              <w:rPr>
                <w:rFonts w:eastAsia="Times New Roman" w:cs="Times New Roman"/>
                <w:i w:val="false"/>
                <w:iCs w:val="false"/>
                <w:color w:val="auto"/>
                <w:kern w:val="0"/>
                <w:sz w:val="24"/>
                <w:szCs w:val="24"/>
                <w:lang w:val="ru-RU" w:eastAsia="ru-RU" w:bidi="ar-SA"/>
              </w:rPr>
              <w:t>Удаление при монтаже консервирующих покрытий должно производиться без применения средств, нарушающих точность сопряжений. Консервирующие покрытия для резьбовых соединений должны выбираться таким образом, чтобы удаление их на монтаже производилось без применения механических средств очистки.</w:t>
            </w:r>
          </w:p>
          <w:p>
            <w:pPr>
              <w:pStyle w:val="LHP"/>
              <w:widowControl w:val="false"/>
              <w:suppressAutoHyphens w:val="true"/>
              <w:bidi w:val="0"/>
              <w:spacing w:lineRule="auto" w:line="240" w:before="0" w:after="0"/>
              <w:ind w:left="227" w:right="0" w:firstLine="170"/>
              <w:jc w:val="both"/>
              <w:rPr>
                <w:i w:val="false"/>
                <w:i w:val="false"/>
                <w:iCs w:val="false"/>
              </w:rPr>
            </w:pPr>
            <w:r>
              <w:rPr>
                <w:rFonts w:eastAsia="Times New Roman" w:cs="Times New Roman"/>
                <w:i w:val="false"/>
                <w:iCs w:val="false"/>
                <w:color w:val="auto"/>
                <w:kern w:val="0"/>
                <w:sz w:val="24"/>
                <w:szCs w:val="24"/>
                <w:lang w:val="ru-RU" w:eastAsia="ru-RU" w:bidi="ar-SA"/>
              </w:rPr>
              <w:t>Упаковка оборудования должна соответствовать категории упаковки КУ-0, КУ-1 и КУ-2 по ГОСТ 23170-78*, и производиться в соответствии с чертежами, разработанными Поставщиком. Перемещение гидротурбинного оборудования внутри тары должно быть исключено.</w:t>
            </w:r>
          </w:p>
          <w:p>
            <w:pPr>
              <w:pStyle w:val="LHP"/>
              <w:widowControl w:val="false"/>
              <w:suppressAutoHyphens w:val="true"/>
              <w:bidi w:val="0"/>
              <w:spacing w:lineRule="auto" w:line="240" w:before="0" w:after="0"/>
              <w:ind w:left="227" w:right="0" w:firstLine="170"/>
              <w:jc w:val="both"/>
              <w:rPr>
                <w:i w:val="false"/>
                <w:i w:val="false"/>
                <w:iCs w:val="false"/>
              </w:rPr>
            </w:pPr>
            <w:r>
              <w:rPr>
                <w:rFonts w:eastAsia="Times New Roman" w:cs="Times New Roman"/>
                <w:i w:val="false"/>
                <w:iCs w:val="false"/>
                <w:color w:val="auto"/>
                <w:kern w:val="0"/>
                <w:sz w:val="24"/>
                <w:szCs w:val="24"/>
                <w:lang w:val="ru-RU" w:eastAsia="ru-RU" w:bidi="ar-SA"/>
              </w:rPr>
              <w:t>Каждое грузовое место с упакованным оборудованием должно сопровождаться упаковочным листом, содержащим все данные, приведённые в отправочной ведомости, согласно которой комплектуются и отгружаются грузовые места.</w:t>
            </w:r>
          </w:p>
        </w:tc>
        <w:tc>
          <w:tcPr>
            <w:tcW w:w="2310" w:type="dxa"/>
            <w:tcBorders>
              <w:top w:val="nil"/>
            </w:tcBorders>
          </w:tcPr>
          <w:p>
            <w:pPr>
              <w:pStyle w:val="Normal"/>
              <w:widowControl w:val="false"/>
              <w:suppressAutoHyphens w:val="true"/>
              <w:bidi w:val="0"/>
              <w:spacing w:lineRule="auto" w:line="240" w:before="0" w:after="0"/>
              <w:ind w:left="113" w:right="0" w:firstLine="170"/>
              <w:jc w:val="left"/>
              <w:rPr>
                <w:sz w:val="24"/>
                <w:szCs w:val="24"/>
              </w:rPr>
            </w:pPr>
            <w:r>
              <w:rPr>
                <w:rFonts w:eastAsia="Times New Roman" w:cs="Times New Roman"/>
                <w:i w:val="false"/>
                <w:iCs w:val="false"/>
                <w:color w:val="auto"/>
                <w:kern w:val="0"/>
                <w:sz w:val="24"/>
                <w:szCs w:val="24"/>
                <w:lang w:val="ru-RU" w:eastAsia="ru-RU" w:bidi="ar-SA"/>
              </w:rPr>
              <w:t>Согласие с требованием</w:t>
            </w:r>
          </w:p>
        </w:tc>
        <w:tc>
          <w:tcPr>
            <w:tcW w:w="2554" w:type="dxa"/>
            <w:tcBorders>
              <w:top w:val="nil"/>
            </w:tcBorders>
          </w:tcPr>
          <w:p>
            <w:pPr>
              <w:pStyle w:val="Normal"/>
              <w:widowControl w:val="false"/>
              <w:suppressAutoHyphens w:val="true"/>
              <w:spacing w:before="0" w:after="0"/>
              <w:jc w:val="left"/>
              <w:rPr>
                <w:rFonts w:ascii="Times New Roman" w:hAnsi="Times New Roman" w:eastAsia="Times New Roman" w:cs="Times New Roman"/>
                <w:i/>
                <w:i/>
                <w:iCs/>
                <w:kern w:val="0"/>
                <w:sz w:val="24"/>
                <w:szCs w:val="24"/>
                <w:lang w:val="ru-RU" w:eastAsia="ru-RU" w:bidi="ar-SA"/>
              </w:rPr>
            </w:pPr>
            <w:r>
              <w:rPr>
                <w:rFonts w:eastAsia="Times New Roman" w:cs="Times New Roman"/>
                <w:i/>
                <w:iCs/>
                <w:kern w:val="0"/>
                <w:sz w:val="24"/>
                <w:szCs w:val="24"/>
                <w:lang w:val="ru-RU" w:eastAsia="ru-RU" w:bidi="ar-SA"/>
              </w:rPr>
            </w:r>
          </w:p>
        </w:tc>
      </w:tr>
      <w:tr>
        <w:trPr/>
        <w:tc>
          <w:tcPr>
            <w:tcW w:w="912" w:type="dxa"/>
            <w:tcBorders>
              <w:top w:val="nil"/>
            </w:tcBorders>
            <w:vAlign w:val="center"/>
          </w:tcPr>
          <w:p>
            <w:pPr>
              <w:pStyle w:val="Normal"/>
              <w:widowControl w:val="false"/>
              <w:numPr>
                <w:ilvl w:val="1"/>
                <w:numId w:val="7"/>
              </w:numPr>
              <w:suppressAutoHyphens w:val="true"/>
              <w:spacing w:before="60" w:after="60"/>
              <w:jc w:val="center"/>
              <w:rPr>
                <w:rFonts w:ascii="Times New Roman" w:hAnsi="Times New Roman" w:eastAsia="Times New Roman" w:cs="Times New Roman"/>
                <w:b w:val="false"/>
                <w:bCs/>
                <w:i w:val="false"/>
                <w:i w:val="false"/>
                <w:iCs w:val="false"/>
                <w:color w:val="auto"/>
                <w:kern w:val="0"/>
                <w:sz w:val="24"/>
                <w:szCs w:val="24"/>
                <w:lang w:val="ru-RU" w:eastAsia="ru-RU" w:bidi="ar-SA"/>
              </w:rPr>
            </w:pPr>
            <w:r>
              <w:rPr>
                <w:rFonts w:eastAsia="Times New Roman" w:cs="Times New Roman"/>
                <w:b w:val="false"/>
                <w:bCs/>
                <w:i w:val="false"/>
                <w:iCs w:val="false"/>
                <w:color w:val="auto"/>
                <w:kern w:val="0"/>
                <w:sz w:val="24"/>
                <w:szCs w:val="24"/>
                <w:lang w:val="ru-RU" w:eastAsia="ru-RU" w:bidi="ar-SA"/>
              </w:rPr>
            </w:r>
          </w:p>
        </w:tc>
        <w:tc>
          <w:tcPr>
            <w:tcW w:w="2583" w:type="dxa"/>
            <w:tcBorders>
              <w:top w:val="nil"/>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Транспортировка и хранение</w:t>
            </w:r>
          </w:p>
        </w:tc>
        <w:tc>
          <w:tcPr>
            <w:tcW w:w="6950" w:type="dxa"/>
            <w:tcBorders>
              <w:top w:val="nil"/>
            </w:tcBorders>
            <w:vAlign w:val="center"/>
          </w:tcPr>
          <w:p>
            <w:pPr>
              <w:pStyle w:val="LHP"/>
              <w:widowControl w:val="false"/>
              <w:suppressAutoHyphens w:val="true"/>
              <w:bidi w:val="0"/>
              <w:spacing w:lineRule="auto" w:line="240" w:before="0" w:after="0"/>
              <w:ind w:left="170" w:right="0" w:firstLine="113"/>
              <w:jc w:val="both"/>
              <w:rPr>
                <w:i w:val="false"/>
                <w:i w:val="false"/>
                <w:iCs w:val="false"/>
              </w:rPr>
            </w:pPr>
            <w:r>
              <w:rPr>
                <w:i w:val="false"/>
                <w:iCs w:val="false"/>
                <w:sz w:val="24"/>
                <w:szCs w:val="24"/>
              </w:rPr>
              <w:t>Размеры всех деталей и сборочных единиц установки с учетом упаковки должны позволять доставку их на место установки железнодорожным и автомобильным транспортом в соответствии с правилами перевозок грузов, действующими на данном виде транспорта.</w:t>
            </w:r>
          </w:p>
          <w:p>
            <w:pPr>
              <w:pStyle w:val="LHP"/>
              <w:widowControl w:val="false"/>
              <w:suppressAutoHyphens w:val="true"/>
              <w:bidi w:val="0"/>
              <w:spacing w:lineRule="auto" w:line="240" w:before="0" w:after="0"/>
              <w:ind w:left="170" w:right="0" w:firstLine="113"/>
              <w:jc w:val="both"/>
              <w:rPr>
                <w:i w:val="false"/>
                <w:i w:val="false"/>
                <w:iCs w:val="false"/>
              </w:rPr>
            </w:pPr>
            <w:r>
              <w:rPr>
                <w:i w:val="false"/>
                <w:iCs w:val="false"/>
                <w:sz w:val="24"/>
                <w:szCs w:val="24"/>
              </w:rPr>
              <w:t>Транспортная масса и габаритные размеры деталей и узлов с учётом их упаковки не должны превышать возможности их перевозки железнодорожным транспортом.</w:t>
            </w:r>
          </w:p>
          <w:p>
            <w:pPr>
              <w:pStyle w:val="LHP"/>
              <w:widowControl w:val="false"/>
              <w:suppressAutoHyphens w:val="true"/>
              <w:bidi w:val="0"/>
              <w:spacing w:lineRule="auto" w:line="240" w:before="0" w:after="0"/>
              <w:ind w:left="170" w:right="0" w:firstLine="113"/>
              <w:jc w:val="both"/>
              <w:rPr>
                <w:i w:val="false"/>
                <w:i w:val="false"/>
                <w:iCs w:val="false"/>
              </w:rPr>
            </w:pPr>
            <w:r>
              <w:rPr>
                <w:i w:val="false"/>
                <w:iCs w:val="false"/>
                <w:sz w:val="24"/>
                <w:szCs w:val="24"/>
              </w:rPr>
              <w:t>Способ и условия транспортировки и хранения оборудования и их составных частей, а также условия и срок хранения в упаковке и консервации изготовителя, должны быть указаны в документации Поставщика.</w:t>
            </w:r>
          </w:p>
          <w:p>
            <w:pPr>
              <w:pStyle w:val="LHP"/>
              <w:widowControl w:val="false"/>
              <w:suppressAutoHyphens w:val="true"/>
              <w:bidi w:val="0"/>
              <w:spacing w:lineRule="auto" w:line="240" w:before="0" w:after="0"/>
              <w:ind w:left="170" w:right="0" w:firstLine="113"/>
              <w:jc w:val="both"/>
              <w:rPr>
                <w:i w:val="false"/>
                <w:i w:val="false"/>
                <w:iCs w:val="false"/>
              </w:rPr>
            </w:pPr>
            <w:r>
              <w:rPr>
                <w:i w:val="false"/>
                <w:iCs w:val="false"/>
                <w:sz w:val="24"/>
                <w:szCs w:val="24"/>
              </w:rPr>
              <w:t>Организация доставки оборудования и возможности его последующего хранения до начала монтажа должна учитывать указанные климатические условия района строительства.</w:t>
            </w:r>
          </w:p>
        </w:tc>
        <w:tc>
          <w:tcPr>
            <w:tcW w:w="2310" w:type="dxa"/>
            <w:tcBorders>
              <w:top w:val="nil"/>
            </w:tcBorders>
          </w:tcPr>
          <w:p>
            <w:pPr>
              <w:pStyle w:val="Normal"/>
              <w:widowControl w:val="false"/>
              <w:suppressAutoHyphens w:val="true"/>
              <w:spacing w:before="0" w:after="0"/>
              <w:jc w:val="left"/>
              <w:rPr>
                <w:i w:val="false"/>
                <w:i w:val="false"/>
                <w:iCs w:val="false"/>
                <w:sz w:val="24"/>
                <w:szCs w:val="28"/>
              </w:rPr>
            </w:pPr>
            <w:r>
              <w:rPr>
                <w:i w:val="false"/>
                <w:iCs w:val="false"/>
                <w:sz w:val="24"/>
                <w:szCs w:val="28"/>
              </w:rPr>
              <w:t>Согласие с требованием</w:t>
            </w:r>
          </w:p>
        </w:tc>
        <w:tc>
          <w:tcPr>
            <w:tcW w:w="2554" w:type="dxa"/>
            <w:tcBorders>
              <w:top w:val="nil"/>
            </w:tcBorders>
          </w:tcPr>
          <w:p>
            <w:pPr>
              <w:pStyle w:val="Normal"/>
              <w:widowControl w:val="false"/>
              <w:suppressAutoHyphens w:val="true"/>
              <w:spacing w:before="0" w:after="0"/>
              <w:jc w:val="left"/>
              <w:rPr>
                <w:rFonts w:ascii="Times New Roman" w:hAnsi="Times New Roman" w:eastAsia="Times New Roman" w:cs="Times New Roman"/>
                <w:i/>
                <w:i/>
                <w:iCs/>
                <w:kern w:val="0"/>
                <w:sz w:val="24"/>
                <w:szCs w:val="24"/>
                <w:lang w:val="ru-RU" w:eastAsia="ru-RU" w:bidi="ar-SA"/>
              </w:rPr>
            </w:pPr>
            <w:r>
              <w:rPr>
                <w:rFonts w:eastAsia="Times New Roman" w:cs="Times New Roman"/>
                <w:i/>
                <w:iCs/>
                <w:kern w:val="0"/>
                <w:sz w:val="24"/>
                <w:szCs w:val="24"/>
                <w:lang w:val="ru-RU" w:eastAsia="ru-RU" w:bidi="ar-SA"/>
              </w:rPr>
            </w:r>
          </w:p>
        </w:tc>
      </w:tr>
      <w:tr>
        <w:trPr/>
        <w:tc>
          <w:tcPr>
            <w:tcW w:w="912" w:type="dxa"/>
            <w:tcBorders>
              <w:top w:val="nil"/>
            </w:tcBorders>
            <w:vAlign w:val="center"/>
          </w:tcPr>
          <w:p>
            <w:pPr>
              <w:pStyle w:val="Normal"/>
              <w:widowControl w:val="false"/>
              <w:suppressAutoHyphens w:val="true"/>
              <w:spacing w:before="60" w:after="6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583" w:type="dxa"/>
            <w:tcBorders>
              <w:top w:val="nil"/>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Входной контроль</w:t>
            </w:r>
          </w:p>
        </w:tc>
        <w:tc>
          <w:tcPr>
            <w:tcW w:w="6950" w:type="dxa"/>
            <w:tcBorders>
              <w:top w:val="nil"/>
            </w:tcBorders>
            <w:vAlign w:val="center"/>
          </w:tcPr>
          <w:p>
            <w:pPr>
              <w:pStyle w:val="Normal"/>
              <w:widowControl w:val="false"/>
              <w:tabs>
                <w:tab w:val="clear" w:pos="708"/>
                <w:tab w:val="left" w:pos="8250" w:leader="none"/>
              </w:tabs>
              <w:jc w:val="left"/>
              <w:rPr>
                <w:i w:val="false"/>
                <w:i w:val="false"/>
                <w:iCs w:val="false"/>
                <w:sz w:val="24"/>
                <w:szCs w:val="24"/>
              </w:rPr>
            </w:pPr>
            <w:r>
              <w:rPr>
                <w:rFonts w:eastAsia="Times New Roman" w:cs="Times New Roman"/>
                <w:i w:val="false"/>
                <w:iCs w:val="false"/>
                <w:color w:val="auto"/>
                <w:kern w:val="0"/>
                <w:sz w:val="24"/>
                <w:szCs w:val="24"/>
                <w:lang w:val="ru-RU" w:eastAsia="ru-RU" w:bidi="ar-SA"/>
              </w:rPr>
              <w:t>Входной контроль должен выполняться в соответствии с регламентом процесса «Организация и проведение входного контроля материально-технических ресурсов Филиала», утв. приказом филиала ПАО «РусГидро» - «Саяно-Шушенская ГЭС имени П.С. Непорожнего» от 22.07.2025 № СШГЭС/95-389 (Приложение № 6 к ТТ).</w:t>
            </w:r>
          </w:p>
        </w:tc>
        <w:tc>
          <w:tcPr>
            <w:tcW w:w="2310" w:type="dxa"/>
            <w:tcBorders>
              <w:top w:val="nil"/>
            </w:tcBorders>
          </w:tcPr>
          <w:p>
            <w:pPr>
              <w:pStyle w:val="Normal"/>
              <w:widowControl w:val="false"/>
              <w:suppressAutoHyphens w:val="true"/>
              <w:spacing w:before="0" w:after="0"/>
              <w:jc w:val="left"/>
              <w:rPr>
                <w:i w:val="false"/>
                <w:i w:val="false"/>
                <w:iCs w:val="false"/>
                <w:sz w:val="24"/>
                <w:szCs w:val="24"/>
              </w:rPr>
            </w:pPr>
            <w:r>
              <w:rPr>
                <w:i w:val="false"/>
                <w:iCs w:val="false"/>
                <w:sz w:val="24"/>
                <w:szCs w:val="24"/>
              </w:rPr>
              <w:t>Согласие с требованием</w:t>
            </w:r>
          </w:p>
        </w:tc>
        <w:tc>
          <w:tcPr>
            <w:tcW w:w="2554" w:type="dxa"/>
            <w:tcBorders>
              <w:top w:val="nil"/>
            </w:tcBorders>
          </w:tcPr>
          <w:p>
            <w:pPr>
              <w:pStyle w:val="Normal"/>
              <w:widowControl w:val="false"/>
              <w:suppressAutoHyphens w:val="true"/>
              <w:spacing w:before="0" w:after="0"/>
              <w:jc w:val="left"/>
              <w:rPr>
                <w:rFonts w:ascii="Times New Roman" w:hAnsi="Times New Roman" w:eastAsia="Times New Roman" w:cs="Times New Roman"/>
                <w:i/>
                <w:i/>
                <w:iCs/>
                <w:kern w:val="0"/>
                <w:sz w:val="24"/>
                <w:szCs w:val="24"/>
                <w:lang w:val="ru-RU" w:eastAsia="ru-RU" w:bidi="ar-SA"/>
              </w:rPr>
            </w:pPr>
            <w:r>
              <w:rPr>
                <w:rFonts w:eastAsia="Times New Roman" w:cs="Times New Roman"/>
                <w:i/>
                <w:iCs/>
                <w:kern w:val="0"/>
                <w:sz w:val="24"/>
                <w:szCs w:val="24"/>
                <w:lang w:val="ru-RU" w:eastAsia="ru-RU" w:bidi="ar-SA"/>
              </w:rPr>
            </w:r>
          </w:p>
        </w:tc>
      </w:tr>
      <w:tr>
        <w:trPr/>
        <w:tc>
          <w:tcPr>
            <w:tcW w:w="912" w:type="dxa"/>
            <w:tcBorders/>
            <w:vAlign w:val="center"/>
          </w:tcPr>
          <w:p>
            <w:pPr>
              <w:pStyle w:val="ListParagraph"/>
              <w:widowControl w:val="false"/>
              <w:numPr>
                <w:ilvl w:val="0"/>
                <w:numId w:val="7"/>
              </w:numPr>
              <w:suppressAutoHyphens w:val="true"/>
              <w:spacing w:before="60" w:after="60"/>
              <w:ind w:left="-117" w:firstLine="142"/>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9533" w:type="dxa"/>
            <w:gridSpan w:val="2"/>
            <w:tcBorders/>
            <w:vAlign w:val="cente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Требования к комплектации и документам, поставляемым вместе с МТР</w:t>
            </w:r>
          </w:p>
        </w:tc>
        <w:tc>
          <w:tcPr>
            <w:tcW w:w="2310"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2554"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t>‍</w:t>
            </w:r>
          </w:p>
        </w:tc>
        <w:tc>
          <w:tcPr>
            <w:tcW w:w="2583" w:type="dxa"/>
            <w:tcBorders/>
          </w:tcPr>
          <w:p>
            <w:pPr>
              <w:pStyle w:val="ListParagraph"/>
              <w:widowControl w:val="false"/>
              <w:numPr>
                <w:ilvl w:val="0"/>
              </w:numPr>
              <w:suppressAutoHyphens w:val="true"/>
              <w:bidi w:val="0"/>
              <w:spacing w:before="60" w:after="0"/>
              <w:ind w:left="113" w:right="0" w:hanging="0"/>
              <w:contextualSpacing/>
              <w:jc w:val="left"/>
              <w:rPr/>
            </w:pPr>
            <w:r>
              <w:rPr/>
              <w:t>Требования к комплектации</w:t>
            </w:r>
          </w:p>
        </w:tc>
        <w:tc>
          <w:tcPr>
            <w:tcW w:w="6950" w:type="dxa"/>
            <w:tcBorders/>
          </w:tcPr>
          <w:p>
            <w:pPr>
              <w:pStyle w:val="LHP"/>
              <w:widowControl w:val="false"/>
              <w:tabs>
                <w:tab w:val="clear" w:pos="708"/>
                <w:tab w:val="left" w:pos="0" w:leader="none"/>
                <w:tab w:val="left" w:pos="286" w:leader="none"/>
              </w:tabs>
              <w:suppressAutoHyphens w:val="true"/>
              <w:bidi w:val="0"/>
              <w:spacing w:lineRule="auto" w:line="240" w:before="0" w:after="0"/>
              <w:ind w:left="113" w:right="0" w:hanging="57"/>
              <w:jc w:val="both"/>
              <w:rPr>
                <w:i w:val="false"/>
                <w:i w:val="false"/>
                <w:iCs w:val="false"/>
                <w:sz w:val="24"/>
                <w:szCs w:val="24"/>
              </w:rPr>
            </w:pPr>
            <w:r>
              <w:rPr>
                <w:i w:val="false"/>
                <w:iCs w:val="false"/>
                <w:sz w:val="24"/>
                <w:szCs w:val="24"/>
              </w:rPr>
              <w:t>В комплект поставки оборудования должны входить:</w:t>
            </w:r>
          </w:p>
          <w:p>
            <w:pPr>
              <w:pStyle w:val="LHP"/>
              <w:widowControl w:val="false"/>
              <w:tabs>
                <w:tab w:val="clear" w:pos="708"/>
                <w:tab w:val="left" w:pos="0" w:leader="none"/>
                <w:tab w:val="left" w:pos="286" w:leader="none"/>
              </w:tabs>
              <w:suppressAutoHyphens w:val="true"/>
              <w:bidi w:val="0"/>
              <w:spacing w:lineRule="auto" w:line="240" w:before="0" w:after="0"/>
              <w:ind w:left="113" w:right="0" w:hanging="57"/>
              <w:jc w:val="both"/>
              <w:rPr>
                <w:i w:val="false"/>
                <w:i w:val="false"/>
                <w:iCs w:val="false"/>
                <w:sz w:val="24"/>
                <w:szCs w:val="24"/>
              </w:rPr>
            </w:pPr>
            <w:r>
              <w:rPr>
                <w:i w:val="false"/>
                <w:iCs w:val="false"/>
                <w:sz w:val="24"/>
                <w:szCs w:val="24"/>
              </w:rPr>
            </w:r>
          </w:p>
          <w:p>
            <w:pPr>
              <w:pStyle w:val="Normal"/>
              <w:widowControl w:val="false"/>
              <w:jc w:val="left"/>
              <w:rPr>
                <w:sz w:val="24"/>
                <w:szCs w:val="24"/>
              </w:rPr>
            </w:pPr>
            <w:r>
              <w:rPr>
                <w:rFonts w:eastAsia="Times New Roman" w:cs="Times New Roman"/>
                <w:color w:val="auto"/>
                <w:kern w:val="0"/>
                <w:sz w:val="24"/>
                <w:szCs w:val="24"/>
                <w:lang w:val="ru-RU" w:eastAsia="ru-RU" w:bidi="ar-SA"/>
              </w:rPr>
              <w:t>- Гибкие кабельные перемычками для присоединения заземляющего дугогасящего реактора с разъединителем к нейтральным выводам генератора в комплекте с опорными и подвесными металлоконструкциями для монтажа, а также необходимые элементы заземления;</w:t>
            </w:r>
          </w:p>
          <w:p>
            <w:pPr>
              <w:pStyle w:val="Normal"/>
              <w:widowControl w:val="false"/>
              <w:jc w:val="left"/>
              <w:rPr>
                <w:sz w:val="24"/>
                <w:szCs w:val="24"/>
              </w:rPr>
            </w:pPr>
            <w:r>
              <w:rPr>
                <w:rFonts w:eastAsia="Times New Roman" w:cs="Times New Roman"/>
                <w:color w:val="auto"/>
                <w:kern w:val="0"/>
                <w:sz w:val="24"/>
                <w:szCs w:val="24"/>
                <w:lang w:val="ru-RU" w:eastAsia="ru-RU" w:bidi="ar-SA"/>
              </w:rPr>
              <w:t>- Комплект запасных частей, инструмента и принадлежностей (ЗИП) для эксплуатации в течение гарантийного срока;</w:t>
            </w:r>
          </w:p>
          <w:p>
            <w:pPr>
              <w:pStyle w:val="Normal"/>
              <w:widowControl w:val="false"/>
              <w:jc w:val="left"/>
              <w:rPr>
                <w:sz w:val="24"/>
                <w:szCs w:val="24"/>
              </w:rPr>
            </w:pPr>
            <w:r>
              <w:rPr>
                <w:rFonts w:eastAsia="Times New Roman" w:cs="Times New Roman"/>
                <w:color w:val="auto"/>
                <w:kern w:val="0"/>
                <w:sz w:val="24"/>
                <w:szCs w:val="24"/>
                <w:lang w:val="ru-RU" w:eastAsia="ru-RU" w:bidi="ar-SA"/>
              </w:rPr>
              <w:t>- Специальный инструмент и</w:t>
            </w:r>
          </w:p>
          <w:p>
            <w:pPr>
              <w:pStyle w:val="Normal"/>
              <w:widowControl w:val="false"/>
              <w:jc w:val="left"/>
              <w:rPr>
                <w:sz w:val="24"/>
                <w:szCs w:val="24"/>
              </w:rPr>
            </w:pPr>
            <w:r>
              <w:rPr>
                <w:rFonts w:eastAsia="Times New Roman" w:cs="Times New Roman"/>
                <w:color w:val="auto"/>
                <w:kern w:val="0"/>
                <w:sz w:val="24"/>
                <w:szCs w:val="24"/>
                <w:lang w:val="ru-RU" w:eastAsia="ru-RU" w:bidi="ar-SA"/>
              </w:rPr>
              <w:t>оборудование, необходимые для монтажа, испытаний и эксплуатации</w:t>
            </w:r>
          </w:p>
          <w:p>
            <w:pPr>
              <w:pStyle w:val="LHP"/>
              <w:widowControl w:val="false"/>
              <w:tabs>
                <w:tab w:val="clear" w:pos="708"/>
                <w:tab w:val="left" w:pos="0" w:leader="none"/>
                <w:tab w:val="left" w:pos="286" w:leader="none"/>
              </w:tabs>
              <w:suppressAutoHyphens w:val="true"/>
              <w:bidi w:val="0"/>
              <w:spacing w:lineRule="auto" w:line="240" w:before="0" w:after="0"/>
              <w:ind w:left="113" w:right="0" w:hanging="57"/>
              <w:jc w:val="both"/>
              <w:rPr>
                <w:i w:val="false"/>
                <w:i w:val="false"/>
                <w:iCs w:val="false"/>
              </w:rPr>
            </w:pPr>
            <w:r>
              <w:rPr>
                <w:i w:val="false"/>
                <w:iCs w:val="false"/>
              </w:rPr>
            </w:r>
          </w:p>
        </w:tc>
        <w:tc>
          <w:tcPr>
            <w:tcW w:w="2310" w:type="dxa"/>
            <w:tcBorders/>
          </w:tcPr>
          <w:p>
            <w:pPr>
              <w:pStyle w:val="Normal"/>
              <w:widowControl w:val="false"/>
              <w:suppressAutoHyphens w:val="true"/>
              <w:spacing w:before="0" w:after="0"/>
              <w:jc w:val="left"/>
              <w:rPr>
                <w:i w:val="false"/>
                <w:i w:val="false"/>
                <w:iCs w:val="false"/>
                <w:sz w:val="24"/>
                <w:szCs w:val="24"/>
              </w:rPr>
            </w:pPr>
            <w:r>
              <w:rPr>
                <w:sz w:val="24"/>
                <w:szCs w:val="24"/>
              </w:rPr>
              <w:t>Согласие с требованием</w:t>
            </w:r>
          </w:p>
        </w:tc>
        <w:tc>
          <w:tcPr>
            <w:tcW w:w="2554"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r>
      <w:tr>
        <w:trPr/>
        <w:tc>
          <w:tcPr>
            <w:tcW w:w="912" w:type="dxa"/>
            <w:tcBorders>
              <w:top w:val="nil"/>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2583" w:type="dxa"/>
            <w:tcBorders>
              <w:top w:val="nil"/>
            </w:tcBorders>
          </w:tcPr>
          <w:p>
            <w:pPr>
              <w:pStyle w:val="ListParagraph"/>
              <w:widowControl w:val="false"/>
              <w:numPr>
                <w:ilvl w:val="0"/>
              </w:numPr>
              <w:suppressAutoHyphens w:val="true"/>
              <w:bidi w:val="0"/>
              <w:spacing w:before="60" w:after="0"/>
              <w:ind w:left="113" w:right="0" w:hanging="0"/>
              <w:contextualSpacing/>
              <w:jc w:val="left"/>
              <w:rPr/>
            </w:pPr>
            <w:r>
              <w:rPr>
                <w:rStyle w:val="Style8"/>
                <w:b w:val="false"/>
                <w:i w:val="false"/>
                <w:iCs w:val="false"/>
                <w:shd w:fill="auto" w:val="clear"/>
              </w:rPr>
              <w:t>Требования к минимально необходимому перечню ЗИП</w:t>
            </w:r>
          </w:p>
        </w:tc>
        <w:tc>
          <w:tcPr>
            <w:tcW w:w="6950" w:type="dxa"/>
            <w:tcBorders>
              <w:top w:val="nil"/>
            </w:tcBorders>
          </w:tcPr>
          <w:p>
            <w:pPr>
              <w:pStyle w:val="LHP"/>
              <w:widowControl w:val="false"/>
              <w:tabs>
                <w:tab w:val="clear" w:pos="708"/>
                <w:tab w:val="left" w:pos="0" w:leader="none"/>
                <w:tab w:val="left" w:pos="286" w:leader="none"/>
              </w:tabs>
              <w:suppressAutoHyphens w:val="true"/>
              <w:bidi w:val="0"/>
              <w:spacing w:lineRule="auto" w:line="240" w:before="0" w:after="0"/>
              <w:ind w:left="113" w:right="0" w:hanging="57"/>
              <w:jc w:val="both"/>
              <w:rPr>
                <w:i w:val="false"/>
                <w:i w:val="false"/>
                <w:iCs w:val="false"/>
              </w:rPr>
            </w:pPr>
            <w:r>
              <w:rPr>
                <w:rFonts w:eastAsia="Times New Roman" w:cs="Times New Roman"/>
                <w:i w:val="false"/>
                <w:iCs w:val="false"/>
                <w:color w:val="auto"/>
                <w:kern w:val="0"/>
                <w:sz w:val="24"/>
                <w:szCs w:val="24"/>
                <w:lang w:val="ru-RU" w:eastAsia="ru-RU" w:bidi="ar-SA"/>
              </w:rPr>
              <w:t>Участник должен включить в заявку рекомендованные запасные части, требуемые для гарантийного периода эксплуатации и технического обслуживания по истечении гарантийного срока эксплуатации.</w:t>
            </w:r>
          </w:p>
          <w:p>
            <w:pPr>
              <w:pStyle w:val="LHP"/>
              <w:widowControl w:val="false"/>
              <w:tabs>
                <w:tab w:val="clear" w:pos="708"/>
                <w:tab w:val="left" w:pos="0" w:leader="none"/>
                <w:tab w:val="left" w:pos="286" w:leader="none"/>
              </w:tabs>
              <w:suppressAutoHyphens w:val="true"/>
              <w:bidi w:val="0"/>
              <w:spacing w:lineRule="auto" w:line="240" w:before="0" w:after="0"/>
              <w:ind w:left="113" w:right="0" w:hanging="57"/>
              <w:jc w:val="both"/>
              <w:rPr>
                <w:i w:val="false"/>
                <w:i w:val="false"/>
                <w:iCs w:val="false"/>
              </w:rPr>
            </w:pPr>
            <w:r>
              <w:rPr>
                <w:rFonts w:eastAsia="Times New Roman" w:cs="Times New Roman"/>
                <w:i w:val="false"/>
                <w:iCs w:val="false"/>
                <w:color w:val="auto"/>
                <w:kern w:val="0"/>
                <w:sz w:val="24"/>
                <w:szCs w:val="24"/>
                <w:lang w:val="ru-RU" w:eastAsia="ru-RU" w:bidi="ar-SA"/>
              </w:rPr>
              <w:t>Кроме того, как отдельная опция, должен быть предложен ЗИП на послегарантийный период.</w:t>
            </w:r>
          </w:p>
          <w:p>
            <w:pPr>
              <w:pStyle w:val="LHP"/>
              <w:widowControl w:val="false"/>
              <w:tabs>
                <w:tab w:val="clear" w:pos="708"/>
                <w:tab w:val="left" w:pos="0" w:leader="none"/>
                <w:tab w:val="left" w:pos="286" w:leader="none"/>
              </w:tabs>
              <w:suppressAutoHyphens w:val="true"/>
              <w:bidi w:val="0"/>
              <w:spacing w:lineRule="auto" w:line="240" w:before="0" w:after="0"/>
              <w:ind w:left="113" w:right="0" w:hanging="57"/>
              <w:jc w:val="both"/>
              <w:rPr>
                <w:i w:val="false"/>
                <w:i w:val="false"/>
                <w:iCs w:val="false"/>
              </w:rPr>
            </w:pPr>
            <w:r>
              <w:rPr>
                <w:rFonts w:eastAsia="Times New Roman" w:cs="Times New Roman"/>
                <w:i w:val="false"/>
                <w:iCs w:val="false"/>
                <w:color w:val="auto"/>
                <w:kern w:val="0"/>
                <w:sz w:val="24"/>
                <w:szCs w:val="24"/>
                <w:lang w:val="ru-RU" w:eastAsia="ru-RU" w:bidi="ar-SA"/>
              </w:rPr>
              <w:t>Участник должен предложить комплект ЗИП, основываясь на своем опыте.</w:t>
            </w:r>
          </w:p>
        </w:tc>
        <w:tc>
          <w:tcPr>
            <w:tcW w:w="2310" w:type="dxa"/>
            <w:tcBorders>
              <w:top w:val="nil"/>
            </w:tcBorders>
          </w:tcPr>
          <w:p>
            <w:pPr>
              <w:pStyle w:val="Normal"/>
              <w:widowControl w:val="false"/>
              <w:tabs>
                <w:tab w:val="clear" w:pos="708"/>
                <w:tab w:val="left" w:pos="426" w:leader="none"/>
              </w:tabs>
              <w:suppressAutoHyphens w:val="true"/>
              <w:spacing w:before="60" w:after="0"/>
              <w:jc w:val="left"/>
              <w:rPr>
                <w:i w:val="false"/>
                <w:i w:val="false"/>
                <w:iCs w:val="false"/>
              </w:rPr>
            </w:pPr>
            <w:r>
              <w:rPr>
                <w:rFonts w:eastAsia="Times New Roman" w:cs="Times New Roman"/>
                <w:i w:val="false"/>
                <w:iCs w:val="false"/>
                <w:kern w:val="0"/>
                <w:sz w:val="24"/>
                <w:szCs w:val="24"/>
                <w:lang w:val="ru-RU" w:eastAsia="ru-RU" w:bidi="ar-SA"/>
              </w:rPr>
              <w:t>Согласие с требованием</w:t>
            </w:r>
          </w:p>
        </w:tc>
        <w:tc>
          <w:tcPr>
            <w:tcW w:w="2554" w:type="dxa"/>
            <w:tcBorders>
              <w:top w:val="nil"/>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i/>
                <w:iCs/>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2583" w:type="dxa"/>
            <w:tcBorders/>
          </w:tcPr>
          <w:p>
            <w:pPr>
              <w:pStyle w:val="Normal"/>
              <w:widowControl w:val="false"/>
              <w:tabs>
                <w:tab w:val="clear" w:pos="708"/>
                <w:tab w:val="left" w:pos="426" w:leader="none"/>
              </w:tabs>
              <w:suppressAutoHyphens w:val="true"/>
              <w:spacing w:before="60" w:after="0"/>
              <w:jc w:val="left"/>
              <w:rPr>
                <w:i w:val="false"/>
                <w:i w:val="false"/>
                <w:iCs w:val="false"/>
              </w:rPr>
            </w:pPr>
            <w:r>
              <w:rPr>
                <w:rFonts w:eastAsia="Times New Roman" w:cs="Times New Roman"/>
                <w:i w:val="false"/>
                <w:iCs w:val="false"/>
                <w:kern w:val="0"/>
                <w:sz w:val="24"/>
                <w:szCs w:val="24"/>
                <w:lang w:val="ru-RU" w:eastAsia="ru-RU" w:bidi="ar-SA"/>
              </w:rPr>
              <w:t>Документы, передаваемые вместе с оборудованием</w:t>
            </w:r>
          </w:p>
        </w:tc>
        <w:tc>
          <w:tcPr>
            <w:tcW w:w="6950" w:type="dxa"/>
            <w:tcBorders/>
          </w:tcPr>
          <w:p>
            <w:pPr>
              <w:pStyle w:val="Normal"/>
              <w:widowControl w:val="false"/>
              <w:suppressAutoHyphens w:val="true"/>
              <w:spacing w:lineRule="auto" w:line="240" w:before="0" w:after="0"/>
              <w:jc w:val="left"/>
              <w:rPr>
                <w:i w:val="false"/>
                <w:i w:val="false"/>
                <w:iCs w:val="false"/>
                <w:sz w:val="24"/>
                <w:szCs w:val="24"/>
              </w:rPr>
            </w:pPr>
            <w:r>
              <w:rPr>
                <w:rFonts w:eastAsia="Times New Roman" w:cs="Times New Roman"/>
                <w:i w:val="false"/>
                <w:iCs w:val="false"/>
                <w:color w:val="auto"/>
                <w:kern w:val="0"/>
                <w:sz w:val="24"/>
                <w:szCs w:val="24"/>
                <w:lang w:val="ru-RU" w:eastAsia="ru-RU" w:bidi="ar-SA"/>
              </w:rPr>
              <w:t>Поставщик обязан одновременно с передачей оборудования передать Покупателю относящиеся к ней документы, оформленные надлежащим образом:</w:t>
            </w:r>
          </w:p>
          <w:p>
            <w:pPr>
              <w:pStyle w:val="Normal"/>
              <w:widowControl w:val="false"/>
              <w:suppressAutoHyphens w:val="true"/>
              <w:spacing w:lineRule="auto" w:line="240" w:before="0" w:after="0"/>
              <w:jc w:val="left"/>
              <w:rPr>
                <w:i w:val="false"/>
                <w:i w:val="false"/>
                <w:iCs w:val="false"/>
                <w:sz w:val="24"/>
                <w:szCs w:val="24"/>
              </w:rPr>
            </w:pPr>
            <w:r>
              <w:rPr>
                <w:rFonts w:eastAsia="Times New Roman" w:cs="Times New Roman"/>
                <w:i w:val="false"/>
                <w:iCs w:val="false"/>
                <w:color w:val="auto"/>
                <w:kern w:val="0"/>
                <w:sz w:val="24"/>
                <w:szCs w:val="24"/>
                <w:lang w:val="ru-RU" w:eastAsia="ru-RU" w:bidi="ar-SA"/>
              </w:rPr>
              <w:t>сертификаты качества;</w:t>
            </w:r>
          </w:p>
          <w:p>
            <w:pPr>
              <w:pStyle w:val="Normal"/>
              <w:widowControl w:val="false"/>
              <w:suppressAutoHyphens w:val="true"/>
              <w:spacing w:lineRule="auto" w:line="240" w:before="0" w:after="0"/>
              <w:jc w:val="left"/>
              <w:rPr>
                <w:i w:val="false"/>
                <w:i w:val="false"/>
                <w:iCs w:val="false"/>
                <w:sz w:val="24"/>
                <w:szCs w:val="24"/>
              </w:rPr>
            </w:pPr>
            <w:r>
              <w:rPr>
                <w:rFonts w:eastAsia="Times New Roman" w:cs="Times New Roman"/>
                <w:i w:val="false"/>
                <w:iCs w:val="false"/>
                <w:color w:val="auto"/>
                <w:kern w:val="0"/>
                <w:sz w:val="24"/>
                <w:szCs w:val="24"/>
                <w:lang w:val="ru-RU" w:eastAsia="ru-RU" w:bidi="ar-SA"/>
              </w:rPr>
              <w:t>технические паспорта;</w:t>
            </w:r>
          </w:p>
          <w:p>
            <w:pPr>
              <w:pStyle w:val="Normal"/>
              <w:widowControl w:val="false"/>
              <w:suppressAutoHyphens w:val="true"/>
              <w:spacing w:lineRule="auto" w:line="240" w:before="0" w:after="0"/>
              <w:jc w:val="left"/>
              <w:rPr>
                <w:i w:val="false"/>
                <w:i w:val="false"/>
                <w:iCs w:val="false"/>
                <w:sz w:val="24"/>
                <w:szCs w:val="24"/>
              </w:rPr>
            </w:pPr>
            <w:r>
              <w:rPr>
                <w:rFonts w:eastAsia="Times New Roman" w:cs="Times New Roman"/>
                <w:i w:val="false"/>
                <w:iCs w:val="false"/>
                <w:color w:val="auto"/>
                <w:kern w:val="0"/>
                <w:sz w:val="24"/>
                <w:szCs w:val="24"/>
                <w:lang w:val="ru-RU" w:eastAsia="ru-RU" w:bidi="ar-SA"/>
              </w:rPr>
              <w:t>руководства по эксплуатации;</w:t>
            </w:r>
          </w:p>
          <w:p>
            <w:pPr>
              <w:pStyle w:val="Normal"/>
              <w:widowControl w:val="false"/>
              <w:suppressAutoHyphens w:val="true"/>
              <w:spacing w:lineRule="auto" w:line="240" w:before="0" w:after="0"/>
              <w:jc w:val="left"/>
              <w:rPr>
                <w:i w:val="false"/>
                <w:i w:val="false"/>
                <w:iCs w:val="false"/>
                <w:sz w:val="24"/>
                <w:szCs w:val="24"/>
              </w:rPr>
            </w:pPr>
            <w:r>
              <w:rPr>
                <w:rFonts w:eastAsia="Times New Roman" w:cs="Times New Roman"/>
                <w:i w:val="false"/>
                <w:iCs w:val="false"/>
                <w:color w:val="auto"/>
                <w:kern w:val="0"/>
                <w:sz w:val="24"/>
                <w:szCs w:val="24"/>
                <w:lang w:val="ru-RU" w:eastAsia="ru-RU" w:bidi="ar-SA"/>
              </w:rPr>
              <w:t>упаковочные листы, упаковочные ярлыки;</w:t>
            </w:r>
          </w:p>
          <w:p>
            <w:pPr>
              <w:pStyle w:val="Normal"/>
              <w:widowControl w:val="false"/>
              <w:suppressAutoHyphens w:val="true"/>
              <w:spacing w:lineRule="auto" w:line="240" w:before="0" w:after="0"/>
              <w:jc w:val="left"/>
              <w:rPr>
                <w:i w:val="false"/>
                <w:i w:val="false"/>
                <w:iCs w:val="false"/>
                <w:sz w:val="24"/>
                <w:szCs w:val="24"/>
              </w:rPr>
            </w:pPr>
            <w:r>
              <w:rPr>
                <w:rFonts w:eastAsia="Times New Roman" w:cs="Times New Roman"/>
                <w:i w:val="false"/>
                <w:iCs w:val="false"/>
                <w:color w:val="auto"/>
                <w:kern w:val="0"/>
                <w:sz w:val="24"/>
                <w:szCs w:val="24"/>
                <w:lang w:val="ru-RU" w:eastAsia="ru-RU" w:bidi="ar-SA"/>
              </w:rPr>
              <w:t>товарно-транспортную накладную формы №1-Т;</w:t>
            </w:r>
          </w:p>
          <w:p>
            <w:pPr>
              <w:pStyle w:val="Normal"/>
              <w:widowControl w:val="false"/>
              <w:suppressAutoHyphens w:val="true"/>
              <w:spacing w:lineRule="auto" w:line="240" w:before="0" w:after="0"/>
              <w:jc w:val="left"/>
              <w:rPr>
                <w:i w:val="false"/>
                <w:i w:val="false"/>
                <w:iCs w:val="false"/>
                <w:sz w:val="24"/>
                <w:szCs w:val="24"/>
              </w:rPr>
            </w:pPr>
            <w:r>
              <w:rPr>
                <w:rFonts w:eastAsia="Times New Roman" w:cs="Times New Roman"/>
                <w:i w:val="false"/>
                <w:iCs w:val="false"/>
                <w:color w:val="auto"/>
                <w:kern w:val="0"/>
                <w:sz w:val="24"/>
                <w:szCs w:val="24"/>
                <w:lang w:val="ru-RU" w:eastAsia="ru-RU" w:bidi="ar-SA"/>
              </w:rPr>
              <w:t>товарную накладную унифицированной формы ТОРГ-12 в 2 экз.;</w:t>
            </w:r>
          </w:p>
          <w:p>
            <w:pPr>
              <w:pStyle w:val="Normal"/>
              <w:widowControl w:val="false"/>
              <w:tabs>
                <w:tab w:val="clear" w:pos="708"/>
                <w:tab w:val="left" w:pos="426" w:leader="none"/>
              </w:tabs>
              <w:suppressAutoHyphens w:val="true"/>
              <w:spacing w:lineRule="auto" w:line="240" w:before="60" w:after="0"/>
              <w:jc w:val="left"/>
              <w:rPr>
                <w:i w:val="false"/>
                <w:i w:val="false"/>
                <w:iCs w:val="false"/>
                <w:sz w:val="24"/>
                <w:szCs w:val="24"/>
              </w:rPr>
            </w:pPr>
            <w:r>
              <w:rPr>
                <w:rFonts w:eastAsia="Times New Roman" w:cs="Times New Roman"/>
                <w:i w:val="false"/>
                <w:iCs w:val="false"/>
                <w:color w:val="auto"/>
                <w:kern w:val="0"/>
                <w:sz w:val="24"/>
                <w:szCs w:val="24"/>
                <w:lang w:val="ru-RU" w:eastAsia="ru-RU" w:bidi="ar-SA"/>
              </w:rPr>
              <w:t>протоколы заводских испытаний.</w:t>
            </w:r>
          </w:p>
          <w:p>
            <w:pPr>
              <w:pStyle w:val="Normal"/>
              <w:widowControl w:val="false"/>
              <w:tabs>
                <w:tab w:val="clear" w:pos="708"/>
                <w:tab w:val="left" w:pos="426" w:leader="none"/>
              </w:tabs>
              <w:suppressAutoHyphens w:val="true"/>
              <w:spacing w:lineRule="auto" w:line="240" w:before="60" w:after="0"/>
              <w:jc w:val="left"/>
              <w:rPr>
                <w:i w:val="false"/>
                <w:i w:val="false"/>
                <w:iCs w:val="false"/>
                <w:sz w:val="24"/>
                <w:szCs w:val="24"/>
              </w:rPr>
            </w:pPr>
            <w:r>
              <w:rPr>
                <w:i w:val="false"/>
                <w:iCs w:val="false"/>
                <w:sz w:val="24"/>
                <w:szCs w:val="24"/>
              </w:rPr>
            </w:r>
          </w:p>
          <w:p>
            <w:pPr>
              <w:pStyle w:val="Normal"/>
              <w:widowControl w:val="false"/>
              <w:tabs>
                <w:tab w:val="clear" w:pos="708"/>
                <w:tab w:val="left" w:pos="426" w:leader="none"/>
              </w:tabs>
              <w:suppressAutoHyphens w:val="true"/>
              <w:spacing w:lineRule="auto" w:line="240" w:before="60" w:after="0"/>
              <w:jc w:val="left"/>
              <w:rPr>
                <w:i w:val="false"/>
                <w:i w:val="false"/>
                <w:iCs w:val="false"/>
                <w:sz w:val="24"/>
                <w:szCs w:val="24"/>
              </w:rPr>
            </w:pPr>
            <w:r>
              <w:rPr>
                <w:rFonts w:eastAsia="Times New Roman" w:cs="Times New Roman"/>
                <w:i w:val="false"/>
                <w:iCs w:val="false"/>
                <w:color w:val="auto"/>
                <w:kern w:val="0"/>
                <w:sz w:val="24"/>
                <w:szCs w:val="24"/>
                <w:lang w:val="ru-RU" w:eastAsia="ru-RU" w:bidi="ar-SA"/>
              </w:rPr>
              <w:t>Документация предоставляется в бумажном виде и на электронном носителе.</w:t>
            </w:r>
          </w:p>
        </w:tc>
        <w:tc>
          <w:tcPr>
            <w:tcW w:w="2310" w:type="dxa"/>
            <w:tcBorders/>
          </w:tcPr>
          <w:p>
            <w:pPr>
              <w:pStyle w:val="Normal"/>
              <w:widowControl w:val="false"/>
              <w:tabs>
                <w:tab w:val="clear" w:pos="708"/>
                <w:tab w:val="left" w:pos="426" w:leader="none"/>
              </w:tabs>
              <w:suppressAutoHyphens w:val="true"/>
              <w:spacing w:before="60" w:after="0"/>
              <w:jc w:val="left"/>
              <w:rPr>
                <w:i w:val="false"/>
                <w:i w:val="false"/>
                <w:iCs w:val="false"/>
              </w:rPr>
            </w:pPr>
            <w:r>
              <w:rPr>
                <w:i w:val="false"/>
                <w:iCs w:val="false"/>
                <w:sz w:val="24"/>
                <w:szCs w:val="28"/>
              </w:rPr>
              <w:t>Согласие с требованием</w:t>
            </w:r>
          </w:p>
        </w:tc>
        <w:tc>
          <w:tcPr>
            <w:tcW w:w="2554" w:type="dxa"/>
            <w:tcBorders/>
          </w:tcPr>
          <w:p>
            <w:pPr>
              <w:pStyle w:val="Normal"/>
              <w:widowControl w:val="false"/>
              <w:suppressAutoHyphens w:val="true"/>
              <w:spacing w:before="0" w:after="0"/>
              <w:jc w:val="left"/>
              <w:rPr>
                <w:rFonts w:ascii="Times New Roman" w:hAnsi="Times New Roman" w:eastAsia="Times New Roman" w:cs="Times New Roman"/>
                <w:i/>
                <w:i/>
                <w:iCs/>
                <w:kern w:val="0"/>
                <w:sz w:val="24"/>
                <w:szCs w:val="24"/>
                <w:lang w:val="ru-RU" w:eastAsia="ru-RU" w:bidi="ar-SA"/>
              </w:rPr>
            </w:pPr>
            <w:r>
              <w:rPr>
                <w:rFonts w:eastAsia="Times New Roman" w:cs="Times New Roman"/>
                <w:i/>
                <w:iCs/>
                <w:kern w:val="0"/>
                <w:sz w:val="24"/>
                <w:szCs w:val="24"/>
                <w:lang w:val="ru-RU" w:eastAsia="ru-RU" w:bidi="ar-SA"/>
              </w:rPr>
            </w:r>
          </w:p>
        </w:tc>
      </w:tr>
      <w:tr>
        <w:trPr/>
        <w:tc>
          <w:tcPr>
            <w:tcW w:w="912" w:type="dxa"/>
            <w:tcBorders/>
            <w:vAlign w:val="center"/>
          </w:tcPr>
          <w:p>
            <w:pPr>
              <w:pStyle w:val="Normal"/>
              <w:widowControl w:val="false"/>
              <w:numPr>
                <w:ilvl w:val="1"/>
                <w:numId w:val="7"/>
              </w:numPr>
              <w:suppressAutoHyphens w:val="true"/>
              <w:spacing w:before="60" w:after="60"/>
              <w:jc w:val="center"/>
              <w:rPr>
                <w:b w:val="false"/>
                <w:bCs/>
                <w:i w:val="false"/>
                <w:i w:val="false"/>
                <w:iCs w:val="false"/>
                <w:sz w:val="24"/>
                <w:szCs w:val="24"/>
              </w:rPr>
            </w:pPr>
            <w:r>
              <w:rPr/>
            </w:r>
          </w:p>
        </w:tc>
        <w:tc>
          <w:tcPr>
            <w:tcW w:w="2583" w:type="dxa"/>
            <w:tcBorders/>
            <w:vAlign w:val="center"/>
          </w:tcPr>
          <w:p>
            <w:pPr>
              <w:pStyle w:val="Normal"/>
              <w:widowControl w:val="false"/>
              <w:tabs>
                <w:tab w:val="clear" w:pos="708"/>
                <w:tab w:val="left" w:pos="426" w:leader="none"/>
              </w:tabs>
              <w:suppressAutoHyphens w:val="true"/>
              <w:spacing w:before="60" w:after="0"/>
              <w:jc w:val="left"/>
              <w:rPr>
                <w:rFonts w:ascii="Times New Roman" w:hAnsi="Times New Roman" w:eastAsia="Times New Roman" w:cs="Times New Roman"/>
                <w:kern w:val="0"/>
                <w:sz w:val="24"/>
                <w:szCs w:val="24"/>
                <w:lang w:val="ru-RU" w:eastAsia="ru-RU" w:bidi="ar-SA"/>
              </w:rPr>
            </w:pPr>
            <w:r>
              <w:rPr>
                <w:rFonts w:eastAsia="Times New Roman" w:cs="Times New Roman"/>
                <w:kern w:val="0"/>
                <w:sz w:val="24"/>
                <w:szCs w:val="24"/>
                <w:lang w:val="ru-RU" w:eastAsia="ru-RU" w:bidi="ar-SA"/>
              </w:rPr>
              <w:t>Требования к технической документации</w:t>
            </w:r>
          </w:p>
        </w:tc>
        <w:tc>
          <w:tcPr>
            <w:tcW w:w="6950" w:type="dxa"/>
            <w:tcBorders/>
            <w:vAlign w:val="center"/>
          </w:tcPr>
          <w:p>
            <w:pPr>
              <w:pStyle w:val="LHP"/>
              <w:widowControl w:val="false"/>
              <w:spacing w:lineRule="auto" w:line="240"/>
              <w:ind w:left="284" w:right="0" w:firstLine="851"/>
              <w:rPr>
                <w:sz w:val="24"/>
                <w:szCs w:val="24"/>
              </w:rPr>
            </w:pPr>
            <w:r>
              <w:rPr>
                <w:sz w:val="24"/>
                <w:szCs w:val="24"/>
              </w:rPr>
              <w:t>Поставщик применяет и использует в технической документации Международную систему единиц физических величин (система СИ).</w:t>
            </w:r>
          </w:p>
          <w:p>
            <w:pPr>
              <w:pStyle w:val="LHP"/>
              <w:widowControl w:val="false"/>
              <w:spacing w:lineRule="auto" w:line="240"/>
              <w:ind w:left="284" w:right="0" w:firstLine="851"/>
              <w:rPr>
                <w:sz w:val="24"/>
                <w:szCs w:val="24"/>
              </w:rPr>
            </w:pPr>
            <w:r>
              <w:rPr>
                <w:sz w:val="24"/>
                <w:szCs w:val="24"/>
              </w:rPr>
              <w:t>Вся техническая документация, включая чертежи, схемы, а также применяемое программное обеспечение, выполняется на русском языке и предоставляется Поставщиком на этапе исполнения договора.</w:t>
            </w:r>
          </w:p>
          <w:p>
            <w:pPr>
              <w:pStyle w:val="LHP"/>
              <w:widowControl w:val="false"/>
              <w:spacing w:lineRule="auto" w:line="240"/>
              <w:ind w:left="284" w:right="0" w:firstLine="851"/>
              <w:rPr>
                <w:sz w:val="24"/>
                <w:szCs w:val="24"/>
              </w:rPr>
            </w:pPr>
            <w:r>
              <w:rPr>
                <w:sz w:val="24"/>
                <w:szCs w:val="24"/>
              </w:rPr>
              <w:t>Состав документации, представляемый Поставщиком на этапе исполнения договора, должен включать:</w:t>
            </w:r>
          </w:p>
          <w:p>
            <w:pPr>
              <w:pStyle w:val="LHP"/>
              <w:widowControl w:val="false"/>
              <w:spacing w:lineRule="auto" w:line="240"/>
              <w:ind w:left="284" w:right="0" w:firstLine="851"/>
              <w:rPr>
                <w:sz w:val="24"/>
                <w:szCs w:val="24"/>
              </w:rPr>
            </w:pPr>
            <w:r>
              <w:rPr>
                <w:sz w:val="24"/>
                <w:szCs w:val="24"/>
              </w:rPr>
              <w:t>- полный перечень поставляемого оборудования и материалов;</w:t>
            </w:r>
          </w:p>
          <w:p>
            <w:pPr>
              <w:pStyle w:val="LHP"/>
              <w:widowControl w:val="false"/>
              <w:spacing w:lineRule="auto" w:line="240"/>
              <w:ind w:left="284" w:right="0" w:firstLine="851"/>
              <w:rPr>
                <w:sz w:val="24"/>
                <w:szCs w:val="24"/>
              </w:rPr>
            </w:pPr>
            <w:r>
              <w:rPr>
                <w:sz w:val="24"/>
                <w:szCs w:val="24"/>
              </w:rPr>
              <w:t>- описание оборудования с указанием технических характеристик, каталогов и др.;</w:t>
            </w:r>
          </w:p>
          <w:p>
            <w:pPr>
              <w:pStyle w:val="LHP"/>
              <w:widowControl w:val="false"/>
              <w:spacing w:lineRule="auto" w:line="240"/>
              <w:ind w:left="284" w:right="0" w:firstLine="851"/>
              <w:rPr>
                <w:sz w:val="24"/>
                <w:szCs w:val="24"/>
              </w:rPr>
            </w:pPr>
            <w:r>
              <w:rPr>
                <w:sz w:val="24"/>
                <w:szCs w:val="24"/>
              </w:rPr>
              <w:t>- габаритные чертежи с указанием размещения оборудования, грузоподъемных механизмов и площадей, необходимых для монтажных работ;</w:t>
            </w:r>
          </w:p>
          <w:p>
            <w:pPr>
              <w:pStyle w:val="Normal"/>
              <w:widowControl w:val="false"/>
              <w:suppressAutoHyphens w:val="true"/>
              <w:bidi w:val="0"/>
              <w:spacing w:before="0" w:after="0"/>
              <w:ind w:left="227" w:right="0" w:firstLine="1020"/>
              <w:jc w:val="left"/>
              <w:rPr/>
            </w:pPr>
            <w:r>
              <w:rPr>
                <w:rFonts w:eastAsia="Times New Roman" w:cs="Times New Roman"/>
                <w:sz w:val="24"/>
                <w:szCs w:val="28"/>
                <w:lang w:eastAsia="ru-RU"/>
              </w:rPr>
              <w:t>-</w:t>
            </w:r>
            <w:r>
              <w:rPr>
                <w:rFonts w:eastAsia="Times New Roman" w:cs="Times New Roman"/>
                <w:color w:val="auto"/>
                <w:kern w:val="0"/>
                <w:sz w:val="24"/>
                <w:szCs w:val="24"/>
                <w:lang w:val="ru-RU" w:eastAsia="ru-RU" w:bidi="ar-SA"/>
              </w:rPr>
              <w:t xml:space="preserve"> монтажно-установочные чертежи с узлами присоединения;</w:t>
            </w:r>
          </w:p>
          <w:p>
            <w:pPr>
              <w:pStyle w:val="Normal"/>
              <w:widowControl w:val="false"/>
              <w:suppressAutoHyphens w:val="true"/>
              <w:bidi w:val="0"/>
              <w:spacing w:before="0" w:after="0"/>
              <w:ind w:left="227" w:right="0" w:firstLine="1020"/>
              <w:jc w:val="left"/>
              <w:rPr>
                <w:rFonts w:ascii="Times New Roman" w:hAnsi="Times New Roman" w:eastAsia="Times New Roman" w:cs="Times New Roman"/>
                <w:color w:val="auto"/>
                <w:kern w:val="0"/>
                <w:sz w:val="24"/>
                <w:szCs w:val="24"/>
                <w:lang w:val="ru-RU" w:eastAsia="ru-RU" w:bidi="ar-SA"/>
              </w:rPr>
            </w:pPr>
            <w:r>
              <w:rPr>
                <w:rFonts w:eastAsia="Times New Roman" w:cs="Times New Roman"/>
                <w:color w:val="auto"/>
                <w:kern w:val="0"/>
                <w:sz w:val="24"/>
                <w:szCs w:val="24"/>
                <w:lang w:val="ru-RU" w:eastAsia="ru-RU" w:bidi="ar-SA"/>
              </w:rPr>
              <w:t>- инструкции по эксплуатации;</w:t>
            </w:r>
          </w:p>
          <w:p>
            <w:pPr>
              <w:pStyle w:val="LHP"/>
              <w:widowControl w:val="false"/>
              <w:spacing w:lineRule="auto" w:line="240"/>
              <w:ind w:left="284" w:right="0" w:firstLine="851"/>
              <w:rPr>
                <w:sz w:val="24"/>
                <w:szCs w:val="24"/>
              </w:rPr>
            </w:pPr>
            <w:r>
              <w:rPr>
                <w:sz w:val="24"/>
                <w:szCs w:val="24"/>
              </w:rPr>
              <w:t>- состав и описание устройств управления и контроля с приложением структурных и функциональных схем, мест размещения шкафов, перечня поставляемых устройств, технических характеристик и каталогов;</w:t>
            </w:r>
          </w:p>
          <w:p>
            <w:pPr>
              <w:pStyle w:val="LHP"/>
              <w:widowControl w:val="false"/>
              <w:spacing w:lineRule="auto" w:line="240"/>
              <w:ind w:left="284" w:right="0" w:firstLine="851"/>
              <w:rPr>
                <w:sz w:val="24"/>
                <w:szCs w:val="24"/>
              </w:rPr>
            </w:pPr>
            <w:r>
              <w:rPr>
                <w:sz w:val="24"/>
                <w:szCs w:val="24"/>
              </w:rPr>
              <w:t>- перечень проведенных типовых испытаний;</w:t>
            </w:r>
          </w:p>
          <w:p>
            <w:pPr>
              <w:pStyle w:val="LHP"/>
              <w:widowControl w:val="false"/>
              <w:spacing w:lineRule="auto" w:line="240"/>
              <w:ind w:left="284" w:right="0" w:firstLine="851"/>
              <w:rPr>
                <w:sz w:val="24"/>
                <w:szCs w:val="24"/>
              </w:rPr>
            </w:pPr>
            <w:r>
              <w:rPr>
                <w:sz w:val="24"/>
                <w:szCs w:val="24"/>
              </w:rPr>
              <w:t>- перечень запасных частей на гарантийный период эксплуатации;</w:t>
            </w:r>
          </w:p>
          <w:p>
            <w:pPr>
              <w:pStyle w:val="LHP"/>
              <w:widowControl w:val="false"/>
              <w:spacing w:lineRule="auto" w:line="240"/>
              <w:ind w:left="284" w:right="0" w:firstLine="851"/>
              <w:rPr>
                <w:sz w:val="24"/>
                <w:szCs w:val="24"/>
              </w:rPr>
            </w:pPr>
            <w:r>
              <w:rPr>
                <w:sz w:val="24"/>
                <w:szCs w:val="24"/>
              </w:rPr>
              <w:t>- перечень рекомендуемых запасных частей на послегарантийный пятилетний период - перечень специального инструмента и оборудования, необходимого для монтажа, испытаний и эксплуатации;</w:t>
            </w:r>
          </w:p>
          <w:p>
            <w:pPr>
              <w:pStyle w:val="LHP"/>
              <w:widowControl w:val="false"/>
              <w:spacing w:lineRule="auto" w:line="240"/>
              <w:ind w:left="284" w:right="0" w:firstLine="851"/>
              <w:rPr>
                <w:sz w:val="24"/>
                <w:szCs w:val="24"/>
              </w:rPr>
            </w:pPr>
            <w:r>
              <w:rPr>
                <w:sz w:val="24"/>
                <w:szCs w:val="24"/>
              </w:rPr>
              <w:t>- график изготовления, заводских испытаний, поставки, шеф-монтажа и испытаний оборудования на месте установки;</w:t>
            </w:r>
          </w:p>
          <w:p>
            <w:pPr>
              <w:pStyle w:val="LHP"/>
              <w:widowControl w:val="false"/>
              <w:spacing w:lineRule="auto" w:line="240"/>
              <w:ind w:left="284" w:right="0" w:firstLine="851"/>
              <w:rPr>
                <w:sz w:val="24"/>
                <w:szCs w:val="24"/>
              </w:rPr>
            </w:pPr>
            <w:r>
              <w:rPr>
                <w:sz w:val="24"/>
                <w:szCs w:val="24"/>
              </w:rPr>
              <w:t>- референц-лист на поставленное ранее аналогичное оборудование.</w:t>
            </w:r>
          </w:p>
          <w:p>
            <w:pPr>
              <w:pStyle w:val="LHP"/>
              <w:widowControl w:val="false"/>
              <w:spacing w:lineRule="auto" w:line="240"/>
              <w:ind w:left="284" w:right="0" w:firstLine="851"/>
              <w:rPr>
                <w:sz w:val="24"/>
                <w:szCs w:val="24"/>
              </w:rPr>
            </w:pPr>
            <w:r>
              <w:rPr>
                <w:sz w:val="24"/>
                <w:szCs w:val="24"/>
              </w:rPr>
              <w:t>Поставщик должен представить Заказчику в течение 45 дней, после подписания договора на поставку, следующую документацию и исходные данные, необходимые для дальнейшего проектирования объекта:</w:t>
            </w:r>
          </w:p>
          <w:p>
            <w:pPr>
              <w:pStyle w:val="LHP"/>
              <w:widowControl w:val="false"/>
              <w:spacing w:lineRule="auto" w:line="240"/>
              <w:ind w:left="284" w:right="0" w:firstLine="851"/>
              <w:rPr>
                <w:sz w:val="24"/>
                <w:szCs w:val="24"/>
              </w:rPr>
            </w:pPr>
            <w:r>
              <w:rPr>
                <w:sz w:val="24"/>
                <w:szCs w:val="24"/>
              </w:rPr>
              <w:t>- габаритные и установочные чертежи оборудования с указанием размеров, весовых характеристик и свободного пространства, необходимого для монтажа, обслуживания и ремонта оборудования, чертежи узлов раскрепления реактора от смещения согласно требуемой сейсмостойкости;</w:t>
            </w:r>
          </w:p>
          <w:p>
            <w:pPr>
              <w:pStyle w:val="LHP"/>
              <w:widowControl w:val="false"/>
              <w:spacing w:lineRule="auto" w:line="240"/>
              <w:ind w:left="284" w:right="0" w:firstLine="851"/>
              <w:rPr>
                <w:sz w:val="24"/>
                <w:szCs w:val="24"/>
              </w:rPr>
            </w:pPr>
            <w:r>
              <w:rPr>
                <w:sz w:val="24"/>
                <w:szCs w:val="24"/>
              </w:rPr>
              <w:t>- нагрузки на фундамент с указанием статических и динамических усилий и их направлений (строительное задание);</w:t>
            </w:r>
          </w:p>
          <w:p>
            <w:pPr>
              <w:pStyle w:val="LHP"/>
              <w:widowControl w:val="false"/>
              <w:spacing w:lineRule="auto" w:line="240"/>
              <w:ind w:left="284" w:right="0" w:firstLine="851"/>
              <w:rPr>
                <w:sz w:val="24"/>
                <w:szCs w:val="24"/>
              </w:rPr>
            </w:pPr>
            <w:r>
              <w:rPr>
                <w:sz w:val="24"/>
                <w:szCs w:val="24"/>
              </w:rPr>
              <w:t>- принципиальные схемы управления и контроля с указанием технических характеристик входных и выходных сигналов и параметров элементов схем;</w:t>
            </w:r>
          </w:p>
          <w:p>
            <w:pPr>
              <w:pStyle w:val="LHP"/>
              <w:widowControl w:val="false"/>
              <w:spacing w:lineRule="auto" w:line="240"/>
              <w:ind w:left="284" w:right="0" w:firstLine="851"/>
              <w:rPr>
                <w:sz w:val="24"/>
                <w:szCs w:val="24"/>
              </w:rPr>
            </w:pPr>
            <w:r>
              <w:rPr>
                <w:sz w:val="24"/>
                <w:szCs w:val="24"/>
              </w:rPr>
              <w:t>- чертежи главных видов (фасадов) шкафов управления, а также кабельных связей этих шкафов с поставляемым оборудованием;</w:t>
            </w:r>
          </w:p>
          <w:p>
            <w:pPr>
              <w:pStyle w:val="LHP"/>
              <w:widowControl w:val="false"/>
              <w:spacing w:lineRule="auto" w:line="240"/>
              <w:ind w:left="284" w:right="0" w:firstLine="851"/>
              <w:rPr>
                <w:sz w:val="24"/>
                <w:szCs w:val="24"/>
              </w:rPr>
            </w:pPr>
            <w:r>
              <w:rPr>
                <w:sz w:val="24"/>
                <w:szCs w:val="24"/>
              </w:rPr>
              <w:t>- отчеты о проведенных типовых испытаниях;</w:t>
            </w:r>
          </w:p>
          <w:p>
            <w:pPr>
              <w:pStyle w:val="LHP"/>
              <w:widowControl w:val="false"/>
              <w:spacing w:lineRule="auto" w:line="240"/>
              <w:ind w:left="284" w:right="0" w:firstLine="851"/>
              <w:rPr>
                <w:sz w:val="24"/>
                <w:szCs w:val="24"/>
              </w:rPr>
            </w:pPr>
            <w:r>
              <w:rPr>
                <w:sz w:val="24"/>
                <w:szCs w:val="24"/>
              </w:rPr>
              <w:t>- технические проспекты, каталоги и копии стандартов, используемых в качестве основных при проектировании, изготовлении и испытании оборудования;</w:t>
            </w:r>
          </w:p>
          <w:p>
            <w:pPr>
              <w:pStyle w:val="LHP"/>
              <w:widowControl w:val="false"/>
              <w:spacing w:lineRule="auto" w:line="240"/>
              <w:ind w:left="284" w:right="0" w:firstLine="851"/>
              <w:rPr>
                <w:sz w:val="24"/>
                <w:szCs w:val="24"/>
              </w:rPr>
            </w:pPr>
            <w:r>
              <w:rPr>
                <w:sz w:val="24"/>
                <w:szCs w:val="24"/>
              </w:rPr>
              <w:t>- технические требования к системе электроснабжения;</w:t>
            </w:r>
          </w:p>
          <w:p>
            <w:pPr>
              <w:pStyle w:val="LHP"/>
              <w:widowControl w:val="false"/>
              <w:spacing w:lineRule="auto" w:line="240"/>
              <w:ind w:left="284" w:right="0" w:firstLine="851"/>
              <w:rPr>
                <w:sz w:val="24"/>
                <w:szCs w:val="24"/>
              </w:rPr>
            </w:pPr>
            <w:r>
              <w:rPr>
                <w:sz w:val="24"/>
                <w:szCs w:val="24"/>
              </w:rPr>
              <w:t>- схемы табличек с паспортными данными.</w:t>
            </w:r>
          </w:p>
          <w:p>
            <w:pPr>
              <w:pStyle w:val="LHP"/>
              <w:widowControl w:val="false"/>
              <w:spacing w:lineRule="auto" w:line="240"/>
              <w:ind w:left="284" w:right="0" w:firstLine="851"/>
              <w:rPr>
                <w:sz w:val="24"/>
                <w:szCs w:val="24"/>
              </w:rPr>
            </w:pPr>
            <w:r>
              <w:rPr>
                <w:sz w:val="24"/>
                <w:szCs w:val="24"/>
              </w:rPr>
              <w:t>Поставщик должен представить Заказчику через 2 (два) месяца после даты подписания договора следующую документацию:</w:t>
            </w:r>
          </w:p>
          <w:p>
            <w:pPr>
              <w:pStyle w:val="LHP"/>
              <w:widowControl w:val="false"/>
              <w:spacing w:lineRule="auto" w:line="240"/>
              <w:ind w:left="284" w:right="0" w:firstLine="851"/>
              <w:rPr>
                <w:sz w:val="24"/>
                <w:szCs w:val="24"/>
              </w:rPr>
            </w:pPr>
            <w:r>
              <w:rPr>
                <w:sz w:val="24"/>
                <w:szCs w:val="24"/>
              </w:rPr>
              <w:t>- окончательные чертежи поставляемого оборудования, включая документацию по средствам и приборам управления;</w:t>
            </w:r>
          </w:p>
          <w:p>
            <w:pPr>
              <w:pStyle w:val="LHP"/>
              <w:widowControl w:val="false"/>
              <w:spacing w:lineRule="auto" w:line="240"/>
              <w:ind w:left="284" w:right="0" w:firstLine="851"/>
              <w:rPr>
                <w:sz w:val="24"/>
                <w:szCs w:val="24"/>
              </w:rPr>
            </w:pPr>
            <w:r>
              <w:rPr>
                <w:sz w:val="24"/>
                <w:szCs w:val="24"/>
              </w:rPr>
              <w:t>- чертежи и инструкции по упаковке, транспортировке и хранению оборудования;</w:t>
            </w:r>
          </w:p>
          <w:p>
            <w:pPr>
              <w:pStyle w:val="LHP"/>
              <w:widowControl w:val="false"/>
              <w:spacing w:lineRule="auto" w:line="240"/>
              <w:ind w:left="284" w:right="0" w:firstLine="851"/>
              <w:rPr>
                <w:sz w:val="24"/>
                <w:szCs w:val="24"/>
              </w:rPr>
            </w:pPr>
            <w:r>
              <w:rPr>
                <w:sz w:val="24"/>
                <w:szCs w:val="24"/>
              </w:rPr>
              <w:t>- перечень и объем испытаний, проводимых на заводе и на месте монтажа;</w:t>
            </w:r>
          </w:p>
          <w:p>
            <w:pPr>
              <w:pStyle w:val="LHP"/>
              <w:widowControl w:val="false"/>
              <w:spacing w:lineRule="auto" w:line="240"/>
              <w:ind w:left="284" w:right="0" w:firstLine="851"/>
              <w:rPr>
                <w:sz w:val="24"/>
                <w:szCs w:val="24"/>
              </w:rPr>
            </w:pPr>
            <w:r>
              <w:rPr>
                <w:sz w:val="24"/>
                <w:szCs w:val="24"/>
              </w:rPr>
              <w:t>- чертежи подсоединения кабелей (монтажные схемы) и кабельные трассы;</w:t>
            </w:r>
          </w:p>
          <w:p>
            <w:pPr>
              <w:pStyle w:val="LHP"/>
              <w:widowControl w:val="false"/>
              <w:spacing w:lineRule="auto" w:line="240"/>
              <w:ind w:left="284" w:right="0" w:firstLine="851"/>
              <w:rPr>
                <w:sz w:val="24"/>
                <w:szCs w:val="24"/>
              </w:rPr>
            </w:pPr>
            <w:r>
              <w:rPr>
                <w:sz w:val="24"/>
                <w:szCs w:val="24"/>
              </w:rPr>
              <w:t>- подтверждение о выполнении оборудования в соответствии с окончательной документацией и техническими требованиями на поставку;</w:t>
            </w:r>
          </w:p>
          <w:p>
            <w:pPr>
              <w:pStyle w:val="LHP"/>
              <w:widowControl w:val="false"/>
              <w:spacing w:lineRule="auto" w:line="240"/>
              <w:ind w:left="284" w:right="0" w:firstLine="851"/>
              <w:rPr>
                <w:sz w:val="24"/>
                <w:szCs w:val="24"/>
              </w:rPr>
            </w:pPr>
            <w:r>
              <w:rPr>
                <w:sz w:val="24"/>
                <w:szCs w:val="24"/>
              </w:rPr>
              <w:t>- паспорт на реактор и комплектующее оборудование;</w:t>
            </w:r>
          </w:p>
          <w:p>
            <w:pPr>
              <w:pStyle w:val="LHP"/>
              <w:widowControl w:val="false"/>
              <w:spacing w:lineRule="auto" w:line="240"/>
              <w:ind w:left="284" w:right="0" w:firstLine="851"/>
              <w:rPr>
                <w:sz w:val="24"/>
                <w:szCs w:val="24"/>
              </w:rPr>
            </w:pPr>
            <w:r>
              <w:rPr>
                <w:sz w:val="24"/>
                <w:szCs w:val="24"/>
              </w:rPr>
              <w:t>- инструкции по монтажу и эксплуатации реактора;</w:t>
            </w:r>
          </w:p>
          <w:p>
            <w:pPr>
              <w:pStyle w:val="LHP"/>
              <w:widowControl w:val="false"/>
              <w:spacing w:lineRule="auto" w:line="240"/>
              <w:ind w:left="284" w:right="0" w:firstLine="851"/>
              <w:rPr>
                <w:sz w:val="24"/>
                <w:szCs w:val="24"/>
              </w:rPr>
            </w:pPr>
            <w:r>
              <w:rPr>
                <w:sz w:val="24"/>
                <w:szCs w:val="24"/>
              </w:rPr>
              <w:t>- инструкция по перечню и проведению регламентных работ при эксплуатации;</w:t>
            </w:r>
          </w:p>
          <w:p>
            <w:pPr>
              <w:pStyle w:val="LHP"/>
              <w:widowControl w:val="false"/>
              <w:spacing w:lineRule="auto" w:line="240"/>
              <w:ind w:left="284" w:right="0" w:firstLine="851"/>
              <w:rPr>
                <w:sz w:val="24"/>
                <w:szCs w:val="24"/>
              </w:rPr>
            </w:pPr>
            <w:r>
              <w:rPr>
                <w:sz w:val="24"/>
                <w:szCs w:val="24"/>
              </w:rPr>
              <w:t>- перечень оборудования, необходимого для монтажа и эксплуатации поставленного оборудования.</w:t>
            </w:r>
          </w:p>
          <w:p>
            <w:pPr>
              <w:pStyle w:val="LHP"/>
              <w:widowControl w:val="false"/>
              <w:spacing w:lineRule="auto" w:line="240"/>
              <w:ind w:left="284" w:right="0" w:firstLine="851"/>
              <w:rPr>
                <w:sz w:val="24"/>
                <w:szCs w:val="24"/>
              </w:rPr>
            </w:pPr>
            <w:r>
              <w:rPr>
                <w:sz w:val="24"/>
                <w:szCs w:val="24"/>
              </w:rPr>
              <w:t>Поставляемое электротехническое оборудование должно сопровождаться комплектом подробных инструкций по монтажу, наладке, испытаниям и текущей эксплуатации, содержащих наряду с описанием чертежи, схемы и фотографии, иллюстрирующие все этапы установки и сборки оборудования и их специфику.</w:t>
            </w:r>
          </w:p>
          <w:p>
            <w:pPr>
              <w:pStyle w:val="LHP"/>
              <w:widowControl w:val="false"/>
              <w:spacing w:lineRule="auto" w:line="240"/>
              <w:ind w:left="284" w:right="0" w:firstLine="851"/>
              <w:rPr>
                <w:sz w:val="24"/>
                <w:szCs w:val="24"/>
              </w:rPr>
            </w:pPr>
            <w:r>
              <w:rPr>
                <w:sz w:val="24"/>
                <w:szCs w:val="24"/>
              </w:rPr>
              <w:t>В инструкциях должна содержаться информация по наладке и испытаниям оборудования на месте монтажа, а также последующей его эксплуатации с указанием периодичности и объема требуемых проверок и испытаний.</w:t>
            </w:r>
          </w:p>
          <w:p>
            <w:pPr>
              <w:pStyle w:val="LHP"/>
              <w:widowControl w:val="false"/>
              <w:spacing w:lineRule="auto" w:line="240"/>
              <w:ind w:left="284" w:right="0" w:firstLine="851"/>
              <w:rPr>
                <w:sz w:val="24"/>
                <w:szCs w:val="24"/>
              </w:rPr>
            </w:pPr>
            <w:r>
              <w:rPr>
                <w:sz w:val="24"/>
                <w:szCs w:val="24"/>
              </w:rPr>
              <w:t>В течение одного месяца после ввода оборудования в эксплуатацию Поставщик передает Заказчику чертежи и другую техническую документацию, в которую были внесены изменения в процессе монтажа и пусконаладочных работ.</w:t>
            </w:r>
          </w:p>
          <w:p>
            <w:pPr>
              <w:pStyle w:val="LHP"/>
              <w:widowControl w:val="false"/>
              <w:spacing w:lineRule="auto" w:line="240"/>
              <w:ind w:left="284" w:right="0" w:firstLine="851"/>
              <w:rPr>
                <w:sz w:val="24"/>
                <w:szCs w:val="24"/>
              </w:rPr>
            </w:pPr>
            <w:r>
              <w:rPr>
                <w:sz w:val="24"/>
                <w:szCs w:val="24"/>
              </w:rPr>
              <w:t>Вся информация и документация должна передаваться Заказчику на русском языке в 4-х экземплярах на бумаге и на электронных носителях, а также Проектировщику в 2-х экземплярах на бумаге и на электронных носителях.</w:t>
            </w:r>
          </w:p>
        </w:tc>
        <w:tc>
          <w:tcPr>
            <w:tcW w:w="2310" w:type="dxa"/>
            <w:tcBorders/>
          </w:tcPr>
          <w:p>
            <w:pPr>
              <w:pStyle w:val="Normal"/>
              <w:widowControl w:val="false"/>
              <w:tabs>
                <w:tab w:val="clear" w:pos="708"/>
                <w:tab w:val="left" w:pos="426" w:leader="none"/>
              </w:tabs>
              <w:suppressAutoHyphens w:val="true"/>
              <w:spacing w:before="60" w:after="0"/>
              <w:jc w:val="left"/>
              <w:rPr>
                <w:i w:val="false"/>
                <w:i w:val="false"/>
                <w:iCs w:val="false"/>
                <w:sz w:val="24"/>
                <w:szCs w:val="28"/>
              </w:rPr>
            </w:pPr>
            <w:r>
              <w:rPr>
                <w:i w:val="false"/>
                <w:iCs w:val="false"/>
                <w:sz w:val="24"/>
                <w:szCs w:val="28"/>
              </w:rPr>
              <w:t>Согласие с требованием</w:t>
            </w:r>
          </w:p>
        </w:tc>
        <w:tc>
          <w:tcPr>
            <w:tcW w:w="2554" w:type="dxa"/>
            <w:tcBorders/>
          </w:tcPr>
          <w:p>
            <w:pPr>
              <w:pStyle w:val="Normal"/>
              <w:widowControl w:val="false"/>
              <w:suppressAutoHyphens w:val="true"/>
              <w:spacing w:before="0" w:after="0"/>
              <w:jc w:val="left"/>
              <w:rPr>
                <w:rFonts w:ascii="Times New Roman" w:hAnsi="Times New Roman" w:eastAsia="Times New Roman" w:cs="Times New Roman"/>
                <w:i/>
                <w:i/>
                <w:iCs/>
                <w:kern w:val="0"/>
                <w:sz w:val="24"/>
                <w:szCs w:val="24"/>
                <w:lang w:val="ru-RU" w:eastAsia="ru-RU" w:bidi="ar-SA"/>
              </w:rPr>
            </w:pPr>
            <w:r>
              <w:rPr>
                <w:rFonts w:eastAsia="Times New Roman" w:cs="Times New Roman"/>
                <w:i/>
                <w:iCs/>
                <w:kern w:val="0"/>
                <w:sz w:val="24"/>
                <w:szCs w:val="24"/>
                <w:lang w:val="ru-RU" w:eastAsia="ru-RU" w:bidi="ar-SA"/>
              </w:rPr>
            </w:r>
          </w:p>
        </w:tc>
      </w:tr>
      <w:tr>
        <w:trPr/>
        <w:tc>
          <w:tcPr>
            <w:tcW w:w="912" w:type="dxa"/>
            <w:tcBorders/>
            <w:vAlign w:val="center"/>
          </w:tcPr>
          <w:p>
            <w:pPr>
              <w:pStyle w:val="ListParagraph"/>
              <w:widowControl w:val="false"/>
              <w:numPr>
                <w:ilvl w:val="0"/>
                <w:numId w:val="7"/>
              </w:numPr>
              <w:suppressAutoHyphens w:val="true"/>
              <w:spacing w:before="60" w:after="60"/>
              <w:ind w:left="-117" w:firstLine="142"/>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9533" w:type="dxa"/>
            <w:gridSpan w:val="2"/>
            <w:tcBorders/>
            <w:vAlign w:val="center"/>
          </w:tcPr>
          <w:p>
            <w:pPr>
              <w:pStyle w:val="Normal"/>
              <w:widowControl w:val="false"/>
              <w:suppressAutoHyphens w:val="true"/>
              <w:spacing w:before="60" w:after="60"/>
              <w:jc w:val="left"/>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Прочие (дополнительные) требования к МТР</w:t>
            </w:r>
          </w:p>
        </w:tc>
        <w:tc>
          <w:tcPr>
            <w:tcW w:w="2310"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2554"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2583" w:type="dxa"/>
            <w:tcBorders/>
            <w:vAlign w:val="center"/>
          </w:tcPr>
          <w:p>
            <w:pPr>
              <w:pStyle w:val="Normal"/>
              <w:widowControl w:val="false"/>
              <w:tabs>
                <w:tab w:val="clear" w:pos="708"/>
                <w:tab w:val="left" w:pos="426" w:leader="none"/>
              </w:tabs>
              <w:suppressAutoHyphens w:val="true"/>
              <w:spacing w:before="60" w:after="0"/>
              <w:jc w:val="left"/>
              <w:rPr>
                <w:i w:val="false"/>
                <w:i w:val="false"/>
                <w:iCs w:val="false"/>
              </w:rPr>
            </w:pPr>
            <w:r>
              <w:rPr>
                <w:rFonts w:eastAsia="Times New Roman" w:cs="Times New Roman"/>
                <w:i w:val="false"/>
                <w:iCs w:val="false"/>
                <w:kern w:val="0"/>
                <w:sz w:val="24"/>
                <w:szCs w:val="24"/>
                <w:lang w:val="ru-RU" w:eastAsia="ru-RU" w:bidi="ar-SA"/>
              </w:rPr>
              <w:t>Обеспечение контроля за процессом изготовления сложного оборудования</w:t>
            </w:r>
          </w:p>
        </w:tc>
        <w:tc>
          <w:tcPr>
            <w:tcW w:w="6950" w:type="dxa"/>
            <w:tcBorders/>
          </w:tcPr>
          <w:p>
            <w:pPr>
              <w:pStyle w:val="Normal"/>
              <w:widowControl w:val="false"/>
              <w:tabs>
                <w:tab w:val="clear" w:pos="708"/>
                <w:tab w:val="left" w:pos="426" w:leader="none"/>
              </w:tabs>
              <w:suppressAutoHyphens w:val="true"/>
              <w:spacing w:before="60" w:after="0"/>
              <w:jc w:val="left"/>
              <w:rPr>
                <w:i w:val="false"/>
                <w:i w:val="false"/>
                <w:iCs w:val="false"/>
                <w:sz w:val="24"/>
                <w:szCs w:val="24"/>
              </w:rPr>
            </w:pPr>
            <w:r>
              <w:rPr>
                <w:rFonts w:eastAsia="Times New Roman" w:cs="Times New Roman"/>
                <w:i w:val="false"/>
                <w:iCs w:val="false"/>
                <w:kern w:val="0"/>
                <w:sz w:val="24"/>
                <w:szCs w:val="24"/>
                <w:lang w:val="ru-RU" w:eastAsia="ru-RU" w:bidi="ar-SA"/>
              </w:rPr>
              <w:t>Поставщик обязан обеспечить доступ по требованию представителя Заказчика к технологической линии изготовления продукции (заказа), являющейся предметом договора</w:t>
            </w:r>
          </w:p>
        </w:tc>
        <w:tc>
          <w:tcPr>
            <w:tcW w:w="2310" w:type="dxa"/>
            <w:tcBorders/>
          </w:tcPr>
          <w:p>
            <w:pPr>
              <w:pStyle w:val="Normal"/>
              <w:widowControl w:val="false"/>
              <w:tabs>
                <w:tab w:val="clear" w:pos="708"/>
                <w:tab w:val="left" w:pos="426" w:leader="none"/>
              </w:tabs>
              <w:suppressAutoHyphens w:val="true"/>
              <w:spacing w:before="60" w:after="0"/>
              <w:jc w:val="left"/>
              <w:rPr>
                <w:i w:val="false"/>
                <w:i w:val="false"/>
                <w:iCs w:val="false"/>
                <w:sz w:val="24"/>
                <w:szCs w:val="24"/>
              </w:rPr>
            </w:pPr>
            <w:r>
              <w:rPr>
                <w:rFonts w:eastAsia="Times New Roman" w:cs="Times New Roman"/>
                <w:i w:val="false"/>
                <w:iCs w:val="false"/>
                <w:kern w:val="0"/>
                <w:sz w:val="24"/>
                <w:szCs w:val="24"/>
                <w:lang w:val="ru-RU" w:eastAsia="ru-RU" w:bidi="ar-SA"/>
              </w:rPr>
              <w:t>Согласие с требованием</w:t>
            </w:r>
          </w:p>
        </w:tc>
        <w:tc>
          <w:tcPr>
            <w:tcW w:w="2554"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w:t>
            </w:r>
          </w:p>
        </w:tc>
      </w:tr>
      <w:tr>
        <w:trPr/>
        <w:tc>
          <w:tcPr>
            <w:tcW w:w="912" w:type="dxa"/>
            <w:tcBorders>
              <w:top w:val="nil"/>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t>‍</w:t>
            </w:r>
          </w:p>
        </w:tc>
        <w:tc>
          <w:tcPr>
            <w:tcW w:w="2583" w:type="dxa"/>
            <w:tcBorders>
              <w:top w:val="nil"/>
            </w:tcBorders>
          </w:tcPr>
          <w:p>
            <w:pPr>
              <w:pStyle w:val="Normal"/>
              <w:widowControl w:val="false"/>
              <w:spacing w:before="0" w:after="120"/>
              <w:jc w:val="left"/>
              <w:rPr>
                <w:rFonts w:ascii="Times New Roman" w:hAnsi="Times New Roman" w:eastAsia="Times New Roman" w:cs="Times New Roman"/>
                <w:i w:val="false"/>
                <w:i w:val="false"/>
                <w:iCs w:val="false"/>
                <w:kern w:val="0"/>
                <w:lang w:val="ru-RU" w:eastAsia="ru-RU" w:bidi="ar-SA"/>
              </w:rPr>
            </w:pPr>
            <w:r>
              <w:rPr>
                <w:rFonts w:eastAsia="Times New Roman" w:cs="Times New Roman"/>
                <w:i w:val="false"/>
                <w:iCs w:val="false"/>
                <w:kern w:val="0"/>
                <w:sz w:val="24"/>
                <w:szCs w:val="24"/>
                <w:lang w:val="ru-RU" w:eastAsia="ru-RU" w:bidi="ar-SA"/>
              </w:rPr>
              <w:t>Требования к происхождению поставляемой продукции</w:t>
            </w:r>
          </w:p>
        </w:tc>
        <w:tc>
          <w:tcPr>
            <w:tcW w:w="6950" w:type="dxa"/>
            <w:tcBorders>
              <w:top w:val="nil"/>
            </w:tcBorders>
          </w:tcPr>
          <w:p>
            <w:pPr>
              <w:pStyle w:val="Normal"/>
              <w:widowControl w:val="false"/>
              <w:suppressAutoHyphens w:val="true"/>
              <w:spacing w:before="0" w:after="120"/>
              <w:jc w:val="left"/>
              <w:rPr>
                <w:sz w:val="24"/>
                <w:szCs w:val="24"/>
              </w:rPr>
            </w:pPr>
            <w:r>
              <w:rPr>
                <w:rFonts w:eastAsia="Times New Roman" w:cs="Times New Roman"/>
                <w:iCs/>
                <w:kern w:val="0"/>
                <w:sz w:val="24"/>
                <w:szCs w:val="24"/>
                <w:lang w:val="ru-RU" w:eastAsia="ru-RU" w:bidi="ar-SA"/>
              </w:rPr>
              <w:t>Требования к стране происхождения поставляемой продукции</w:t>
            </w:r>
          </w:p>
          <w:p>
            <w:pPr>
              <w:pStyle w:val="Normal"/>
              <w:widowControl w:val="false"/>
              <w:suppressAutoHyphens w:val="true"/>
              <w:spacing w:before="0" w:after="0"/>
              <w:jc w:val="left"/>
              <w:rPr>
                <w:sz w:val="24"/>
                <w:szCs w:val="24"/>
              </w:rPr>
            </w:pPr>
            <w:r>
              <w:rPr>
                <w:rFonts w:eastAsia="Times New Roman" w:cs="Times New Roman"/>
                <w:iCs/>
                <w:kern w:val="0"/>
                <w:sz w:val="24"/>
                <w:szCs w:val="24"/>
                <w:lang w:val="ru-RU" w:eastAsia="ru-RU" w:bidi="ar-SA"/>
              </w:rPr>
              <w:t xml:space="preserve">Поставляемая продукция должна быть российского (или иной страны ЕАЭС) происхождения – должна быть включена в один из реестров, предусмотренных постановлением Правительства Российской Федерации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от 23 декабря 2024 г. № 1875 (пункт 3), а именно: </w:t>
              <w:br/>
              <w:t>1) Реестр российской промышленной продукции;</w:t>
            </w:r>
          </w:p>
          <w:p>
            <w:pPr>
              <w:pStyle w:val="Normal"/>
              <w:widowControl w:val="false"/>
              <w:suppressAutoHyphens w:val="true"/>
              <w:spacing w:before="0" w:after="0"/>
              <w:jc w:val="left"/>
              <w:rPr>
                <w:sz w:val="24"/>
                <w:szCs w:val="24"/>
              </w:rPr>
            </w:pPr>
            <w:r>
              <w:rPr>
                <w:rFonts w:eastAsia="Times New Roman" w:cs="Times New Roman"/>
                <w:iCs/>
                <w:kern w:val="0"/>
                <w:sz w:val="24"/>
                <w:szCs w:val="24"/>
                <w:lang w:val="ru-RU" w:eastAsia="ru-RU" w:bidi="ar-SA"/>
              </w:rPr>
              <w:t>2) Евразийский реестр промышленных товаров государств</w:t>
            </w:r>
          </w:p>
        </w:tc>
        <w:tc>
          <w:tcPr>
            <w:tcW w:w="2310" w:type="dxa"/>
            <w:tcBorders>
              <w:top w:val="nil"/>
            </w:tcBorders>
          </w:tcPr>
          <w:p>
            <w:pPr>
              <w:pStyle w:val="Normal"/>
              <w:widowControl w:val="false"/>
              <w:tabs>
                <w:tab w:val="clear" w:pos="708"/>
                <w:tab w:val="left" w:pos="426" w:leader="none"/>
              </w:tabs>
              <w:suppressAutoHyphens w:val="true"/>
              <w:spacing w:before="60" w:after="0"/>
              <w:jc w:val="left"/>
              <w:rPr>
                <w:sz w:val="24"/>
                <w:szCs w:val="28"/>
              </w:rPr>
            </w:pPr>
            <w:r>
              <w:rPr>
                <w:rFonts w:eastAsia="Times New Roman" w:cs="Times New Roman"/>
                <w:kern w:val="0"/>
                <w:sz w:val="24"/>
                <w:szCs w:val="28"/>
                <w:lang w:val="ru-RU" w:eastAsia="ru-RU" w:bidi="ar-SA"/>
              </w:rPr>
              <w:t>Согласие с требованием</w:t>
            </w:r>
          </w:p>
        </w:tc>
        <w:tc>
          <w:tcPr>
            <w:tcW w:w="2554" w:type="dxa"/>
            <w:tcBorders>
              <w:top w:val="nil"/>
            </w:tcBorders>
          </w:tcPr>
          <w:p>
            <w:pPr>
              <w:pStyle w:val="Normal"/>
              <w:widowControl w:val="false"/>
              <w:suppressAutoHyphens w:val="true"/>
              <w:spacing w:before="0" w:after="0"/>
              <w:jc w:val="left"/>
              <w:rPr>
                <w:i w:val="false"/>
                <w:i w:val="false"/>
                <w:iCs w:val="false"/>
              </w:rPr>
            </w:pPr>
            <w:r>
              <w:rPr>
                <w:i w:val="false"/>
                <w:iCs w:val="false"/>
              </w:rPr>
            </w:r>
          </w:p>
        </w:tc>
      </w:tr>
      <w:tr>
        <w:trPr/>
        <w:tc>
          <w:tcPr>
            <w:tcW w:w="912" w:type="dxa"/>
            <w:tcBorders/>
            <w:vAlign w:val="center"/>
          </w:tcPr>
          <w:p>
            <w:pPr>
              <w:pStyle w:val="ListParagraph"/>
              <w:widowControl w:val="false"/>
              <w:numPr>
                <w:ilvl w:val="0"/>
                <w:numId w:val="7"/>
              </w:numPr>
              <w:suppressAutoHyphens w:val="true"/>
              <w:spacing w:before="60" w:after="60"/>
              <w:ind w:left="-117" w:firstLine="142"/>
              <w:contextualSpacing/>
              <w:jc w:val="center"/>
              <w:rPr/>
            </w:pPr>
            <w:r>
              <w:rPr/>
            </w:r>
          </w:p>
        </w:tc>
        <w:tc>
          <w:tcPr>
            <w:tcW w:w="9533" w:type="dxa"/>
            <w:gridSpan w:val="2"/>
            <w:tcBorders/>
            <w:vAlign w:val="center"/>
          </w:tcPr>
          <w:p>
            <w:pPr>
              <w:pStyle w:val="Normal"/>
              <w:widowControl w:val="false"/>
              <w:suppressAutoHyphens w:val="true"/>
              <w:spacing w:before="0" w:after="0"/>
              <w:jc w:val="left"/>
              <w:rPr>
                <w:rStyle w:val="Style8"/>
                <w:rFonts w:eastAsia="Times New Roman" w:cs="Times New Roman"/>
                <w:b w:val="false"/>
                <w:bCs/>
                <w:kern w:val="0"/>
                <w:sz w:val="24"/>
                <w:szCs w:val="24"/>
                <w:shd w:fill="auto" w:val="clear"/>
                <w:lang w:val="ru-RU" w:eastAsia="ru-RU" w:bidi="ar-SA"/>
              </w:rPr>
            </w:pPr>
            <w:r>
              <w:rPr>
                <w:rFonts w:eastAsia="Times New Roman" w:cs="Times New Roman"/>
                <w:b/>
                <w:bCs/>
                <w:kern w:val="0"/>
                <w:sz w:val="24"/>
                <w:szCs w:val="24"/>
                <w:lang w:val="ru-RU" w:eastAsia="ru-RU" w:bidi="ar-SA"/>
              </w:rPr>
              <w:t xml:space="preserve">Требования к порядку приемки результатов </w:t>
            </w:r>
            <w:r>
              <w:rPr>
                <w:rFonts w:eastAsia="Times New Roman" w:cs="Times New Roman"/>
                <w:b/>
                <w:kern w:val="0"/>
                <w:sz w:val="24"/>
                <w:szCs w:val="24"/>
                <w:lang w:val="ru-RU" w:eastAsia="ru-RU" w:bidi="ar-SA"/>
              </w:rPr>
              <w:t>выполнения договора</w:t>
            </w:r>
          </w:p>
        </w:tc>
        <w:tc>
          <w:tcPr>
            <w:tcW w:w="2310"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Cs/>
                <w:kern w:val="0"/>
                <w:sz w:val="24"/>
                <w:szCs w:val="24"/>
                <w:lang w:val="ru-RU" w:eastAsia="ru-RU" w:bidi="ar-SA"/>
              </w:rPr>
              <w:t>-//-</w:t>
            </w:r>
          </w:p>
        </w:tc>
        <w:tc>
          <w:tcPr>
            <w:tcW w:w="2554"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r>
          </w:p>
        </w:tc>
        <w:tc>
          <w:tcPr>
            <w:tcW w:w="2583" w:type="dxa"/>
            <w:tcBorders/>
          </w:tcPr>
          <w:p>
            <w:pPr>
              <w:pStyle w:val="Normal"/>
              <w:widowControl w:val="false"/>
              <w:jc w:val="left"/>
              <w:rPr>
                <w:i w:val="false"/>
                <w:i w:val="false"/>
                <w:iCs w:val="false"/>
              </w:rPr>
            </w:pPr>
            <w:r>
              <w:rPr>
                <w:i w:val="false"/>
                <w:iCs w:val="false"/>
                <w:sz w:val="24"/>
                <w:szCs w:val="24"/>
                <w:lang w:val="en-US"/>
              </w:rPr>
              <w:t>Приемка услуг шеф-инженера</w:t>
            </w:r>
          </w:p>
        </w:tc>
        <w:tc>
          <w:tcPr>
            <w:tcW w:w="6950" w:type="dxa"/>
            <w:tcBorders/>
          </w:tcPr>
          <w:p>
            <w:pPr>
              <w:pStyle w:val="Normal"/>
              <w:widowControl w:val="false"/>
              <w:jc w:val="left"/>
              <w:rPr>
                <w:i w:val="false"/>
                <w:i w:val="false"/>
                <w:iCs w:val="false"/>
              </w:rPr>
            </w:pPr>
            <w:r>
              <w:rPr>
                <w:i w:val="false"/>
                <w:iCs w:val="false"/>
                <w:sz w:val="24"/>
                <w:szCs w:val="24"/>
              </w:rPr>
              <w:t xml:space="preserve">По окончанию оказания услуг стороны оформляют и подписывают акт сдачи-приемки оказанных услуг.  Проект </w:t>
            </w:r>
            <w:r>
              <w:rPr>
                <w:i w:val="false"/>
                <w:iCs w:val="false"/>
                <w:sz w:val="24"/>
                <w:szCs w:val="24"/>
                <w:lang w:val="en-US"/>
              </w:rPr>
              <w:t xml:space="preserve">Акта </w:t>
            </w:r>
            <w:r>
              <w:rPr>
                <w:i w:val="false"/>
                <w:iCs w:val="false"/>
                <w:sz w:val="24"/>
                <w:szCs w:val="24"/>
              </w:rPr>
              <w:t xml:space="preserve">согласовывается с </w:t>
            </w:r>
            <w:r>
              <w:rPr>
                <w:i w:val="false"/>
                <w:iCs w:val="false"/>
                <w:sz w:val="24"/>
                <w:szCs w:val="24"/>
                <w:lang w:val="en-US"/>
              </w:rPr>
              <w:t xml:space="preserve">представителем </w:t>
            </w:r>
            <w:r>
              <w:rPr>
                <w:i w:val="false"/>
                <w:iCs w:val="false"/>
                <w:sz w:val="24"/>
                <w:szCs w:val="24"/>
              </w:rPr>
              <w:t>Заказчика до подписания.</w:t>
            </w:r>
          </w:p>
        </w:tc>
        <w:tc>
          <w:tcPr>
            <w:tcW w:w="2310"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Согласие с требованием</w:t>
            </w:r>
          </w:p>
        </w:tc>
        <w:tc>
          <w:tcPr>
            <w:tcW w:w="2554" w:type="dxa"/>
            <w:tcBorders/>
          </w:tcPr>
          <w:p>
            <w:pPr>
              <w:pStyle w:val="Normal"/>
              <w:widowControl w:val="false"/>
              <w:tabs>
                <w:tab w:val="clear" w:pos="708"/>
                <w:tab w:val="left" w:pos="426" w:leader="none"/>
              </w:tabs>
              <w:suppressAutoHyphens w:val="true"/>
              <w:spacing w:before="60" w:after="0"/>
              <w:jc w:val="left"/>
              <w:rPr>
                <w:rFonts w:ascii="Times New Roman" w:hAnsi="Times New Roman" w:eastAsia="Times New Roman" w:cs="Times New Roman"/>
                <w:kern w:val="0"/>
                <w:lang w:val="ru-RU" w:eastAsia="ru-RU" w:bidi="ar-SA"/>
              </w:rPr>
            </w:pPr>
            <w:r>
              <w:rPr>
                <w:rFonts w:eastAsia="Times New Roman" w:cs="Times New Roman"/>
                <w:i/>
                <w:iCs/>
                <w:kern w:val="0"/>
                <w:sz w:val="24"/>
                <w:szCs w:val="24"/>
                <w:lang w:val="ru-RU" w:eastAsia="ru-RU" w:bidi="ar-SA"/>
              </w:rPr>
              <w:t>-</w:t>
            </w:r>
          </w:p>
        </w:tc>
      </w:tr>
      <w:tr>
        <w:trPr/>
        <w:tc>
          <w:tcPr>
            <w:tcW w:w="912" w:type="dxa"/>
            <w:tcBorders/>
            <w:vAlign w:val="center"/>
          </w:tcPr>
          <w:p>
            <w:pPr>
              <w:pStyle w:val="ListParagraph"/>
              <w:widowControl w:val="false"/>
              <w:numPr>
                <w:ilvl w:val="0"/>
                <w:numId w:val="7"/>
              </w:numPr>
              <w:suppressAutoHyphens w:val="true"/>
              <w:spacing w:before="60" w:after="60"/>
              <w:ind w:left="-117" w:firstLine="142"/>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r>
          </w:p>
        </w:tc>
        <w:tc>
          <w:tcPr>
            <w:tcW w:w="9533" w:type="dxa"/>
            <w:gridSpan w:val="2"/>
            <w:tcBorders/>
            <w:vAlign w:val="center"/>
          </w:tcPr>
          <w:p>
            <w:pPr>
              <w:pStyle w:val="Normal"/>
              <w:widowControl w:val="false"/>
              <w:suppressAutoHyphens w:val="true"/>
              <w:spacing w:before="60" w:after="0"/>
              <w:jc w:val="left"/>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Требования к оформлению документации</w:t>
            </w:r>
          </w:p>
        </w:tc>
        <w:tc>
          <w:tcPr>
            <w:tcW w:w="2310"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Cs/>
                <w:kern w:val="0"/>
                <w:sz w:val="24"/>
                <w:szCs w:val="24"/>
                <w:lang w:val="ru-RU" w:eastAsia="ru-RU" w:bidi="ar-SA"/>
              </w:rPr>
              <w:t>-//-</w:t>
            </w:r>
          </w:p>
        </w:tc>
        <w:tc>
          <w:tcPr>
            <w:tcW w:w="2554"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224" w:hanging="1199"/>
              <w:contextualSpacing/>
              <w:jc w:val="center"/>
              <w:rPr>
                <w:b w:val="false"/>
                <w:bCs/>
                <w:i w:val="false"/>
                <w:i w:val="false"/>
                <w:iCs w:val="false"/>
                <w:sz w:val="24"/>
                <w:szCs w:val="24"/>
              </w:rPr>
            </w:pPr>
            <w:r>
              <w:rPr>
                <w:b w:val="false"/>
                <w:bCs/>
                <w:i w:val="false"/>
                <w:iCs w:val="false"/>
                <w:sz w:val="24"/>
                <w:szCs w:val="24"/>
              </w:rPr>
            </w:r>
          </w:p>
        </w:tc>
        <w:tc>
          <w:tcPr>
            <w:tcW w:w="2583"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Документы, передаваемые заказчику по результатам выполненных работ</w:t>
            </w:r>
          </w:p>
        </w:tc>
        <w:tc>
          <w:tcPr>
            <w:tcW w:w="6950" w:type="dxa"/>
            <w:tcBorders/>
            <w:vAlign w:val="center"/>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Подрядчик обязан одновременно с передачей актов приемки выполненных работ по форме КС-2 передать заказчику Отчет о выполненных работах, включая:</w:t>
            </w:r>
          </w:p>
          <w:p>
            <w:pPr>
              <w:pStyle w:val="ListParagraph"/>
              <w:widowControl w:val="false"/>
              <w:numPr>
                <w:ilvl w:val="0"/>
                <w:numId w:val="8"/>
              </w:numPr>
              <w:suppressAutoHyphens w:val="true"/>
              <w:spacing w:before="0" w:after="0"/>
              <w:ind w:left="310" w:hanging="283"/>
              <w:contextualSpacing/>
              <w:jc w:val="left"/>
              <w:rPr>
                <w:i w:val="false"/>
                <w:i w:val="false"/>
                <w:iCs w:val="false"/>
              </w:rPr>
            </w:pPr>
            <w:r>
              <w:rPr>
                <w:rFonts w:eastAsia="Times New Roman" w:cs="Times New Roman"/>
                <w:i w:val="false"/>
                <w:iCs w:val="false"/>
                <w:kern w:val="0"/>
                <w:lang w:val="ru-RU" w:eastAsia="ru-RU" w:bidi="ar-SA"/>
              </w:rPr>
              <w:t>комиссионные акты входного контроля закупаемых подрядчиком материалов (в произвольной форме) на соответствие продукции требованиям технической документации;</w:t>
            </w:r>
          </w:p>
          <w:p>
            <w:pPr>
              <w:pStyle w:val="ListParagraph"/>
              <w:widowControl w:val="false"/>
              <w:numPr>
                <w:ilvl w:val="0"/>
                <w:numId w:val="8"/>
              </w:numPr>
              <w:suppressAutoHyphens w:val="true"/>
              <w:spacing w:before="0" w:after="0"/>
              <w:ind w:left="310" w:hanging="283"/>
              <w:contextualSpacing/>
              <w:jc w:val="left"/>
              <w:rPr>
                <w:i w:val="false"/>
                <w:i w:val="false"/>
                <w:iCs w:val="false"/>
              </w:rPr>
            </w:pPr>
            <w:r>
              <w:rPr>
                <w:rFonts w:eastAsia="Times New Roman" w:cs="Times New Roman"/>
                <w:i w:val="false"/>
                <w:iCs w:val="false"/>
                <w:kern w:val="0"/>
                <w:lang w:val="ru-RU" w:eastAsia="ru-RU" w:bidi="ar-SA"/>
              </w:rPr>
              <w:t>отчет о выполненной работе;</w:t>
            </w:r>
          </w:p>
          <w:p>
            <w:pPr>
              <w:pStyle w:val="ListParagraph"/>
              <w:widowControl w:val="false"/>
              <w:numPr>
                <w:ilvl w:val="0"/>
                <w:numId w:val="8"/>
              </w:numPr>
              <w:suppressAutoHyphens w:val="true"/>
              <w:spacing w:before="0" w:after="0"/>
              <w:ind w:left="310" w:hanging="283"/>
              <w:contextualSpacing/>
              <w:jc w:val="left"/>
              <w:rPr>
                <w:i w:val="false"/>
                <w:i w:val="false"/>
                <w:iCs w:val="false"/>
              </w:rPr>
            </w:pPr>
            <w:r>
              <w:rPr>
                <w:rFonts w:eastAsia="Times New Roman" w:cs="Times New Roman"/>
                <w:i w:val="false"/>
                <w:iCs w:val="false"/>
                <w:kern w:val="0"/>
                <w:lang w:val="ru-RU" w:eastAsia="ru-RU" w:bidi="ar-SA"/>
              </w:rPr>
              <w:t>сертификаты, подтверждающие качество и соответствие требованиям конструкторской и нормативно-технической документации материалов (форма завода-изготовителя);</w:t>
            </w:r>
          </w:p>
          <w:p>
            <w:pPr>
              <w:pStyle w:val="ListParagraph"/>
              <w:widowControl w:val="false"/>
              <w:numPr>
                <w:ilvl w:val="0"/>
                <w:numId w:val="8"/>
              </w:numPr>
              <w:suppressAutoHyphens w:val="true"/>
              <w:spacing w:before="0" w:after="0"/>
              <w:ind w:left="310" w:hanging="283"/>
              <w:contextualSpacing/>
              <w:jc w:val="left"/>
              <w:rPr>
                <w:i w:val="false"/>
                <w:i w:val="false"/>
                <w:iCs w:val="false"/>
              </w:rPr>
            </w:pPr>
            <w:r>
              <w:rPr>
                <w:rFonts w:eastAsia="Times New Roman" w:cs="Times New Roman"/>
                <w:i w:val="false"/>
                <w:iCs w:val="false"/>
                <w:kern w:val="0"/>
                <w:lang w:val="ru-RU" w:eastAsia="ru-RU" w:bidi="ar-SA"/>
              </w:rPr>
              <w:t>счета-фактуры на материалы, закупаемые подрядчиком для использования в процессе ремонта;</w:t>
            </w:r>
          </w:p>
        </w:tc>
        <w:tc>
          <w:tcPr>
            <w:tcW w:w="2310" w:type="dxa"/>
            <w:tcBorders/>
          </w:tcPr>
          <w:p>
            <w:pPr>
              <w:pStyle w:val="Normal"/>
              <w:widowControl w:val="false"/>
              <w:suppressAutoHyphens w:val="true"/>
              <w:spacing w:before="0" w:after="0"/>
              <w:jc w:val="left"/>
              <w:rPr>
                <w:sz w:val="24"/>
                <w:szCs w:val="28"/>
              </w:rPr>
            </w:pPr>
            <w:r>
              <w:rPr>
                <w:sz w:val="24"/>
                <w:szCs w:val="28"/>
              </w:rPr>
              <w:t>Согласие с требованием</w:t>
            </w:r>
          </w:p>
        </w:tc>
        <w:tc>
          <w:tcPr>
            <w:tcW w:w="2554" w:type="dxa"/>
            <w:tcBorders/>
          </w:tcPr>
          <w:p>
            <w:pPr>
              <w:pStyle w:val="Style29"/>
              <w:keepNext w:val="false"/>
              <w:widowControl w:val="false"/>
              <w:numPr>
                <w:ilvl w:val="0"/>
                <w:numId w:val="0"/>
              </w:numPr>
              <w:suppressAutoHyphens w:val="true"/>
              <w:spacing w:before="0" w:after="60"/>
              <w:ind w:left="0" w:hanging="0"/>
              <w:jc w:val="left"/>
              <w:outlineLvl w:val="2"/>
              <w:rPr>
                <w:rFonts w:ascii="Times New Roman" w:hAnsi="Times New Roman" w:eastAsia="Times New Roman" w:cs="Times New Roman"/>
                <w:b w:val="false"/>
                <w:i/>
                <w:i/>
                <w:iCs/>
                <w:kern w:val="0"/>
                <w:sz w:val="20"/>
                <w:szCs w:val="20"/>
                <w:lang w:val="ru-RU" w:eastAsia="ru-RU" w:bidi="ar-SA"/>
              </w:rPr>
            </w:pPr>
            <w:r>
              <w:rPr>
                <w:rFonts w:eastAsia="Times New Roman" w:cs="Times New Roman"/>
                <w:b w:val="false"/>
                <w:i/>
                <w:iCs/>
                <w:kern w:val="0"/>
                <w:sz w:val="20"/>
                <w:szCs w:val="20"/>
                <w:lang w:val="ru-RU" w:eastAsia="ru-RU" w:bidi="ar-SA"/>
              </w:rPr>
            </w:r>
          </w:p>
        </w:tc>
      </w:tr>
      <w:tr>
        <w:trPr/>
        <w:tc>
          <w:tcPr>
            <w:tcW w:w="912" w:type="dxa"/>
            <w:tcBorders/>
            <w:vAlign w:val="center"/>
          </w:tcPr>
          <w:p>
            <w:pPr>
              <w:pStyle w:val="ListParagraph"/>
              <w:widowControl w:val="false"/>
              <w:numPr>
                <w:ilvl w:val="0"/>
                <w:numId w:val="7"/>
              </w:numPr>
              <w:suppressAutoHyphens w:val="true"/>
              <w:spacing w:before="60" w:after="60"/>
              <w:contextualSpacing/>
              <w:jc w:val="center"/>
              <w:rPr/>
            </w:pPr>
            <w:r>
              <w:rPr/>
            </w:r>
          </w:p>
        </w:tc>
        <w:tc>
          <w:tcPr>
            <w:tcW w:w="9533" w:type="dxa"/>
            <w:gridSpan w:val="2"/>
            <w:tcBorders/>
            <w:vAlign w:val="center"/>
          </w:tcPr>
          <w:p>
            <w:pPr>
              <w:pStyle w:val="Normal"/>
              <w:widowControl w:val="false"/>
              <w:suppressAutoHyphens w:val="true"/>
              <w:spacing w:before="20" w:after="0"/>
              <w:jc w:val="left"/>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Требования к ответственности, гарантиям и послегарантийному обслуживанию</w:t>
            </w:r>
          </w:p>
        </w:tc>
        <w:tc>
          <w:tcPr>
            <w:tcW w:w="2310"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Cs/>
                <w:kern w:val="0"/>
                <w:sz w:val="24"/>
                <w:szCs w:val="24"/>
                <w:lang w:val="ru-RU" w:eastAsia="ru-RU" w:bidi="ar-SA"/>
              </w:rPr>
              <w:t>-//-</w:t>
            </w:r>
          </w:p>
        </w:tc>
        <w:tc>
          <w:tcPr>
            <w:tcW w:w="2554"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17" w:firstLine="142"/>
              <w:contextualSpacing/>
              <w:jc w:val="center"/>
              <w:rPr>
                <w:rFonts w:ascii="Times New Roman" w:hAnsi="Times New Roman" w:eastAsia="Calibri" w:cs="Times New Roman"/>
                <w:b w:val="false"/>
                <w:bCs/>
                <w:i w:val="false"/>
                <w:i w:val="false"/>
                <w:iCs w:val="false"/>
                <w:color w:val="auto"/>
                <w:kern w:val="0"/>
                <w:sz w:val="24"/>
                <w:szCs w:val="24"/>
                <w:lang w:val="ru-RU" w:eastAsia="ru-RU" w:bidi="ar-SA"/>
              </w:rPr>
            </w:pPr>
            <w:r>
              <w:rPr>
                <w:rFonts w:eastAsia="Calibri" w:cs="Times New Roman"/>
                <w:b w:val="false"/>
                <w:bCs/>
                <w:i w:val="false"/>
                <w:iCs w:val="false"/>
                <w:color w:val="auto"/>
                <w:kern w:val="0"/>
                <w:sz w:val="24"/>
                <w:szCs w:val="24"/>
                <w:lang w:val="ru-RU" w:eastAsia="ru-RU" w:bidi="ar-SA"/>
              </w:rPr>
            </w:r>
          </w:p>
        </w:tc>
        <w:tc>
          <w:tcPr>
            <w:tcW w:w="2583"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Гарантийный срок на продукцию</w:t>
            </w:r>
          </w:p>
        </w:tc>
        <w:tc>
          <w:tcPr>
            <w:tcW w:w="6950"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Срок гарантии на оборудование и все поставленные комплектующие и запасные части должен составлять не менее 36 месяцев с даты ввода оборудования в эксплуатацию (подписания Акта сдачи-приемки услуг по шеф-наладке)</w:t>
            </w:r>
          </w:p>
        </w:tc>
        <w:tc>
          <w:tcPr>
            <w:tcW w:w="2310"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Предложение по сроку гарантии</w:t>
            </w:r>
          </w:p>
        </w:tc>
        <w:tc>
          <w:tcPr>
            <w:tcW w:w="2554" w:type="dxa"/>
            <w:tcBorders/>
          </w:tcPr>
          <w:p>
            <w:pPr>
              <w:pStyle w:val="Normal"/>
              <w:widowControl w:val="false"/>
              <w:tabs>
                <w:tab w:val="clear" w:pos="708"/>
                <w:tab w:val="left" w:pos="426" w:leader="none"/>
              </w:tabs>
              <w:suppressAutoHyphens w:val="true"/>
              <w:spacing w:before="60" w:after="0"/>
              <w:jc w:val="left"/>
              <w:rPr>
                <w:rFonts w:ascii="Times New Roman" w:hAnsi="Times New Roman" w:eastAsia="Times New Roman" w:cs="Times New Roman"/>
                <w:kern w:val="0"/>
                <w:lang w:val="ru-RU" w:eastAsia="ru-RU" w:bidi="ar-SA"/>
              </w:rPr>
            </w:pPr>
            <w:r>
              <w:rPr>
                <w:rFonts w:eastAsia="Times New Roman" w:cs="Times New Roman"/>
                <w:i/>
                <w:iCs/>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17" w:firstLine="142"/>
              <w:contextualSpacing/>
              <w:jc w:val="center"/>
              <w:rPr/>
            </w:pPr>
            <w:r>
              <w:rPr/>
            </w:r>
          </w:p>
        </w:tc>
        <w:tc>
          <w:tcPr>
            <w:tcW w:w="2583"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Гарантийный срок на результат работ</w:t>
            </w:r>
          </w:p>
        </w:tc>
        <w:tc>
          <w:tcPr>
            <w:tcW w:w="6950"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Гарантийный срок на результат работ должен составлять не менее 36 месяцев с даты подписания Акта о приемке выполненных работ КС-2</w:t>
            </w:r>
          </w:p>
        </w:tc>
        <w:tc>
          <w:tcPr>
            <w:tcW w:w="2310"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Предложение по сроку гарантии</w:t>
            </w:r>
          </w:p>
        </w:tc>
        <w:tc>
          <w:tcPr>
            <w:tcW w:w="2554" w:type="dxa"/>
            <w:tcBorders/>
          </w:tcPr>
          <w:p>
            <w:pPr>
              <w:pStyle w:val="Normal"/>
              <w:widowControl w:val="false"/>
              <w:suppressAutoHyphens w:val="true"/>
              <w:spacing w:before="0" w:after="0"/>
              <w:jc w:val="left"/>
              <w:rPr>
                <w:rFonts w:ascii="Times New Roman" w:hAnsi="Times New Roman" w:eastAsia="Times New Roman" w:cs="Times New Roman"/>
                <w:i/>
                <w:i/>
                <w:iCs/>
                <w:kern w:val="0"/>
                <w:sz w:val="24"/>
                <w:szCs w:val="24"/>
                <w:lang w:val="ru-RU" w:eastAsia="ru-RU" w:bidi="ar-SA"/>
              </w:rPr>
            </w:pPr>
            <w:r>
              <w:rPr>
                <w:rFonts w:eastAsia="Times New Roman" w:cs="Times New Roman"/>
                <w:i/>
                <w:iCs/>
                <w:kern w:val="0"/>
                <w:sz w:val="24"/>
                <w:szCs w:val="24"/>
                <w:lang w:val="ru-RU" w:eastAsia="ru-RU" w:bidi="ar-SA"/>
              </w:rPr>
            </w:r>
          </w:p>
        </w:tc>
      </w:tr>
      <w:tr>
        <w:trPr/>
        <w:tc>
          <w:tcPr>
            <w:tcW w:w="912" w:type="dxa"/>
            <w:tcBorders/>
            <w:vAlign w:val="center"/>
          </w:tcPr>
          <w:p>
            <w:pPr>
              <w:pStyle w:val="ListParagraph"/>
              <w:widowControl w:val="false"/>
              <w:numPr>
                <w:ilvl w:val="0"/>
                <w:numId w:val="7"/>
              </w:numPr>
              <w:suppressAutoHyphens w:val="true"/>
              <w:spacing w:before="60" w:after="60"/>
              <w:contextualSpacing/>
              <w:jc w:val="center"/>
              <w:rPr/>
            </w:pPr>
            <w:r>
              <w:rPr/>
            </w:r>
          </w:p>
        </w:tc>
        <w:tc>
          <w:tcPr>
            <w:tcW w:w="9533" w:type="dxa"/>
            <w:gridSpan w:val="2"/>
            <w:tcBorders/>
            <w:vAlign w:val="center"/>
          </w:tcPr>
          <w:p>
            <w:pPr>
              <w:pStyle w:val="Normal"/>
              <w:keepNext w:val="true"/>
              <w:widowControl w:val="false"/>
              <w:suppressAutoHyphens w:val="true"/>
              <w:spacing w:before="60" w:after="60"/>
              <w:jc w:val="left"/>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Требования к обязательствам контрагента, влияющим на исполнение договора</w:t>
            </w:r>
          </w:p>
        </w:tc>
        <w:tc>
          <w:tcPr>
            <w:tcW w:w="2310"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Cs/>
                <w:kern w:val="0"/>
                <w:sz w:val="24"/>
                <w:szCs w:val="24"/>
                <w:lang w:val="ru-RU" w:eastAsia="ru-RU" w:bidi="ar-SA"/>
              </w:rPr>
              <w:t>-//-</w:t>
            </w:r>
          </w:p>
        </w:tc>
        <w:tc>
          <w:tcPr>
            <w:tcW w:w="2554" w:type="dxa"/>
            <w:tcBorders/>
          </w:tcPr>
          <w:p>
            <w:pPr>
              <w:pStyle w:val="Normal"/>
              <w:widowControl w:val="false"/>
              <w:tabs>
                <w:tab w:val="clear" w:pos="708"/>
                <w:tab w:val="left" w:pos="426" w:leader="none"/>
              </w:tabs>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17" w:firstLine="142"/>
              <w:contextualSpacing/>
              <w:jc w:val="center"/>
              <w:rPr>
                <w:b w:val="false"/>
                <w:bCs/>
                <w:i w:val="false"/>
                <w:i w:val="false"/>
                <w:iCs w:val="false"/>
                <w:sz w:val="24"/>
                <w:szCs w:val="24"/>
              </w:rPr>
            </w:pPr>
            <w:r>
              <w:rPr>
                <w:b w:val="false"/>
                <w:bCs/>
                <w:i w:val="false"/>
                <w:iCs w:val="false"/>
                <w:sz w:val="24"/>
                <w:szCs w:val="24"/>
              </w:rPr>
            </w:r>
          </w:p>
        </w:tc>
        <w:tc>
          <w:tcPr>
            <w:tcW w:w="2583"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Требования к субподрядным организациям, привлекаемым к выполнению работ</w:t>
            </w:r>
          </w:p>
        </w:tc>
        <w:tc>
          <w:tcPr>
            <w:tcW w:w="6950"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В случае привлечения к выполнению работ субподрядных организаций подрядчик обязан представить заказчику на момент согласования договора документы, подтверждающие соответствие их квалификационного уровня, а также готовность и возможность выполнения ими работ.</w:t>
            </w:r>
          </w:p>
        </w:tc>
        <w:tc>
          <w:tcPr>
            <w:tcW w:w="2310" w:type="dxa"/>
            <w:tcBorders/>
          </w:tcPr>
          <w:p>
            <w:pPr>
              <w:pStyle w:val="Normal"/>
              <w:widowControl w:val="false"/>
              <w:suppressAutoHyphens w:val="true"/>
              <w:spacing w:before="0" w:after="0"/>
              <w:jc w:val="left"/>
              <w:rPr>
                <w:i w:val="false"/>
                <w:i w:val="false"/>
                <w:iCs w:val="false"/>
              </w:rPr>
            </w:pPr>
            <w:r>
              <w:rPr>
                <w:rFonts w:eastAsia="Times New Roman" w:cs="Times New Roman"/>
                <w:i w:val="false"/>
                <w:iCs w:val="false"/>
                <w:kern w:val="0"/>
                <w:sz w:val="24"/>
                <w:szCs w:val="24"/>
                <w:lang w:val="ru-RU" w:eastAsia="ru-RU" w:bidi="ar-SA"/>
              </w:rPr>
              <w:t>Согласие с требованием</w:t>
            </w:r>
          </w:p>
        </w:tc>
        <w:tc>
          <w:tcPr>
            <w:tcW w:w="2554" w:type="dxa"/>
            <w:tcBorders/>
          </w:tcPr>
          <w:p>
            <w:pPr>
              <w:pStyle w:val="Normal"/>
              <w:widowControl w:val="false"/>
              <w:tabs>
                <w:tab w:val="clear" w:pos="708"/>
                <w:tab w:val="left" w:pos="426" w:leader="none"/>
              </w:tabs>
              <w:suppressAutoHyphens w:val="true"/>
              <w:spacing w:before="60" w:after="0"/>
              <w:jc w:val="left"/>
              <w:rPr>
                <w:rFonts w:ascii="Times New Roman" w:hAnsi="Times New Roman" w:eastAsia="Times New Roman" w:cs="Times New Roman"/>
                <w:kern w:val="0"/>
                <w:lang w:val="ru-RU" w:eastAsia="ru-RU" w:bidi="ar-SA"/>
              </w:rPr>
            </w:pPr>
            <w:r>
              <w:rPr>
                <w:rFonts w:eastAsia="Times New Roman" w:cs="Times New Roman"/>
                <w:i/>
                <w:iCs/>
                <w:kern w:val="0"/>
                <w:sz w:val="24"/>
                <w:szCs w:val="24"/>
                <w:lang w:val="ru-RU" w:eastAsia="ru-RU" w:bidi="ar-SA"/>
              </w:rPr>
              <w:t>-</w:t>
            </w:r>
          </w:p>
        </w:tc>
      </w:tr>
      <w:tr>
        <w:trPr/>
        <w:tc>
          <w:tcPr>
            <w:tcW w:w="912" w:type="dxa"/>
            <w:tcBorders/>
            <w:vAlign w:val="center"/>
          </w:tcPr>
          <w:p>
            <w:pPr>
              <w:pStyle w:val="ListParagraph"/>
              <w:widowControl w:val="false"/>
              <w:numPr>
                <w:ilvl w:val="1"/>
                <w:numId w:val="7"/>
              </w:numPr>
              <w:suppressAutoHyphens w:val="true"/>
              <w:spacing w:before="60" w:after="60"/>
              <w:ind w:left="-117" w:firstLine="142"/>
              <w:contextualSpacing/>
              <w:jc w:val="center"/>
              <w:rPr/>
            </w:pPr>
            <w:r>
              <w:rPr/>
            </w:r>
          </w:p>
        </w:tc>
        <w:tc>
          <w:tcPr>
            <w:tcW w:w="2583" w:type="dxa"/>
            <w:tcBorders/>
          </w:tcPr>
          <w:p>
            <w:pPr>
              <w:pStyle w:val="Normal"/>
              <w:widowControl w:val="false"/>
              <w:suppressAutoHyphens w:val="true"/>
              <w:spacing w:before="0" w:after="0"/>
              <w:jc w:val="left"/>
              <w:rPr>
                <w:i w:val="false"/>
                <w:i w:val="false"/>
                <w:iCs w:val="false"/>
              </w:rPr>
            </w:pPr>
            <w:r>
              <w:rPr>
                <w:i w:val="false"/>
                <w:iCs w:val="false"/>
                <w:sz w:val="24"/>
                <w:szCs w:val="24"/>
              </w:rPr>
              <w:t>Требования к услугам шеф-монтажа</w:t>
            </w:r>
          </w:p>
        </w:tc>
        <w:tc>
          <w:tcPr>
            <w:tcW w:w="6950" w:type="dxa"/>
            <w:tcBorders/>
          </w:tcPr>
          <w:p>
            <w:pPr>
              <w:pStyle w:val="Normal"/>
              <w:widowControl w:val="false"/>
              <w:spacing w:before="0" w:after="0"/>
              <w:contextualSpacing/>
              <w:jc w:val="left"/>
              <w:rPr>
                <w:i w:val="false"/>
                <w:i w:val="false"/>
                <w:iCs w:val="false"/>
              </w:rPr>
            </w:pPr>
            <w:r>
              <w:rPr>
                <w:bCs/>
                <w:i w:val="false"/>
                <w:iCs w:val="false"/>
                <w:sz w:val="24"/>
                <w:szCs w:val="24"/>
              </w:rPr>
              <w:t xml:space="preserve">Участник должен предусмотреть выезд на территорию Заказчика шеф-инженера завода-изготовителя, </w:t>
            </w:r>
            <w:r>
              <w:rPr>
                <w:i w:val="false"/>
                <w:iCs w:val="false"/>
                <w:sz w:val="24"/>
                <w:szCs w:val="24"/>
              </w:rPr>
              <w:t>либо аккредитованных на заводе-изготовителе специалистов Поставщика (субисполнителей)</w:t>
            </w:r>
            <w:r>
              <w:rPr>
                <w:bCs/>
                <w:i w:val="false"/>
                <w:iCs w:val="false"/>
                <w:sz w:val="24"/>
                <w:szCs w:val="24"/>
              </w:rPr>
              <w:t xml:space="preserve"> в количестве не менее 10-ти раз — для сопровождения монтажных работ</w:t>
            </w:r>
          </w:p>
        </w:tc>
        <w:tc>
          <w:tcPr>
            <w:tcW w:w="2310" w:type="dxa"/>
            <w:tcBorders/>
          </w:tcPr>
          <w:p>
            <w:pPr>
              <w:pStyle w:val="Normal"/>
              <w:widowControl w:val="false"/>
              <w:suppressAutoHyphens w:val="true"/>
              <w:spacing w:before="0" w:after="0"/>
              <w:jc w:val="left"/>
              <w:rPr>
                <w:i w:val="false"/>
                <w:i w:val="false"/>
                <w:iCs w:val="false"/>
              </w:rPr>
            </w:pPr>
            <w:r>
              <w:rPr>
                <w:i w:val="false"/>
                <w:iCs w:val="false"/>
                <w:sz w:val="24"/>
                <w:szCs w:val="28"/>
              </w:rPr>
              <w:t>Согласие с требованием</w:t>
            </w:r>
          </w:p>
        </w:tc>
        <w:tc>
          <w:tcPr>
            <w:tcW w:w="2554" w:type="dxa"/>
            <w:tcBorders/>
          </w:tcPr>
          <w:p>
            <w:pPr>
              <w:pStyle w:val="Normal"/>
              <w:widowControl w:val="false"/>
              <w:tabs>
                <w:tab w:val="clear" w:pos="708"/>
                <w:tab w:val="left" w:pos="426" w:leader="none"/>
              </w:tabs>
              <w:suppressAutoHyphens w:val="true"/>
              <w:spacing w:before="60" w:after="0"/>
              <w:jc w:val="left"/>
              <w:rPr>
                <w:rFonts w:ascii="Times New Roman" w:hAnsi="Times New Roman" w:eastAsia="Times New Roman" w:cs="Times New Roman"/>
                <w:i/>
                <w:i/>
                <w:iCs/>
                <w:kern w:val="0"/>
                <w:sz w:val="24"/>
                <w:szCs w:val="24"/>
                <w:lang w:val="ru-RU" w:eastAsia="ru-RU" w:bidi="ar-SA"/>
              </w:rPr>
            </w:pPr>
            <w:r>
              <w:rPr>
                <w:rFonts w:eastAsia="Times New Roman" w:cs="Times New Roman"/>
                <w:i/>
                <w:iCs/>
                <w:kern w:val="0"/>
                <w:sz w:val="24"/>
                <w:szCs w:val="24"/>
                <w:lang w:val="ru-RU" w:eastAsia="ru-RU" w:bidi="ar-SA"/>
              </w:rPr>
            </w:r>
          </w:p>
        </w:tc>
      </w:tr>
      <w:tr>
        <w:trPr/>
        <w:tc>
          <w:tcPr>
            <w:tcW w:w="912" w:type="dxa"/>
            <w:tcBorders/>
            <w:vAlign w:val="center"/>
          </w:tcPr>
          <w:p>
            <w:pPr>
              <w:pStyle w:val="Normal"/>
              <w:widowControl w:val="false"/>
              <w:numPr>
                <w:ilvl w:val="1"/>
                <w:numId w:val="7"/>
              </w:numPr>
              <w:suppressAutoHyphens w:val="true"/>
              <w:spacing w:before="60" w:after="60"/>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r>
          </w:p>
          <w:p>
            <w:pPr>
              <w:pStyle w:val="Normal"/>
              <w:widowControl w:val="false"/>
              <w:numPr>
                <w:ilvl w:val="0"/>
                <w:numId w:val="0"/>
              </w:numPr>
              <w:suppressAutoHyphens w:val="true"/>
              <w:spacing w:before="60" w:after="60"/>
              <w:ind w:left="792" w:hanging="0"/>
              <w:jc w:val="center"/>
              <w:rPr/>
            </w:pPr>
            <w:r>
              <w:rPr>
                <w:rFonts w:eastAsia="Times New Roman" w:cs="Times New Roman"/>
                <w:color w:val="auto"/>
                <w:kern w:val="0"/>
                <w:sz w:val="24"/>
                <w:szCs w:val="24"/>
                <w:lang w:val="ru-RU" w:eastAsia="ru-RU" w:bidi="ar-SA"/>
              </w:rPr>
              <w:t>.</w:t>
            </w:r>
          </w:p>
        </w:tc>
        <w:tc>
          <w:tcPr>
            <w:tcW w:w="2583" w:type="dxa"/>
            <w:tcBorders/>
          </w:tcPr>
          <w:p>
            <w:pPr>
              <w:pStyle w:val="BodyText"/>
              <w:widowControl w:val="false"/>
              <w:numPr>
                <w:ilvl w:val="0"/>
                <w:numId w:val="0"/>
              </w:numPr>
              <w:tabs>
                <w:tab w:val="clear" w:pos="708"/>
                <w:tab w:val="left" w:pos="0" w:leader="none"/>
                <w:tab w:val="left" w:pos="993" w:leader="none"/>
              </w:tabs>
              <w:spacing w:before="0" w:after="0"/>
              <w:ind w:left="0" w:hanging="0"/>
              <w:outlineLvl w:val="0"/>
              <w:rPr>
                <w:i w:val="false"/>
                <w:i w:val="false"/>
                <w:iCs w:val="false"/>
              </w:rPr>
            </w:pPr>
            <w:bookmarkStart w:id="66" w:name="__RefHeading___Toc31172_2499545058"/>
            <w:bookmarkEnd w:id="66"/>
            <w:r>
              <w:rPr>
                <w:bCs/>
                <w:i w:val="false"/>
                <w:iCs w:val="false"/>
                <w:sz w:val="24"/>
                <w:szCs w:val="24"/>
                <w:lang w:eastAsia="x-none"/>
              </w:rPr>
              <w:t>Наличие соглашения о шеф-монтаже  или аккредитации производителей монтируемого оборудования</w:t>
            </w:r>
          </w:p>
        </w:tc>
        <w:tc>
          <w:tcPr>
            <w:tcW w:w="6950" w:type="dxa"/>
            <w:tcBorders/>
          </w:tcPr>
          <w:p>
            <w:pPr>
              <w:pStyle w:val="Normal"/>
              <w:widowControl w:val="false"/>
              <w:spacing w:before="0" w:after="0"/>
              <w:contextualSpacing/>
              <w:jc w:val="left"/>
              <w:rPr>
                <w:i w:val="false"/>
                <w:i w:val="false"/>
                <w:iCs w:val="false"/>
              </w:rPr>
            </w:pPr>
            <w:r>
              <w:rPr>
                <w:i w:val="false"/>
                <w:iCs w:val="false"/>
                <w:sz w:val="24"/>
                <w:szCs w:val="24"/>
              </w:rPr>
              <w:t>На стадии заключения договора Поставщик должен представить свидетельство готовности завода-изготовителя выполнять шеф - монтаж, при монтаже и вводе в работу, либо представить список аккредитованных на заводе-изготовителе специалистов Поставщика (субисполнителей), имеющих право на выполнение шеф-монтажа в отсутствие надзора завода-изготовителя.</w:t>
            </w:r>
          </w:p>
        </w:tc>
        <w:tc>
          <w:tcPr>
            <w:tcW w:w="2310" w:type="dxa"/>
            <w:tcBorders/>
          </w:tcPr>
          <w:p>
            <w:pPr>
              <w:pStyle w:val="Normal"/>
              <w:widowControl w:val="false"/>
              <w:suppressAutoHyphens w:val="true"/>
              <w:spacing w:before="0" w:after="0"/>
              <w:jc w:val="left"/>
              <w:rPr>
                <w:i w:val="false"/>
                <w:i w:val="false"/>
                <w:iCs w:val="false"/>
              </w:rPr>
            </w:pPr>
            <w:r>
              <w:rPr>
                <w:i w:val="false"/>
                <w:iCs w:val="false"/>
                <w:sz w:val="24"/>
                <w:szCs w:val="28"/>
              </w:rPr>
              <w:t>Согласие с требованием</w:t>
            </w:r>
          </w:p>
        </w:tc>
        <w:tc>
          <w:tcPr>
            <w:tcW w:w="2554" w:type="dxa"/>
            <w:tcBorders/>
          </w:tcPr>
          <w:p>
            <w:pPr>
              <w:pStyle w:val="Style29"/>
              <w:keepNext w:val="false"/>
              <w:widowControl w:val="false"/>
              <w:numPr>
                <w:ilvl w:val="0"/>
                <w:numId w:val="0"/>
              </w:numPr>
              <w:suppressAutoHyphens w:val="true"/>
              <w:spacing w:before="0" w:after="60"/>
              <w:ind w:left="0" w:hanging="0"/>
              <w:jc w:val="left"/>
              <w:outlineLvl w:val="2"/>
              <w:rPr>
                <w:rFonts w:ascii="Times New Roman" w:hAnsi="Times New Roman" w:eastAsia="Times New Roman" w:cs="Times New Roman"/>
                <w:b w:val="false"/>
                <w:i/>
                <w:i/>
                <w:iCs/>
                <w:kern w:val="0"/>
                <w:sz w:val="20"/>
                <w:szCs w:val="20"/>
                <w:lang w:val="ru-RU" w:eastAsia="ru-RU" w:bidi="ar-SA"/>
              </w:rPr>
            </w:pPr>
            <w:r>
              <w:rPr>
                <w:rFonts w:eastAsia="Times New Roman" w:cs="Times New Roman"/>
                <w:b w:val="false"/>
                <w:i/>
                <w:iCs/>
                <w:kern w:val="0"/>
                <w:sz w:val="20"/>
                <w:szCs w:val="20"/>
                <w:lang w:val="ru-RU" w:eastAsia="ru-RU" w:bidi="ar-SA"/>
              </w:rPr>
            </w:r>
          </w:p>
        </w:tc>
      </w:tr>
    </w:tbl>
    <w:p>
      <w:pPr>
        <w:pStyle w:val="Style29"/>
        <w:keepNext w:val="false"/>
        <w:rPr>
          <w:lang w:val="en-US"/>
        </w:rPr>
      </w:pPr>
      <w:r>
        <w:rPr>
          <w:lang w:val="en-US"/>
        </w:rPr>
      </w:r>
    </w:p>
    <w:p>
      <w:pPr>
        <w:pStyle w:val="Style29"/>
        <w:rPr>
          <w:lang w:val="en-US"/>
        </w:rPr>
      </w:pPr>
      <w:r>
        <w:rPr>
          <w:lang w:val="en-US"/>
        </w:rPr>
      </w:r>
    </w:p>
    <w:p>
      <w:pPr>
        <w:pStyle w:val="Style29"/>
        <w:numPr>
          <w:ilvl w:val="0"/>
          <w:numId w:val="0"/>
        </w:numPr>
        <w:spacing w:before="60" w:after="120"/>
        <w:ind w:left="0" w:hanging="0"/>
        <w:jc w:val="left"/>
        <w:outlineLvl w:val="0"/>
        <w:rPr/>
      </w:pPr>
      <w:bookmarkStart w:id="67" w:name="__RefHeading___Toc31174_2499545058"/>
      <w:bookmarkStart w:id="68" w:name="_Toc54970214_Копия_1"/>
      <w:bookmarkEnd w:id="67"/>
      <w:r>
        <w:rPr/>
        <w:t>Таблица </w:t>
      </w:r>
      <w:r>
        <w:rPr>
          <w:lang w:val="ru-RU"/>
        </w:rPr>
        <w:t>4</w:t>
      </w:r>
      <w:r>
        <w:rPr/>
        <w:t xml:space="preserve">.2 </w:t>
      </w:r>
      <w:bookmarkEnd w:id="68"/>
      <w:r>
        <w:rPr>
          <w:lang w:val="ru-RU" w:eastAsia="en-US"/>
        </w:rPr>
        <w:t>Технические характеристики реакторов заземляющих нулевых выводов 15,75 кВ</w:t>
      </w:r>
    </w:p>
    <w:p>
      <w:pPr>
        <w:pStyle w:val="LHP"/>
        <w:widowControl w:val="false"/>
        <w:spacing w:lineRule="auto" w:line="240" w:before="60" w:after="60"/>
        <w:ind w:left="170" w:right="284" w:hanging="0"/>
        <w:rPr>
          <w:i/>
          <w:i/>
          <w:sz w:val="24"/>
        </w:rPr>
      </w:pPr>
      <w:r>
        <w:rPr>
          <w:i/>
          <w:kern w:val="0"/>
          <w:lang w:val="ru-RU" w:bidi="ar-SA"/>
        </w:rPr>
        <w:t>Примечание: Параметры, отмеченные *, должны быть представлены Поставщиком в составе заявки, с указанием завода-изготовителя в п.1 вышеуказанной таблицы</w:t>
      </w:r>
    </w:p>
    <w:tbl>
      <w:tblPr>
        <w:tblStyle w:val="af"/>
        <w:tblW w:w="15309" w:type="dxa"/>
        <w:jc w:val="left"/>
        <w:tblInd w:w="108" w:type="dxa"/>
        <w:tblLayout w:type="fixed"/>
        <w:tblCellMar>
          <w:top w:w="0" w:type="dxa"/>
          <w:left w:w="108" w:type="dxa"/>
          <w:bottom w:w="0" w:type="dxa"/>
          <w:right w:w="108" w:type="dxa"/>
        </w:tblCellMar>
        <w:tblLook w:noVBand="1" w:val="04a0" w:noHBand="0" w:lastColumn="0" w:firstColumn="1" w:lastRow="0" w:firstRow="1"/>
      </w:tblPr>
      <w:tblGrid>
        <w:gridCol w:w="912"/>
        <w:gridCol w:w="3639"/>
        <w:gridCol w:w="5340"/>
        <w:gridCol w:w="2134"/>
        <w:gridCol w:w="3284"/>
      </w:tblGrid>
      <w:tr>
        <w:trPr/>
        <w:tc>
          <w:tcPr>
            <w:tcW w:w="912" w:type="dxa"/>
            <w:vMerge w:val="restart"/>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 xml:space="preserve">№ </w:t>
            </w:r>
            <w:r>
              <w:rPr>
                <w:rFonts w:eastAsia="Times New Roman" w:cs="Times New Roman"/>
                <w:b/>
                <w:bCs/>
                <w:kern w:val="0"/>
                <w:sz w:val="24"/>
                <w:szCs w:val="24"/>
                <w:lang w:val="ru-RU" w:eastAsia="ru-RU" w:bidi="ar-SA"/>
              </w:rPr>
              <w:t>п/п</w:t>
            </w:r>
          </w:p>
        </w:tc>
        <w:tc>
          <w:tcPr>
            <w:tcW w:w="3639" w:type="dxa"/>
            <w:vMerge w:val="restart"/>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Наименование параметра</w:t>
            </w:r>
          </w:p>
        </w:tc>
        <w:tc>
          <w:tcPr>
            <w:tcW w:w="5340" w:type="dxa"/>
            <w:vMerge w:val="restart"/>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Требование заказчика (Технические и функциональные характеристики</w:t>
            </w:r>
          </w:p>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(параметры эквивалентности))Т</w:t>
            </w:r>
          </w:p>
        </w:tc>
        <w:tc>
          <w:tcPr>
            <w:tcW w:w="5418" w:type="dxa"/>
            <w:gridSpan w:val="2"/>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Способ подтверждения Участником соответствия требованиям</w:t>
            </w:r>
          </w:p>
        </w:tc>
      </w:tr>
      <w:tr>
        <w:trPr/>
        <w:tc>
          <w:tcPr>
            <w:tcW w:w="912" w:type="dxa"/>
            <w:vMerge w:val="continue"/>
            <w:tcBorders/>
            <w:vAlign w:val="center"/>
          </w:tcPr>
          <w:p>
            <w:pPr>
              <w:pStyle w:val="Normal"/>
              <w:widowControl w:val="false"/>
              <w:suppressAutoHyphens w:val="true"/>
              <w:spacing w:before="0" w:after="0"/>
              <w:jc w:val="center"/>
              <w:rPr>
                <w:rFonts w:ascii="Times New Roman" w:hAnsi="Times New Roman" w:eastAsia="Times New Roman" w:cs="Times New Roman"/>
                <w:b/>
                <w:bCs/>
                <w:kern w:val="0"/>
                <w:sz w:val="24"/>
                <w:szCs w:val="24"/>
                <w:lang w:val="ru-RU" w:eastAsia="ru-RU" w:bidi="ar-SA"/>
              </w:rPr>
            </w:pPr>
            <w:r>
              <w:rPr>
                <w:rFonts w:eastAsia="Times New Roman" w:cs="Times New Roman"/>
                <w:b/>
                <w:bCs/>
                <w:kern w:val="0"/>
                <w:sz w:val="24"/>
                <w:szCs w:val="24"/>
                <w:lang w:val="ru-RU" w:eastAsia="ru-RU" w:bidi="ar-SA"/>
              </w:rPr>
            </w:r>
          </w:p>
        </w:tc>
        <w:tc>
          <w:tcPr>
            <w:tcW w:w="3639" w:type="dxa"/>
            <w:vMerge w:val="continue"/>
            <w:tcBorders/>
            <w:vAlign w:val="center"/>
          </w:tcPr>
          <w:p>
            <w:pPr>
              <w:pStyle w:val="Normal"/>
              <w:widowControl w:val="false"/>
              <w:suppressAutoHyphens w:val="true"/>
              <w:spacing w:before="0" w:after="0"/>
              <w:jc w:val="center"/>
              <w:rPr>
                <w:rFonts w:ascii="Times New Roman" w:hAnsi="Times New Roman" w:eastAsia="Times New Roman" w:cs="Times New Roman"/>
                <w:b/>
                <w:bCs/>
                <w:kern w:val="0"/>
                <w:sz w:val="24"/>
                <w:szCs w:val="24"/>
                <w:lang w:val="ru-RU" w:eastAsia="ru-RU" w:bidi="ar-SA"/>
              </w:rPr>
            </w:pPr>
            <w:r>
              <w:rPr>
                <w:rFonts w:eastAsia="Times New Roman" w:cs="Times New Roman"/>
                <w:b/>
                <w:bCs/>
                <w:kern w:val="0"/>
                <w:sz w:val="24"/>
                <w:szCs w:val="24"/>
                <w:lang w:val="ru-RU" w:eastAsia="ru-RU" w:bidi="ar-SA"/>
              </w:rPr>
            </w:r>
          </w:p>
        </w:tc>
        <w:tc>
          <w:tcPr>
            <w:tcW w:w="5340" w:type="dxa"/>
            <w:vMerge w:val="continue"/>
            <w:tcBorders/>
            <w:vAlign w:val="center"/>
          </w:tcPr>
          <w:p>
            <w:pPr>
              <w:pStyle w:val="Normal"/>
              <w:widowControl w:val="false"/>
              <w:suppressAutoHyphens w:val="true"/>
              <w:spacing w:before="0" w:after="0"/>
              <w:jc w:val="center"/>
              <w:rPr>
                <w:rFonts w:ascii="Times New Roman" w:hAnsi="Times New Roman" w:eastAsia="Times New Roman" w:cs="Times New Roman"/>
                <w:b/>
                <w:bCs/>
                <w:kern w:val="0"/>
                <w:sz w:val="24"/>
                <w:szCs w:val="24"/>
                <w:lang w:val="ru-RU" w:eastAsia="ru-RU" w:bidi="ar-SA"/>
              </w:rPr>
            </w:pPr>
            <w:r>
              <w:rPr>
                <w:rFonts w:eastAsia="Times New Roman" w:cs="Times New Roman"/>
                <w:b/>
                <w:bCs/>
                <w:kern w:val="0"/>
                <w:sz w:val="24"/>
                <w:szCs w:val="24"/>
                <w:lang w:val="ru-RU" w:eastAsia="ru-RU" w:bidi="ar-SA"/>
              </w:rPr>
            </w:r>
          </w:p>
        </w:tc>
        <w:tc>
          <w:tcPr>
            <w:tcW w:w="2134"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Согласие с требованием/ указание характеристик</w:t>
            </w:r>
          </w:p>
        </w:tc>
        <w:tc>
          <w:tcPr>
            <w:tcW w:w="3284"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Предложение Участника по характеристикам и параметрам</w:t>
            </w:r>
          </w:p>
        </w:tc>
      </w:tr>
      <w:tr>
        <w:trPr/>
        <w:tc>
          <w:tcPr>
            <w:tcW w:w="912"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1</w:t>
            </w:r>
          </w:p>
        </w:tc>
        <w:tc>
          <w:tcPr>
            <w:tcW w:w="3639"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2</w:t>
            </w:r>
          </w:p>
        </w:tc>
        <w:tc>
          <w:tcPr>
            <w:tcW w:w="5340"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3</w:t>
            </w:r>
          </w:p>
        </w:tc>
        <w:tc>
          <w:tcPr>
            <w:tcW w:w="2134"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4</w:t>
            </w:r>
          </w:p>
        </w:tc>
        <w:tc>
          <w:tcPr>
            <w:tcW w:w="3284"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5</w:t>
            </w:r>
          </w:p>
        </w:tc>
      </w:tr>
      <w:tr>
        <w:trPr/>
        <w:tc>
          <w:tcPr>
            <w:tcW w:w="9891" w:type="dxa"/>
            <w:gridSpan w:val="3"/>
            <w:tcBorders/>
            <w:vAlign w:val="center"/>
          </w:tcPr>
          <w:p>
            <w:pPr>
              <w:pStyle w:val="LHP"/>
              <w:widowControl w:val="false"/>
              <w:spacing w:lineRule="auto" w:line="240" w:before="120" w:after="120"/>
              <w:ind w:left="284" w:right="284" w:hanging="0"/>
              <w:rPr>
                <w:lang w:eastAsia="en-US"/>
              </w:rPr>
            </w:pPr>
            <w:r>
              <w:rPr>
                <w:rFonts w:eastAsia="Times New Roman" w:cs="Times New Roman"/>
                <w:b/>
                <w:kern w:val="0"/>
                <w:sz w:val="24"/>
                <w:szCs w:val="24"/>
                <w:lang w:val="ru-RU" w:eastAsia="en-US" w:bidi="ar-SA"/>
              </w:rPr>
              <w:t>Технические характеристики реакторов заземляющих нулевых выводов 15,75 кВ</w:t>
            </w:r>
          </w:p>
        </w:tc>
        <w:tc>
          <w:tcPr>
            <w:tcW w:w="2134"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3284"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912" w:type="dxa"/>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t>Исполнение реактора</w:t>
            </w:r>
          </w:p>
        </w:tc>
        <w:tc>
          <w:tcPr>
            <w:tcW w:w="5340" w:type="dxa"/>
            <w:tcBorders/>
            <w:shd w:color="auto" w:fill="auto" w:val="clear"/>
          </w:tcPr>
          <w:p>
            <w:pPr>
              <w:pStyle w:val="37"/>
              <w:widowControl w:val="false"/>
              <w:numPr>
                <w:ilvl w:val="0"/>
                <w:numId w:val="0"/>
              </w:numPr>
              <w:spacing w:lineRule="auto" w:line="240" w:before="0" w:after="0"/>
              <w:ind w:left="0" w:hanging="0"/>
              <w:rPr>
                <w:sz w:val="24"/>
                <w:szCs w:val="24"/>
              </w:rPr>
            </w:pPr>
            <w:r>
              <w:rPr>
                <w:sz w:val="24"/>
                <w:szCs w:val="24"/>
              </w:rPr>
              <w:t xml:space="preserve"> </w:t>
            </w:r>
            <w:r>
              <w:rPr>
                <w:sz w:val="24"/>
                <w:szCs w:val="24"/>
              </w:rPr>
              <w:t>Дугогасящий реактор с плавным регулированием индуктивности (плунжерного типа), с автоматическими регуляторами настройки тока компенсации и с ручным регулированием тока настройки</w:t>
            </w:r>
          </w:p>
        </w:tc>
        <w:tc>
          <w:tcPr>
            <w:tcW w:w="2134" w:type="dxa"/>
            <w:tcBorders/>
            <w:shd w:color="auto" w:fill="auto" w:val="clear"/>
          </w:tcPr>
          <w:p>
            <w:pPr>
              <w:pStyle w:val="Normal"/>
              <w:widowControl w:val="false"/>
              <w:suppressAutoHyphens w:val="true"/>
              <w:spacing w:before="0" w:after="0"/>
              <w:jc w:val="center"/>
              <w:rPr>
                <w:b w:val="false"/>
                <w:bCs w:val="false"/>
                <w:i/>
                <w:i/>
                <w:iCs/>
              </w:rPr>
            </w:pPr>
            <w:r>
              <w:rPr>
                <w:b w:val="false"/>
                <w:bCs w:val="false"/>
                <w:i/>
                <w:iCs/>
                <w:sz w:val="24"/>
                <w:szCs w:val="24"/>
              </w:rPr>
              <w:t>Согласие с требованием</w:t>
            </w:r>
          </w:p>
        </w:tc>
        <w:tc>
          <w:tcPr>
            <w:tcW w:w="3284" w:type="dxa"/>
            <w:tcBorders/>
            <w:shd w:color="auto" w:fill="auto" w:val="clear"/>
          </w:tcPr>
          <w:p>
            <w:pPr>
              <w:pStyle w:val="Normal"/>
              <w:widowControl w:val="false"/>
              <w:suppressAutoHyphens w:val="true"/>
              <w:spacing w:before="0" w:after="0"/>
              <w:jc w:val="left"/>
              <w:rPr>
                <w:i/>
                <w:i/>
                <w:iCs/>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Изготовитель</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w:t>
            </w:r>
          </w:p>
        </w:tc>
        <w:tc>
          <w:tcPr>
            <w:tcW w:w="2134" w:type="dxa"/>
            <w:tcBorders>
              <w:top w:val="nil"/>
            </w:tcBorders>
            <w:shd w:color="auto" w:fill="auto" w:val="clear"/>
          </w:tcPr>
          <w:p>
            <w:pPr>
              <w:pStyle w:val="Normal"/>
              <w:widowControl w:val="false"/>
              <w:suppressAutoHyphens w:val="true"/>
              <w:spacing w:before="0" w:after="0"/>
              <w:jc w:val="center"/>
              <w:rPr>
                <w:iCs/>
              </w:rPr>
            </w:pPr>
            <w:r>
              <w:rPr>
                <w:rFonts w:eastAsia="Times New Roman" w:cs="Times New Roman"/>
                <w:b w:val="false"/>
                <w:bCs w:val="false"/>
                <w:i/>
                <w:iCs/>
                <w:kern w:val="0"/>
                <w:sz w:val="24"/>
                <w:szCs w:val="24"/>
                <w:lang w:val="ru-RU" w:eastAsia="ru-RU" w:bidi="ar-SA"/>
              </w:rPr>
              <w:t>Указать наименование Завода изготовителя</w:t>
            </w:r>
          </w:p>
        </w:tc>
        <w:tc>
          <w:tcPr>
            <w:tcW w:w="3284" w:type="dxa"/>
            <w:tcBorders>
              <w:top w:val="nil"/>
            </w:tcBorders>
            <w:shd w:color="auto" w:fill="auto" w:val="clear"/>
          </w:tcPr>
          <w:p>
            <w:pPr>
              <w:pStyle w:val="Normal"/>
              <w:widowControl w:val="false"/>
              <w:suppressAutoHyphens w:val="true"/>
              <w:spacing w:before="0" w:after="0"/>
              <w:jc w:val="left"/>
              <w:rPr>
                <w:i/>
                <w:i/>
                <w:iCs/>
              </w:rPr>
            </w:pPr>
            <w:r>
              <w:rPr/>
            </w:r>
          </w:p>
        </w:tc>
      </w:tr>
      <w:tr>
        <w:trPr/>
        <w:tc>
          <w:tcPr>
            <w:tcW w:w="912" w:type="dxa"/>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Заводской тип (марка)</w:t>
            </w:r>
          </w:p>
        </w:tc>
        <w:tc>
          <w:tcPr>
            <w:tcW w:w="5340" w:type="dxa"/>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w:t>
            </w:r>
          </w:p>
        </w:tc>
        <w:tc>
          <w:tcPr>
            <w:tcW w:w="2134" w:type="dxa"/>
            <w:tcBorders/>
            <w:shd w:color="auto" w:fill="auto" w:val="clear"/>
          </w:tcPr>
          <w:p>
            <w:pPr>
              <w:pStyle w:val="Normal"/>
              <w:widowControl w:val="false"/>
              <w:suppressAutoHyphens w:val="true"/>
              <w:spacing w:before="0" w:after="0"/>
              <w:jc w:val="center"/>
              <w:rPr>
                <w:iCs/>
              </w:rPr>
            </w:pPr>
            <w:r>
              <w:rPr>
                <w:rFonts w:eastAsia="Times New Roman" w:cs="Times New Roman"/>
                <w:b w:val="false"/>
                <w:bCs w:val="false"/>
                <w:i/>
                <w:iCs/>
                <w:kern w:val="0"/>
                <w:sz w:val="24"/>
                <w:szCs w:val="24"/>
                <w:lang w:val="ru-RU" w:eastAsia="ru-RU" w:bidi="ar-SA"/>
              </w:rPr>
              <w:t>Указать тип/марку</w:t>
            </w:r>
          </w:p>
        </w:tc>
        <w:tc>
          <w:tcPr>
            <w:tcW w:w="3284" w:type="dxa"/>
            <w:tcBorders/>
            <w:shd w:color="auto" w:fill="auto" w:val="clear"/>
          </w:tcPr>
          <w:p>
            <w:pPr>
              <w:pStyle w:val="Normal"/>
              <w:widowControl w:val="false"/>
              <w:suppressAutoHyphens w:val="true"/>
              <w:spacing w:before="0" w:after="0"/>
              <w:jc w:val="left"/>
              <w:rPr>
                <w:sz w:val="20"/>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Количество фаз</w:t>
            </w:r>
          </w:p>
        </w:tc>
        <w:tc>
          <w:tcPr>
            <w:tcW w:w="5340" w:type="dxa"/>
            <w:tcBorders>
              <w:top w:val="nil"/>
            </w:tcBorders>
            <w:shd w:color="auto" w:fill="auto" w:val="clear"/>
          </w:tcPr>
          <w:p>
            <w:pPr>
              <w:pStyle w:val="29"/>
              <w:widowControl w:val="false"/>
              <w:shd w:val="clear" w:color="auto" w:fill="auto"/>
              <w:spacing w:lineRule="auto" w:line="240" w:before="0" w:after="0"/>
              <w:ind w:left="260" w:hanging="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Однофазный</w:t>
            </w:r>
          </w:p>
        </w:tc>
        <w:tc>
          <w:tcPr>
            <w:tcW w:w="2134" w:type="dxa"/>
            <w:tcBorders>
              <w:top w:val="nil"/>
            </w:tcBorders>
            <w:shd w:color="auto" w:fill="auto" w:val="clear"/>
          </w:tcPr>
          <w:p>
            <w:pPr>
              <w:pStyle w:val="Normal"/>
              <w:widowControl w:val="false"/>
              <w:suppressAutoHyphens w:val="true"/>
              <w:spacing w:before="0" w:after="0"/>
              <w:jc w:val="center"/>
              <w:rPr>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sz w:val="20"/>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Тип изоляция</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Сухая</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sz w:val="20"/>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Охлаждение</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Естественное воздушное</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sz w:val="20"/>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both"/>
              <w:rPr>
                <w:rFonts w:ascii="Times New Roman" w:hAnsi="Times New Roman" w:cs="Times New Roman"/>
                <w:sz w:val="24"/>
                <w:szCs w:val="24"/>
              </w:rPr>
            </w:pPr>
            <w:r>
              <w:rPr>
                <w:rFonts w:cs="Times New Roman" w:ascii="Times New Roman" w:hAnsi="Times New Roman"/>
                <w:kern w:val="0"/>
                <w:sz w:val="24"/>
                <w:szCs w:val="24"/>
                <w:lang w:val="ru-RU" w:eastAsia="ru-RU" w:bidi="ar-SA"/>
              </w:rPr>
              <w:t>Исполнение корпуса реактора</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 xml:space="preserve">В защищённом кожухе, степень защиты не менее </w:t>
            </w:r>
            <w:r>
              <w:rPr>
                <w:rFonts w:cs="Times New Roman" w:ascii="Times New Roman" w:hAnsi="Times New Roman"/>
                <w:kern w:val="0"/>
                <w:sz w:val="24"/>
                <w:szCs w:val="24"/>
                <w:lang w:val="en-US" w:eastAsia="ru-RU" w:bidi="en-US"/>
              </w:rPr>
              <w:t>IP</w:t>
            </w:r>
            <w:r>
              <w:rPr>
                <w:rFonts w:cs="Times New Roman" w:ascii="Times New Roman" w:hAnsi="Times New Roman"/>
                <w:kern w:val="0"/>
                <w:sz w:val="24"/>
                <w:szCs w:val="24"/>
                <w:lang w:val="ru-RU" w:eastAsia="ru-RU" w:bidi="en-US"/>
              </w:rPr>
              <w:t>44</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Режим работы</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en-US" w:eastAsia="en-US" w:bidi="en-US"/>
              </w:rPr>
              <w:t>S1</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Присоединение к выводу</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гибкими кабельными перемычками</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Уровень частичных разрядов                    при 1,2 Ином</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Не более 10 пКл</w:t>
            </w:r>
          </w:p>
        </w:tc>
        <w:tc>
          <w:tcPr>
            <w:tcW w:w="2134" w:type="dxa"/>
            <w:tcBorders>
              <w:top w:val="nil"/>
            </w:tcBorders>
            <w:shd w:color="auto" w:fill="auto" w:val="clear"/>
          </w:tcPr>
          <w:p>
            <w:pPr>
              <w:pStyle w:val="Normal"/>
              <w:widowControl w:val="false"/>
              <w:suppressAutoHyphens w:val="true"/>
              <w:spacing w:before="0" w:after="0"/>
              <w:jc w:val="center"/>
              <w:rPr>
                <w:iCs/>
              </w:rPr>
            </w:pPr>
            <w:r>
              <w:rPr>
                <w:rFonts w:eastAsia="Times New Roman" w:cs="Times New Roman"/>
                <w:iCs/>
                <w:kern w:val="0"/>
                <w:sz w:val="24"/>
                <w:szCs w:val="24"/>
                <w:lang w:val="ru-RU" w:eastAsia="ru-RU" w:bidi="ar-SA"/>
              </w:rPr>
              <w:t>Указание характеристик</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 xml:space="preserve">Габариты с защитным кожухом ширина </w:t>
            </w:r>
            <w:r>
              <w:rPr>
                <w:rFonts w:cs="Times New Roman" w:ascii="Times New Roman" w:hAnsi="Times New Roman"/>
                <w:kern w:val="0"/>
                <w:sz w:val="24"/>
                <w:szCs w:val="24"/>
                <w:lang w:val="en-US" w:eastAsia="ru-RU" w:bidi="ar-SA"/>
              </w:rPr>
              <w:t>x</w:t>
            </w:r>
            <w:r>
              <w:rPr>
                <w:rFonts w:cs="Times New Roman" w:ascii="Times New Roman" w:hAnsi="Times New Roman"/>
                <w:kern w:val="0"/>
                <w:sz w:val="24"/>
                <w:szCs w:val="24"/>
                <w:lang w:val="ru-RU" w:eastAsia="ru-RU" w:bidi="ar-SA"/>
              </w:rPr>
              <w:t xml:space="preserve"> глубина </w:t>
            </w:r>
            <w:r>
              <w:rPr>
                <w:rFonts w:cs="Times New Roman" w:ascii="Times New Roman" w:hAnsi="Times New Roman"/>
                <w:kern w:val="0"/>
                <w:sz w:val="24"/>
                <w:szCs w:val="24"/>
                <w:lang w:val="en-US" w:eastAsia="ru-RU" w:bidi="ar-SA"/>
              </w:rPr>
              <w:t>x</w:t>
            </w:r>
            <w:r>
              <w:rPr>
                <w:rFonts w:cs="Times New Roman" w:ascii="Times New Roman" w:hAnsi="Times New Roman"/>
                <w:kern w:val="0"/>
                <w:sz w:val="24"/>
                <w:szCs w:val="24"/>
                <w:lang w:val="ru-RU" w:eastAsia="ru-RU" w:bidi="ar-SA"/>
              </w:rPr>
              <w:t xml:space="preserve"> высота) мм</w:t>
            </w:r>
          </w:p>
        </w:tc>
        <w:tc>
          <w:tcPr>
            <w:tcW w:w="5340" w:type="dxa"/>
            <w:tcBorders>
              <w:top w:val="nil"/>
            </w:tcBorders>
          </w:tcPr>
          <w:p>
            <w:pPr>
              <w:pStyle w:val="Normal"/>
              <w:widowControl w:val="false"/>
              <w:spacing w:before="0" w:after="0"/>
              <w:jc w:val="center"/>
              <w:rPr>
                <w:sz w:val="24"/>
                <w:szCs w:val="24"/>
              </w:rPr>
            </w:pPr>
            <w:r>
              <w:rPr>
                <w:rFonts w:eastAsia="Times New Roman" w:cs="Times New Roman"/>
                <w:kern w:val="0"/>
                <w:sz w:val="24"/>
                <w:szCs w:val="24"/>
                <w:lang w:val="ru-RU" w:eastAsia="ru-RU" w:bidi="ar-SA"/>
              </w:rPr>
              <w:t>*х*х*</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Указание характеристик</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Масса реактора, кг</w:t>
            </w:r>
          </w:p>
        </w:tc>
        <w:tc>
          <w:tcPr>
            <w:tcW w:w="5340" w:type="dxa"/>
            <w:tcBorders>
              <w:top w:val="nil"/>
            </w:tcBorders>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Указание характеристик</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Окраска кожуха</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негорючая</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Класс нагревостойкости изоляции</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Н</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Требования к электрической прочности изоляции, допустимые повышения напряжения промышленной частоты, кратность и длительность</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В соответствии ГОСТ 1516.3- 96 (2003)</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Координация изоляции</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 xml:space="preserve">Заводские испытания изоляции должны соответствовать стандарту МЭК </w:t>
            </w:r>
            <w:r>
              <w:rPr>
                <w:rFonts w:cs="Times New Roman" w:ascii="Times New Roman" w:hAnsi="Times New Roman"/>
                <w:kern w:val="0"/>
                <w:sz w:val="24"/>
                <w:szCs w:val="24"/>
                <w:lang w:val="ru-RU" w:eastAsia="ru-RU" w:bidi="en-US"/>
              </w:rPr>
              <w:t>(</w:t>
            </w:r>
            <w:r>
              <w:rPr>
                <w:rFonts w:cs="Times New Roman" w:ascii="Times New Roman" w:hAnsi="Times New Roman"/>
                <w:kern w:val="0"/>
                <w:sz w:val="24"/>
                <w:szCs w:val="24"/>
                <w:lang w:val="en-US" w:eastAsia="ru-RU" w:bidi="en-US"/>
              </w:rPr>
              <w:t>IEC</w:t>
            </w:r>
            <w:r>
              <w:rPr>
                <w:rFonts w:cs="Times New Roman" w:ascii="Times New Roman" w:hAnsi="Times New Roman"/>
                <w:kern w:val="0"/>
                <w:sz w:val="24"/>
                <w:szCs w:val="24"/>
                <w:lang w:val="ru-RU" w:eastAsia="ru-RU" w:bidi="en-US"/>
              </w:rPr>
              <w:t xml:space="preserve"> 60076-6</w:t>
            </w:r>
            <w:r>
              <w:rPr>
                <w:rFonts w:cs="Times New Roman" w:ascii="Times New Roman" w:hAnsi="Times New Roman"/>
                <w:kern w:val="0"/>
                <w:sz w:val="24"/>
                <w:szCs w:val="24"/>
                <w:lang w:val="ru-RU" w:eastAsia="ru-RU" w:bidi="ar-SA"/>
              </w:rPr>
              <w:t>)</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Верхнее рабочее значение температуры воздуха, °С</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+40</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Нижнее рабочее значение температуры воздуха, °С</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+5</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Климатическое исполнение и категория размещения по ГОСТ 15150</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УЗ</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 xml:space="preserve">Сейсмостойкость, баллы, по шкале </w:t>
            </w:r>
            <w:r>
              <w:rPr>
                <w:rFonts w:cs="Times New Roman" w:ascii="Times New Roman" w:hAnsi="Times New Roman"/>
                <w:kern w:val="0"/>
                <w:sz w:val="24"/>
                <w:szCs w:val="24"/>
                <w:lang w:val="en-US" w:eastAsia="ru-RU" w:bidi="en-US"/>
              </w:rPr>
              <w:t>MSK</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8</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Табличка</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В соответствии                                          с ГОСТ 11677- 85</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Табличка с оперативным наименованием (цвет и наименование согласовываются с Заказчиком)</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Маслотермостойкая краска (стойкая к воздействию солнечных лучей), со сроком службы не менее 15 лет</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Маркировка места заземления</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По одному из методов ГОСТ 21130-75(2003)</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Транспортная маркировка</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По ГОСТ 14192-96</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Класс пожаробезопасности</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ГОСТ 11677-85</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Необходимость проведения капитального ремонта реактора в период срока эксплуатации</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Неремонтируемый на протяжении всего срока службы</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Срок службы предлагаемого лакокрасочного покрытия реактора</w:t>
            </w:r>
          </w:p>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Не менее 15 лет (указать марку, тип лакокрасочного покрытия).</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r>
              <w:rPr>
                <w:rFonts w:eastAsia="Times New Roman" w:cs="Times New Roman"/>
                <w:kern w:val="0"/>
                <w:lang w:val="ru-RU" w:eastAsia="ru-RU" w:bidi="ar-SA"/>
              </w:rPr>
              <w:t xml:space="preserve"> </w:t>
            </w:r>
            <w:r>
              <w:rPr>
                <w:rFonts w:eastAsia="Times New Roman" w:cs="Times New Roman"/>
                <w:iCs/>
                <w:kern w:val="0"/>
                <w:sz w:val="24"/>
                <w:szCs w:val="24"/>
                <w:lang w:val="ru-RU" w:eastAsia="ru-RU" w:bidi="ar-SA"/>
              </w:rPr>
              <w:t xml:space="preserve">указание характеристик </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Нормативный срок службы, лет не менее</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30</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t>‍</w:t>
            </w:r>
          </w:p>
        </w:tc>
        <w:tc>
          <w:tcPr>
            <w:tcW w:w="3639" w:type="dxa"/>
            <w:tcBorders>
              <w:top w:val="nil"/>
            </w:tcBorders>
            <w:shd w:color="auto" w:fill="auto" w:val="clear"/>
          </w:tcPr>
          <w:p>
            <w:pPr>
              <w:pStyle w:val="Style38"/>
              <w:widowControl w:val="false"/>
              <w:numPr>
                <w:ilvl w:val="0"/>
                <w:numId w:val="0"/>
              </w:numPr>
              <w:suppressAutoHyphens w:val="false"/>
              <w:bidi w:val="0"/>
              <w:spacing w:lineRule="auto" w:line="240" w:before="0" w:after="0"/>
              <w:ind w:left="0" w:right="0" w:hanging="0"/>
              <w:jc w:val="both"/>
              <w:textAlignment w:val="baseline"/>
              <w:rPr>
                <w:sz w:val="24"/>
                <w:szCs w:val="24"/>
              </w:rPr>
            </w:pPr>
            <w:r>
              <w:rPr>
                <w:sz w:val="24"/>
                <w:szCs w:val="24"/>
              </w:rPr>
              <w:t>Допустимое время работы реактора в режиме замыкания на землю при номинальном напряжении и наибольших предельных токах, а также при наибольшем рабочем напряжении при мощности не более номинальной, должно составлять не менее 6 часов;</w:t>
            </w:r>
          </w:p>
        </w:tc>
        <w:tc>
          <w:tcPr>
            <w:tcW w:w="5340" w:type="dxa"/>
            <w:tcBorders>
              <w:top w:val="nil"/>
            </w:tcBorders>
            <w:shd w:color="auto" w:fill="auto" w:val="clear"/>
          </w:tcPr>
          <w:p>
            <w:pPr>
              <w:pStyle w:val="Style38"/>
              <w:widowControl w:val="false"/>
              <w:numPr>
                <w:ilvl w:val="0"/>
                <w:numId w:val="0"/>
              </w:numPr>
              <w:ind w:left="720" w:hanging="0"/>
              <w:jc w:val="center"/>
              <w:rPr>
                <w:sz w:val="24"/>
                <w:szCs w:val="24"/>
              </w:rPr>
            </w:pPr>
            <w:r>
              <w:rPr>
                <w:rFonts w:eastAsia="Calibri" w:cs="Times New Roman"/>
                <w:color w:val="auto"/>
                <w:kern w:val="0"/>
                <w:sz w:val="24"/>
                <w:szCs w:val="24"/>
                <w:lang w:val="ru-RU" w:eastAsia="en-US" w:bidi="ar-SA"/>
              </w:rPr>
              <w:t>Н</w:t>
            </w:r>
            <w:r>
              <w:rPr>
                <w:sz w:val="24"/>
                <w:szCs w:val="24"/>
              </w:rPr>
              <w:t>е менее 6 часов</w:t>
            </w:r>
          </w:p>
        </w:tc>
        <w:tc>
          <w:tcPr>
            <w:tcW w:w="2134" w:type="dxa"/>
            <w:tcBorders>
              <w:top w:val="nil"/>
            </w:tcBorders>
            <w:shd w:color="auto" w:fill="auto" w:val="clear"/>
          </w:tcPr>
          <w:p>
            <w:pPr>
              <w:pStyle w:val="Normal"/>
              <w:widowControl w:val="false"/>
              <w:suppressAutoHyphens w:val="true"/>
              <w:spacing w:before="0" w:after="0"/>
              <w:jc w:val="center"/>
              <w:rPr>
                <w:sz w:val="24"/>
                <w:szCs w:val="24"/>
              </w:rPr>
            </w:pPr>
            <w:r>
              <w:rPr>
                <w:b w:val="false"/>
                <w:bCs w:val="false"/>
                <w:i/>
                <w:iCs/>
                <w:sz w:val="24"/>
                <w:szCs w:val="24"/>
              </w:rPr>
              <w:t>Указание характеристик</w:t>
            </w:r>
          </w:p>
        </w:tc>
        <w:tc>
          <w:tcPr>
            <w:tcW w:w="328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t>‍</w:t>
            </w:r>
          </w:p>
        </w:tc>
        <w:tc>
          <w:tcPr>
            <w:tcW w:w="3639" w:type="dxa"/>
            <w:tcBorders>
              <w:top w:val="nil"/>
            </w:tcBorders>
            <w:shd w:color="auto" w:fill="auto" w:val="clear"/>
          </w:tcPr>
          <w:p>
            <w:pPr>
              <w:pStyle w:val="Style38"/>
              <w:widowControl w:val="false"/>
              <w:numPr>
                <w:ilvl w:val="0"/>
                <w:numId w:val="0"/>
              </w:numPr>
              <w:suppressAutoHyphens w:val="false"/>
              <w:bidi w:val="0"/>
              <w:spacing w:lineRule="auto" w:line="276" w:before="0" w:after="0"/>
              <w:ind w:left="0" w:right="0" w:hanging="0"/>
              <w:jc w:val="both"/>
              <w:textAlignment w:val="baseline"/>
              <w:rPr>
                <w:rFonts w:ascii="Times New Roman" w:hAnsi="Times New Roman" w:eastAsia="Calibri" w:cs="Times New Roman"/>
                <w:color w:val="auto"/>
                <w:kern w:val="0"/>
                <w:sz w:val="24"/>
                <w:szCs w:val="24"/>
                <w:lang w:val="ru-RU" w:eastAsia="en-US" w:bidi="ar-SA"/>
              </w:rPr>
            </w:pPr>
            <w:r>
              <w:rPr>
                <w:rFonts w:eastAsia="Calibri" w:cs="Times New Roman"/>
                <w:color w:val="auto"/>
                <w:kern w:val="0"/>
                <w:sz w:val="24"/>
                <w:szCs w:val="24"/>
                <w:lang w:val="ru-RU" w:eastAsia="en-US" w:bidi="ar-SA"/>
              </w:rPr>
              <w:t>Диапазон изменения значений тока должен составлять</w:t>
            </w:r>
          </w:p>
        </w:tc>
        <w:tc>
          <w:tcPr>
            <w:tcW w:w="5340" w:type="dxa"/>
            <w:tcBorders>
              <w:top w:val="nil"/>
            </w:tcBorders>
            <w:shd w:color="auto" w:fill="auto" w:val="clear"/>
          </w:tcPr>
          <w:p>
            <w:pPr>
              <w:pStyle w:val="Style38"/>
              <w:widowControl w:val="false"/>
              <w:numPr>
                <w:ilvl w:val="0"/>
                <w:numId w:val="0"/>
              </w:numPr>
              <w:suppressAutoHyphens w:val="false"/>
              <w:bidi w:val="0"/>
              <w:spacing w:lineRule="auto" w:line="276" w:before="0" w:after="0"/>
              <w:ind w:left="227" w:right="0" w:hanging="0"/>
              <w:jc w:val="center"/>
              <w:textAlignment w:val="baseline"/>
              <w:rPr>
                <w:rFonts w:ascii="Times New Roman" w:hAnsi="Times New Roman" w:eastAsia="Calibri" w:cs="Times New Roman"/>
                <w:color w:val="auto"/>
                <w:kern w:val="0"/>
                <w:sz w:val="24"/>
                <w:szCs w:val="24"/>
                <w:lang w:val="ru-RU" w:eastAsia="en-US" w:bidi="ar-SA"/>
              </w:rPr>
            </w:pPr>
            <w:r>
              <w:rPr>
                <w:rFonts w:eastAsia="Calibri" w:cs="Times New Roman"/>
                <w:color w:val="auto"/>
                <w:kern w:val="0"/>
                <w:sz w:val="24"/>
                <w:szCs w:val="24"/>
                <w:lang w:val="ru-RU" w:eastAsia="en-US" w:bidi="ar-SA"/>
              </w:rPr>
              <w:t>не менее 20…100%</w:t>
            </w:r>
          </w:p>
        </w:tc>
        <w:tc>
          <w:tcPr>
            <w:tcW w:w="2134"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Указание характеристик</w:t>
            </w:r>
          </w:p>
        </w:tc>
        <w:tc>
          <w:tcPr>
            <w:tcW w:w="328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t>‍</w:t>
            </w:r>
          </w:p>
        </w:tc>
        <w:tc>
          <w:tcPr>
            <w:tcW w:w="3639" w:type="dxa"/>
            <w:tcBorders>
              <w:top w:val="nil"/>
            </w:tcBorders>
            <w:shd w:color="auto" w:fill="auto" w:val="clear"/>
          </w:tcPr>
          <w:p>
            <w:pPr>
              <w:pStyle w:val="Style38"/>
              <w:widowControl w:val="false"/>
              <w:numPr>
                <w:ilvl w:val="0"/>
                <w:numId w:val="0"/>
              </w:numPr>
              <w:suppressAutoHyphens w:val="false"/>
              <w:bidi w:val="0"/>
              <w:spacing w:lineRule="auto" w:line="276" w:before="0" w:after="0"/>
              <w:ind w:left="0" w:right="0" w:hanging="0"/>
              <w:jc w:val="both"/>
              <w:textAlignment w:val="baseline"/>
              <w:rPr>
                <w:rFonts w:ascii="Times New Roman" w:hAnsi="Times New Roman" w:eastAsia="Calibri" w:cs="Times New Roman"/>
                <w:color w:val="auto"/>
                <w:kern w:val="0"/>
                <w:sz w:val="24"/>
                <w:szCs w:val="24"/>
                <w:lang w:val="ru-RU" w:eastAsia="en-US" w:bidi="ar-SA"/>
              </w:rPr>
            </w:pPr>
            <w:r>
              <w:rPr>
                <w:rFonts w:eastAsia="Calibri" w:cs="Times New Roman"/>
                <w:color w:val="auto"/>
                <w:kern w:val="0"/>
                <w:sz w:val="24"/>
                <w:szCs w:val="24"/>
                <w:lang w:val="ru-RU" w:eastAsia="en-US" w:bidi="ar-SA"/>
              </w:rPr>
              <w:t>Автоматическая настройка с точностью</w:t>
            </w:r>
          </w:p>
        </w:tc>
        <w:tc>
          <w:tcPr>
            <w:tcW w:w="5340" w:type="dxa"/>
            <w:tcBorders>
              <w:top w:val="nil"/>
            </w:tcBorders>
            <w:shd w:color="auto" w:fill="auto" w:val="clear"/>
          </w:tcPr>
          <w:p>
            <w:pPr>
              <w:pStyle w:val="Style38"/>
              <w:widowControl w:val="false"/>
              <w:numPr>
                <w:ilvl w:val="0"/>
                <w:numId w:val="0"/>
              </w:numPr>
              <w:suppressAutoHyphens w:val="false"/>
              <w:bidi w:val="0"/>
              <w:spacing w:lineRule="auto" w:line="276" w:before="0" w:after="0"/>
              <w:ind w:left="227" w:right="0" w:hanging="0"/>
              <w:jc w:val="center"/>
              <w:textAlignment w:val="baseline"/>
              <w:rPr>
                <w:rFonts w:ascii="Times New Roman" w:hAnsi="Times New Roman" w:eastAsia="Calibri" w:cs="Times New Roman"/>
                <w:color w:val="auto"/>
                <w:kern w:val="0"/>
                <w:sz w:val="24"/>
                <w:szCs w:val="24"/>
                <w:lang w:val="ru-RU" w:eastAsia="en-US" w:bidi="ar-SA"/>
              </w:rPr>
            </w:pPr>
            <w:r>
              <w:rPr>
                <w:rFonts w:eastAsia="Calibri" w:cs="Times New Roman"/>
                <w:color w:val="auto"/>
                <w:kern w:val="0"/>
                <w:sz w:val="24"/>
                <w:szCs w:val="24"/>
                <w:lang w:val="ru-RU" w:eastAsia="en-US" w:bidi="ar-SA"/>
              </w:rPr>
              <w:t>не хуже 1%;</w:t>
            </w:r>
          </w:p>
        </w:tc>
        <w:tc>
          <w:tcPr>
            <w:tcW w:w="2134"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Указание характеристик</w:t>
            </w:r>
          </w:p>
        </w:tc>
        <w:tc>
          <w:tcPr>
            <w:tcW w:w="328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t>‍</w:t>
            </w:r>
          </w:p>
        </w:tc>
        <w:tc>
          <w:tcPr>
            <w:tcW w:w="3639" w:type="dxa"/>
            <w:tcBorders>
              <w:top w:val="nil"/>
            </w:tcBorders>
            <w:shd w:color="auto" w:fill="auto" w:val="clear"/>
          </w:tcPr>
          <w:p>
            <w:pPr>
              <w:pStyle w:val="Style38"/>
              <w:widowControl w:val="false"/>
              <w:numPr>
                <w:ilvl w:val="0"/>
                <w:numId w:val="0"/>
              </w:numPr>
              <w:suppressAutoHyphens w:val="false"/>
              <w:bidi w:val="0"/>
              <w:spacing w:lineRule="auto" w:line="276" w:before="0" w:after="0"/>
              <w:ind w:left="0" w:right="0" w:hanging="0"/>
              <w:jc w:val="both"/>
              <w:textAlignment w:val="baseline"/>
              <w:rPr>
                <w:rFonts w:ascii="Times New Roman" w:hAnsi="Times New Roman" w:eastAsia="Calibri" w:cs="Times New Roman"/>
                <w:color w:val="auto"/>
                <w:kern w:val="0"/>
                <w:sz w:val="24"/>
                <w:szCs w:val="24"/>
                <w:lang w:val="ru-RU" w:eastAsia="en-US" w:bidi="ar-SA"/>
              </w:rPr>
            </w:pPr>
            <w:r>
              <w:rPr>
                <w:rFonts w:eastAsia="Calibri" w:cs="Times New Roman"/>
                <w:color w:val="auto"/>
                <w:kern w:val="0"/>
                <w:sz w:val="24"/>
                <w:szCs w:val="24"/>
                <w:lang w:val="ru-RU" w:eastAsia="en-US" w:bidi="ar-SA"/>
              </w:rPr>
              <w:t>Регулировочная характеристика реактора</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eastAsia="Calibri" w:cs="Times New Roman"/>
                <w:color w:val="auto"/>
                <w:kern w:val="0"/>
                <w:sz w:val="24"/>
                <w:szCs w:val="24"/>
                <w:lang w:val="ru-RU" w:eastAsia="en-US" w:bidi="ar-SA"/>
              </w:rPr>
            </w:pPr>
            <w:r>
              <w:rPr>
                <w:rFonts w:eastAsia="Calibri" w:cs="Times New Roman" w:ascii="Times New Roman" w:hAnsi="Times New Roman"/>
                <w:color w:val="auto"/>
                <w:kern w:val="0"/>
                <w:sz w:val="24"/>
                <w:szCs w:val="24"/>
                <w:lang w:val="ru-RU" w:eastAsia="en-US" w:bidi="ar-SA"/>
              </w:rPr>
              <w:t>линейная</w:t>
            </w:r>
          </w:p>
        </w:tc>
        <w:tc>
          <w:tcPr>
            <w:tcW w:w="2134"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t>‍</w:t>
            </w:r>
          </w:p>
        </w:tc>
        <w:tc>
          <w:tcPr>
            <w:tcW w:w="3639" w:type="dxa"/>
            <w:tcBorders>
              <w:top w:val="nil"/>
            </w:tcBorders>
            <w:shd w:color="auto" w:fill="auto" w:val="clear"/>
          </w:tcPr>
          <w:p>
            <w:pPr>
              <w:pStyle w:val="Style38"/>
              <w:widowControl w:val="false"/>
              <w:numPr>
                <w:ilvl w:val="0"/>
                <w:numId w:val="0"/>
              </w:numPr>
              <w:suppressAutoHyphens w:val="false"/>
              <w:bidi w:val="0"/>
              <w:spacing w:lineRule="auto" w:line="276" w:before="0" w:after="0"/>
              <w:ind w:left="0" w:right="0" w:hanging="0"/>
              <w:jc w:val="both"/>
              <w:textAlignment w:val="baseline"/>
              <w:rPr>
                <w:rFonts w:ascii="Times New Roman" w:hAnsi="Times New Roman" w:eastAsia="Calibri" w:cs="Times New Roman"/>
                <w:color w:val="auto"/>
                <w:kern w:val="0"/>
                <w:sz w:val="24"/>
                <w:szCs w:val="24"/>
                <w:lang w:val="ru-RU" w:eastAsia="en-US" w:bidi="ar-SA"/>
              </w:rPr>
            </w:pPr>
            <w:r>
              <w:rPr>
                <w:rFonts w:eastAsia="Calibri" w:cs="Times New Roman"/>
                <w:color w:val="auto"/>
                <w:kern w:val="0"/>
                <w:sz w:val="24"/>
                <w:szCs w:val="24"/>
                <w:lang w:val="ru-RU" w:eastAsia="en-US" w:bidi="ar-SA"/>
              </w:rPr>
              <w:t>Отклонение вольтамперной характеристики реактора от линейной в диапазоне изменения тока (20…100%)</w:t>
            </w:r>
          </w:p>
        </w:tc>
        <w:tc>
          <w:tcPr>
            <w:tcW w:w="5340" w:type="dxa"/>
            <w:tcBorders>
              <w:top w:val="nil"/>
            </w:tcBorders>
            <w:shd w:color="auto" w:fill="auto" w:val="clear"/>
          </w:tcPr>
          <w:p>
            <w:pPr>
              <w:pStyle w:val="Style38"/>
              <w:widowControl w:val="false"/>
              <w:numPr>
                <w:ilvl w:val="0"/>
                <w:numId w:val="0"/>
              </w:numPr>
              <w:suppressAutoHyphens w:val="false"/>
              <w:bidi w:val="0"/>
              <w:spacing w:lineRule="auto" w:line="276" w:before="0" w:after="0"/>
              <w:ind w:left="227" w:right="0" w:hanging="0"/>
              <w:jc w:val="center"/>
              <w:textAlignment w:val="baseline"/>
              <w:rPr>
                <w:rFonts w:ascii="Times New Roman" w:hAnsi="Times New Roman" w:eastAsia="Calibri" w:cs="Times New Roman"/>
                <w:color w:val="auto"/>
                <w:kern w:val="0"/>
                <w:sz w:val="24"/>
                <w:szCs w:val="24"/>
                <w:lang w:val="ru-RU" w:eastAsia="en-US" w:bidi="ar-SA"/>
              </w:rPr>
            </w:pPr>
            <w:r>
              <w:rPr>
                <w:rFonts w:eastAsia="Calibri" w:cs="Times New Roman"/>
                <w:color w:val="auto"/>
                <w:kern w:val="0"/>
                <w:sz w:val="24"/>
                <w:szCs w:val="24"/>
                <w:lang w:val="ru-RU" w:eastAsia="en-US" w:bidi="ar-SA"/>
              </w:rPr>
              <w:t>не более 1%;</w:t>
            </w:r>
          </w:p>
        </w:tc>
        <w:tc>
          <w:tcPr>
            <w:tcW w:w="2134"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Указание характеристик</w:t>
            </w:r>
          </w:p>
        </w:tc>
        <w:tc>
          <w:tcPr>
            <w:tcW w:w="328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pPr>
            <w:r>
              <w:rPr/>
            </w:r>
          </w:p>
        </w:tc>
        <w:tc>
          <w:tcPr>
            <w:tcW w:w="3639" w:type="dxa"/>
            <w:tcBorders>
              <w:top w:val="nil"/>
            </w:tcBorders>
            <w:shd w:color="auto" w:fill="auto" w:val="clear"/>
          </w:tcPr>
          <w:p>
            <w:pPr>
              <w:pStyle w:val="Style38"/>
              <w:widowControl w:val="false"/>
              <w:numPr>
                <w:ilvl w:val="0"/>
                <w:numId w:val="0"/>
              </w:numPr>
              <w:suppressAutoHyphens w:val="false"/>
              <w:bidi w:val="0"/>
              <w:spacing w:lineRule="auto" w:line="276" w:before="0" w:after="0"/>
              <w:ind w:left="0" w:right="0" w:hanging="0"/>
              <w:jc w:val="both"/>
              <w:textAlignment w:val="baseline"/>
              <w:rPr>
                <w:rFonts w:ascii="Times New Roman" w:hAnsi="Times New Roman" w:eastAsia="Calibri" w:cs="Times New Roman"/>
                <w:color w:val="auto"/>
                <w:kern w:val="0"/>
                <w:sz w:val="24"/>
                <w:szCs w:val="24"/>
                <w:lang w:val="ru-RU" w:eastAsia="en-US" w:bidi="ar-SA"/>
              </w:rPr>
            </w:pPr>
            <w:r>
              <w:rPr>
                <w:rFonts w:eastAsia="Calibri" w:cs="Times New Roman"/>
                <w:color w:val="auto"/>
                <w:kern w:val="0"/>
                <w:sz w:val="24"/>
                <w:szCs w:val="24"/>
                <w:lang w:val="ru-RU" w:eastAsia="en-US" w:bidi="ar-SA"/>
              </w:rPr>
              <w:t>возможность его ручного регулирования при отказе или выводе из работы автоматики управления;</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eastAsia="Calibri" w:cs="Times New Roman"/>
                <w:color w:val="auto"/>
                <w:kern w:val="0"/>
                <w:sz w:val="24"/>
                <w:szCs w:val="24"/>
                <w:lang w:val="ru-RU" w:eastAsia="en-US" w:bidi="ar-SA"/>
              </w:rPr>
            </w:pPr>
            <w:r>
              <w:rPr>
                <w:rFonts w:eastAsia="Calibri" w:cs="Times New Roman" w:ascii="Times New Roman" w:hAnsi="Times New Roman"/>
                <w:color w:val="auto"/>
                <w:kern w:val="0"/>
                <w:sz w:val="24"/>
                <w:szCs w:val="24"/>
                <w:lang w:val="ru-RU" w:eastAsia="en-US" w:bidi="ar-SA"/>
              </w:rPr>
              <w:t>требуется</w:t>
            </w:r>
          </w:p>
        </w:tc>
        <w:tc>
          <w:tcPr>
            <w:tcW w:w="2134"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t>‍</w:t>
            </w:r>
          </w:p>
        </w:tc>
        <w:tc>
          <w:tcPr>
            <w:tcW w:w="3639" w:type="dxa"/>
            <w:tcBorders>
              <w:top w:val="nil"/>
            </w:tcBorders>
            <w:shd w:color="auto" w:fill="auto" w:val="clear"/>
          </w:tcPr>
          <w:p>
            <w:pPr>
              <w:pStyle w:val="Style38"/>
              <w:widowControl w:val="false"/>
              <w:numPr>
                <w:ilvl w:val="0"/>
                <w:numId w:val="0"/>
              </w:numPr>
              <w:suppressAutoHyphens w:val="false"/>
              <w:bidi w:val="0"/>
              <w:spacing w:lineRule="auto" w:line="276" w:before="0" w:after="0"/>
              <w:ind w:left="0" w:right="0" w:hanging="0"/>
              <w:jc w:val="both"/>
              <w:textAlignment w:val="baseline"/>
              <w:rPr>
                <w:rFonts w:ascii="Times New Roman" w:hAnsi="Times New Roman" w:eastAsia="Calibri" w:cs="Times New Roman"/>
                <w:color w:val="auto"/>
                <w:kern w:val="0"/>
                <w:sz w:val="24"/>
                <w:szCs w:val="24"/>
                <w:lang w:val="ru-RU" w:eastAsia="en-US" w:bidi="ar-SA"/>
              </w:rPr>
            </w:pPr>
            <w:r>
              <w:rPr>
                <w:rFonts w:eastAsia="Calibri" w:cs="Times New Roman"/>
                <w:color w:val="auto"/>
                <w:kern w:val="0"/>
                <w:sz w:val="24"/>
                <w:szCs w:val="24"/>
                <w:lang w:val="ru-RU" w:eastAsia="en-US" w:bidi="ar-SA"/>
              </w:rPr>
              <w:t>Cуммарное содержание высших гармонических составляющих в токе реактора (гармонический ток искажения)</w:t>
            </w:r>
          </w:p>
        </w:tc>
        <w:tc>
          <w:tcPr>
            <w:tcW w:w="5340" w:type="dxa"/>
            <w:tcBorders>
              <w:top w:val="nil"/>
            </w:tcBorders>
            <w:shd w:color="auto" w:fill="auto" w:val="clear"/>
          </w:tcPr>
          <w:p>
            <w:pPr>
              <w:pStyle w:val="Style38"/>
              <w:widowControl w:val="false"/>
              <w:numPr>
                <w:ilvl w:val="0"/>
                <w:numId w:val="0"/>
              </w:numPr>
              <w:suppressAutoHyphens w:val="false"/>
              <w:bidi w:val="0"/>
              <w:spacing w:lineRule="auto" w:line="276" w:before="0" w:after="0"/>
              <w:ind w:left="227" w:right="0" w:hanging="0"/>
              <w:jc w:val="center"/>
              <w:textAlignment w:val="baseline"/>
              <w:rPr>
                <w:rFonts w:ascii="Times New Roman" w:hAnsi="Times New Roman" w:eastAsia="Calibri" w:cs="Times New Roman"/>
                <w:color w:val="auto"/>
                <w:kern w:val="0"/>
                <w:sz w:val="24"/>
                <w:szCs w:val="24"/>
                <w:lang w:val="ru-RU" w:eastAsia="en-US" w:bidi="ar-SA"/>
              </w:rPr>
            </w:pPr>
            <w:r>
              <w:rPr>
                <w:rFonts w:eastAsia="Calibri" w:cs="Times New Roman"/>
                <w:color w:val="auto"/>
                <w:kern w:val="0"/>
                <w:sz w:val="24"/>
                <w:szCs w:val="24"/>
                <w:lang w:val="ru-RU" w:eastAsia="en-US" w:bidi="ar-SA"/>
              </w:rPr>
              <w:t>не должно превышать 2%;</w:t>
            </w:r>
          </w:p>
        </w:tc>
        <w:tc>
          <w:tcPr>
            <w:tcW w:w="2134"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Указание характеристик</w:t>
            </w:r>
          </w:p>
        </w:tc>
        <w:tc>
          <w:tcPr>
            <w:tcW w:w="328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t>‍</w:t>
            </w:r>
          </w:p>
        </w:tc>
        <w:tc>
          <w:tcPr>
            <w:tcW w:w="3639" w:type="dxa"/>
            <w:tcBorders>
              <w:top w:val="nil"/>
            </w:tcBorders>
            <w:shd w:color="auto" w:fill="auto" w:val="clear"/>
          </w:tcPr>
          <w:p>
            <w:pPr>
              <w:pStyle w:val="Style38"/>
              <w:widowControl w:val="false"/>
              <w:numPr>
                <w:ilvl w:val="0"/>
                <w:numId w:val="0"/>
              </w:numPr>
              <w:suppressAutoHyphens w:val="false"/>
              <w:bidi w:val="0"/>
              <w:spacing w:lineRule="auto" w:line="276" w:before="0" w:after="0"/>
              <w:ind w:left="0" w:right="0" w:hanging="0"/>
              <w:jc w:val="both"/>
              <w:textAlignment w:val="baseline"/>
              <w:rPr>
                <w:sz w:val="24"/>
                <w:szCs w:val="24"/>
              </w:rPr>
            </w:pPr>
            <w:r>
              <w:rPr>
                <w:rFonts w:eastAsia="Calibri" w:cs="Times New Roman"/>
                <w:color w:val="auto"/>
                <w:kern w:val="0"/>
                <w:sz w:val="24"/>
                <w:szCs w:val="24"/>
                <w:lang w:val="ru-RU" w:eastAsia="en-US" w:bidi="ar-SA"/>
              </w:rPr>
              <w:t>В</w:t>
            </w:r>
            <w:r>
              <w:rPr>
                <w:sz w:val="24"/>
                <w:szCs w:val="24"/>
              </w:rPr>
              <w:t>строенные трансформаторы тока</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eastAsia="Calibri" w:cs="Times New Roman"/>
                <w:color w:val="auto"/>
                <w:kern w:val="0"/>
                <w:sz w:val="24"/>
                <w:szCs w:val="24"/>
                <w:lang w:val="ru-RU" w:eastAsia="en-US" w:bidi="ar-SA"/>
              </w:rPr>
            </w:pPr>
            <w:r>
              <w:rPr>
                <w:rFonts w:eastAsia="Calibri" w:cs="Times New Roman" w:ascii="Times New Roman" w:hAnsi="Times New Roman"/>
                <w:color w:val="auto"/>
                <w:kern w:val="0"/>
                <w:sz w:val="24"/>
                <w:szCs w:val="24"/>
                <w:lang w:val="ru-RU" w:eastAsia="en-US" w:bidi="ar-SA"/>
              </w:rPr>
              <w:t>требуется</w:t>
            </w:r>
          </w:p>
        </w:tc>
        <w:tc>
          <w:tcPr>
            <w:tcW w:w="2134"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t>‍</w:t>
            </w:r>
          </w:p>
        </w:tc>
        <w:tc>
          <w:tcPr>
            <w:tcW w:w="3639" w:type="dxa"/>
            <w:tcBorders>
              <w:top w:val="nil"/>
            </w:tcBorders>
            <w:shd w:color="auto" w:fill="auto" w:val="clear"/>
          </w:tcPr>
          <w:p>
            <w:pPr>
              <w:pStyle w:val="Style38"/>
              <w:widowControl w:val="false"/>
              <w:numPr>
                <w:ilvl w:val="0"/>
                <w:numId w:val="0"/>
              </w:numPr>
              <w:suppressAutoHyphens w:val="false"/>
              <w:bidi w:val="0"/>
              <w:spacing w:lineRule="auto" w:line="276" w:before="0" w:after="0"/>
              <w:ind w:left="0" w:right="0" w:hanging="0"/>
              <w:jc w:val="both"/>
              <w:textAlignment w:val="baseline"/>
              <w:rPr>
                <w:sz w:val="24"/>
                <w:szCs w:val="24"/>
              </w:rPr>
            </w:pPr>
            <w:r>
              <w:rPr>
                <w:sz w:val="24"/>
                <w:szCs w:val="24"/>
              </w:rPr>
              <w:t>Ручной режим управления</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eastAsia="Calibri" w:cs="Times New Roman"/>
                <w:color w:val="auto"/>
                <w:kern w:val="0"/>
                <w:sz w:val="24"/>
                <w:szCs w:val="24"/>
                <w:lang w:val="ru-RU" w:eastAsia="en-US" w:bidi="ar-SA"/>
              </w:rPr>
            </w:pPr>
            <w:r>
              <w:rPr>
                <w:rFonts w:eastAsia="Calibri" w:cs="Times New Roman" w:ascii="Times New Roman" w:hAnsi="Times New Roman"/>
                <w:color w:val="auto"/>
                <w:kern w:val="0"/>
                <w:sz w:val="24"/>
                <w:szCs w:val="24"/>
                <w:lang w:val="ru-RU" w:eastAsia="en-US" w:bidi="ar-SA"/>
              </w:rPr>
              <w:t>требуется</w:t>
            </w:r>
          </w:p>
        </w:tc>
        <w:tc>
          <w:tcPr>
            <w:tcW w:w="2134"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t>‍</w:t>
            </w:r>
          </w:p>
        </w:tc>
        <w:tc>
          <w:tcPr>
            <w:tcW w:w="3639" w:type="dxa"/>
            <w:tcBorders>
              <w:top w:val="nil"/>
            </w:tcBorders>
            <w:shd w:color="auto" w:fill="auto" w:val="clear"/>
          </w:tcPr>
          <w:p>
            <w:pPr>
              <w:pStyle w:val="Style38"/>
              <w:widowControl w:val="false"/>
              <w:numPr>
                <w:ilvl w:val="0"/>
                <w:numId w:val="0"/>
              </w:numPr>
              <w:suppressAutoHyphens w:val="false"/>
              <w:bidi w:val="0"/>
              <w:spacing w:lineRule="auto" w:line="276" w:before="0" w:after="0"/>
              <w:ind w:left="0" w:right="0" w:hanging="0"/>
              <w:jc w:val="both"/>
              <w:textAlignment w:val="baseline"/>
              <w:rPr>
                <w:sz w:val="24"/>
                <w:szCs w:val="24"/>
              </w:rPr>
            </w:pPr>
            <w:r>
              <w:rPr>
                <w:sz w:val="24"/>
                <w:szCs w:val="24"/>
              </w:rPr>
              <w:t>Сохранение изменения режимов компенсируемой сети и работы устройства в памяти</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eastAsia="Calibri" w:cs="Times New Roman"/>
                <w:color w:val="auto"/>
                <w:kern w:val="0"/>
                <w:sz w:val="24"/>
                <w:szCs w:val="24"/>
                <w:lang w:val="ru-RU" w:eastAsia="en-US" w:bidi="ar-SA"/>
              </w:rPr>
            </w:pPr>
            <w:r>
              <w:rPr>
                <w:rFonts w:eastAsia="Calibri" w:cs="Times New Roman" w:ascii="Times New Roman" w:hAnsi="Times New Roman"/>
                <w:color w:val="auto"/>
                <w:kern w:val="0"/>
                <w:sz w:val="24"/>
                <w:szCs w:val="24"/>
                <w:lang w:val="ru-RU" w:eastAsia="en-US" w:bidi="ar-SA"/>
              </w:rPr>
              <w:t>требуется</w:t>
            </w:r>
          </w:p>
        </w:tc>
        <w:tc>
          <w:tcPr>
            <w:tcW w:w="2134"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12" w:type="dxa"/>
            <w:tcBorders>
              <w:top w:val="nil"/>
            </w:tcBorders>
            <w:vAlign w:val="center"/>
          </w:tcPr>
          <w:p>
            <w:pPr>
              <w:pStyle w:val="ListParagraph"/>
              <w:widowControl w:val="false"/>
              <w:numPr>
                <w:ilvl w:val="0"/>
                <w:numId w:val="0"/>
              </w:numPr>
              <w:suppressAutoHyphens w:val="true"/>
              <w:spacing w:before="60" w:after="60"/>
              <w:ind w:left="1224" w:hanging="0"/>
              <w:contextualSpacing/>
              <w:jc w:val="center"/>
              <w:rPr>
                <w:rFonts w:ascii="Times New Roman" w:hAnsi="Times New Roman" w:eastAsia="Calibri" w:cs="Times New Roman"/>
                <w:i/>
                <w:i/>
                <w:iCs/>
                <w:color w:val="auto"/>
                <w:kern w:val="0"/>
                <w:sz w:val="24"/>
                <w:szCs w:val="24"/>
                <w:lang w:val="ru-RU" w:eastAsia="ru-RU" w:bidi="ar-SA"/>
              </w:rPr>
            </w:pPr>
            <w:r>
              <w:rPr>
                <w:rFonts w:eastAsia="Calibri" w:cs="Times New Roman"/>
                <w:i/>
                <w:iCs/>
                <w:color w:val="auto"/>
                <w:kern w:val="0"/>
                <w:sz w:val="24"/>
                <w:szCs w:val="24"/>
                <w:lang w:val="ru-RU" w:eastAsia="ru-RU" w:bidi="ar-SA"/>
              </w:rPr>
            </w:r>
          </w:p>
        </w:tc>
        <w:tc>
          <w:tcPr>
            <w:tcW w:w="14397" w:type="dxa"/>
            <w:gridSpan w:val="4"/>
            <w:tcBorders>
              <w:top w:val="nil"/>
            </w:tcBorders>
            <w:shd w:color="auto" w:fill="auto" w:val="clear"/>
          </w:tcPr>
          <w:p>
            <w:pPr>
              <w:pStyle w:val="29"/>
              <w:widowControl w:val="false"/>
              <w:shd w:val="clear" w:color="auto" w:fill="auto"/>
              <w:spacing w:lineRule="auto" w:line="240" w:before="0" w:after="0"/>
              <w:jc w:val="left"/>
              <w:rPr>
                <w:b/>
                <w:bCs/>
                <w:kern w:val="0"/>
                <w:lang w:val="ru-RU" w:eastAsia="ru-RU" w:bidi="ar-SA"/>
              </w:rPr>
            </w:pPr>
            <w:r>
              <w:rPr>
                <w:rFonts w:cs="Times New Roman" w:ascii="Times New Roman" w:hAnsi="Times New Roman"/>
                <w:b/>
                <w:bCs/>
                <w:kern w:val="0"/>
                <w:lang w:val="ru-RU" w:eastAsia="ru-RU" w:bidi="ar-SA"/>
              </w:rPr>
              <w:t>Параметры главной обмотки реактора</w:t>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pPr>
            <w:r>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Номинальное напряжение главной обмотки, кВ</w:t>
            </w:r>
          </w:p>
        </w:tc>
        <w:tc>
          <w:tcPr>
            <w:tcW w:w="5340" w:type="dxa"/>
            <w:tcBorders>
              <w:top w:val="nil"/>
            </w:tcBorders>
            <w:shd w:color="auto" w:fill="auto" w:val="clear"/>
          </w:tcPr>
          <w:p>
            <w:pPr>
              <w:pStyle w:val="Normal"/>
              <w:widowControl w:val="false"/>
              <w:spacing w:before="0" w:after="0"/>
              <w:jc w:val="center"/>
              <w:rPr>
                <w:sz w:val="24"/>
              </w:rPr>
            </w:pPr>
            <w:r>
              <w:rPr>
                <w:rFonts w:eastAsia="Times New Roman" w:cs="Times New Roman"/>
                <w:kern w:val="0"/>
                <w:sz w:val="24"/>
                <w:szCs w:val="20"/>
                <w:lang w:val="ru-RU" w:eastAsia="ru-RU" w:bidi="ar-SA"/>
              </w:rPr>
              <w:t>15,75/√3</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Наибольшее рабочее напряжение, кВ</w:t>
            </w:r>
          </w:p>
        </w:tc>
        <w:tc>
          <w:tcPr>
            <w:tcW w:w="5340" w:type="dxa"/>
            <w:tcBorders>
              <w:top w:val="nil"/>
            </w:tcBorders>
            <w:shd w:color="auto" w:fill="auto" w:val="clear"/>
          </w:tcPr>
          <w:p>
            <w:pPr>
              <w:pStyle w:val="Normal"/>
              <w:widowControl w:val="false"/>
              <w:spacing w:before="0" w:after="0"/>
              <w:jc w:val="center"/>
              <w:rPr>
                <w:sz w:val="24"/>
              </w:rPr>
            </w:pPr>
            <w:r>
              <w:rPr>
                <w:rFonts w:eastAsia="Times New Roman" w:cs="Times New Roman"/>
                <w:kern w:val="0"/>
                <w:sz w:val="24"/>
                <w:szCs w:val="20"/>
                <w:lang w:val="ru-RU" w:eastAsia="ru-RU" w:bidi="ar-SA"/>
              </w:rPr>
              <w:t>17,5/√3</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Количество ступеней регулирования тока компенсации</w:t>
            </w:r>
          </w:p>
        </w:tc>
        <w:tc>
          <w:tcPr>
            <w:tcW w:w="5340" w:type="dxa"/>
            <w:tcBorders>
              <w:top w:val="nil"/>
            </w:tcBorders>
            <w:shd w:color="auto" w:fill="auto" w:val="clear"/>
          </w:tcPr>
          <w:p>
            <w:pPr>
              <w:pStyle w:val="Normal"/>
              <w:widowControl w:val="false"/>
              <w:spacing w:before="0" w:after="0"/>
              <w:jc w:val="center"/>
              <w:rPr>
                <w:sz w:val="24"/>
              </w:rPr>
            </w:pPr>
            <w:r>
              <w:rPr>
                <w:rFonts w:eastAsia="Times New Roman" w:cs="Times New Roman"/>
                <w:kern w:val="0"/>
                <w:sz w:val="24"/>
                <w:szCs w:val="20"/>
                <w:lang w:val="ru-RU" w:eastAsia="ru-RU" w:bidi="ar-SA"/>
              </w:rPr>
              <w:t>5</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Значение токов компенсации, А</w:t>
            </w:r>
          </w:p>
        </w:tc>
        <w:tc>
          <w:tcPr>
            <w:tcW w:w="5340" w:type="dxa"/>
            <w:tcBorders>
              <w:top w:val="nil"/>
            </w:tcBorders>
            <w:shd w:color="auto" w:fill="auto" w:val="clear"/>
          </w:tcPr>
          <w:p>
            <w:pPr>
              <w:pStyle w:val="Normal"/>
              <w:widowControl w:val="false"/>
              <w:spacing w:before="0" w:after="0"/>
              <w:jc w:val="center"/>
              <w:rPr>
                <w:sz w:val="24"/>
              </w:rPr>
            </w:pPr>
            <w:r>
              <w:rPr>
                <w:rFonts w:eastAsia="Times New Roman" w:cs="Times New Roman"/>
                <w:kern w:val="0"/>
                <w:sz w:val="24"/>
                <w:szCs w:val="20"/>
                <w:lang w:val="ru-RU" w:eastAsia="ru-RU" w:bidi="ar-SA"/>
              </w:rPr>
              <w:t>15,84; 16,72; 17,6; 18,48; 19,36</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Номинальный ток компенсации, А</w:t>
            </w:r>
          </w:p>
        </w:tc>
        <w:tc>
          <w:tcPr>
            <w:tcW w:w="5340" w:type="dxa"/>
            <w:tcBorders>
              <w:top w:val="nil"/>
            </w:tcBorders>
            <w:shd w:color="auto" w:fill="auto" w:val="clear"/>
          </w:tcPr>
          <w:p>
            <w:pPr>
              <w:pStyle w:val="Normal"/>
              <w:widowControl w:val="false"/>
              <w:spacing w:before="0" w:after="0"/>
              <w:jc w:val="center"/>
              <w:rPr>
                <w:sz w:val="24"/>
              </w:rPr>
            </w:pPr>
            <w:r>
              <w:rPr>
                <w:rFonts w:eastAsia="Times New Roman" w:cs="Times New Roman"/>
                <w:kern w:val="0"/>
                <w:sz w:val="24"/>
                <w:szCs w:val="20"/>
                <w:lang w:val="ru-RU" w:eastAsia="ru-RU" w:bidi="ar-SA"/>
              </w:rPr>
              <w:t>17,6</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Номинальная частота, Гц</w:t>
            </w:r>
          </w:p>
        </w:tc>
        <w:tc>
          <w:tcPr>
            <w:tcW w:w="5340" w:type="dxa"/>
            <w:tcBorders>
              <w:top w:val="nil"/>
            </w:tcBorders>
            <w:shd w:color="auto" w:fill="auto" w:val="clear"/>
          </w:tcPr>
          <w:p>
            <w:pPr>
              <w:pStyle w:val="Normal"/>
              <w:widowControl w:val="false"/>
              <w:spacing w:before="0" w:after="0"/>
              <w:jc w:val="center"/>
              <w:rPr>
                <w:sz w:val="24"/>
              </w:rPr>
            </w:pPr>
            <w:r>
              <w:rPr>
                <w:rFonts w:eastAsia="Times New Roman" w:cs="Times New Roman"/>
                <w:kern w:val="0"/>
                <w:sz w:val="24"/>
                <w:szCs w:val="20"/>
                <w:lang w:val="ru-RU" w:eastAsia="ru-RU" w:bidi="ar-SA"/>
              </w:rPr>
              <w:t>50</w:t>
            </w:r>
          </w:p>
        </w:tc>
        <w:tc>
          <w:tcPr>
            <w:tcW w:w="2134"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Номинальная индуктивность, Гн</w:t>
            </w:r>
          </w:p>
        </w:tc>
        <w:tc>
          <w:tcPr>
            <w:tcW w:w="5340" w:type="dxa"/>
            <w:tcBorders>
              <w:top w:val="nil"/>
            </w:tcBorders>
            <w:shd w:color="auto" w:fill="auto" w:val="clear"/>
          </w:tcPr>
          <w:p>
            <w:pPr>
              <w:pStyle w:val="Normal"/>
              <w:widowControl w:val="false"/>
              <w:spacing w:before="0" w:after="0"/>
              <w:jc w:val="center"/>
              <w:rPr>
                <w:sz w:val="24"/>
              </w:rPr>
            </w:pPr>
            <w:r>
              <w:rPr>
                <w:rFonts w:eastAsia="Times New Roman" w:cs="Times New Roman"/>
                <w:kern w:val="0"/>
                <w:sz w:val="24"/>
                <w:szCs w:val="20"/>
                <w:lang w:val="ru-RU" w:eastAsia="ru-RU" w:bidi="ar-SA"/>
              </w:rPr>
              <w:t>1,64</w:t>
            </w:r>
          </w:p>
        </w:tc>
        <w:tc>
          <w:tcPr>
            <w:tcW w:w="2134" w:type="dxa"/>
            <w:tcBorders>
              <w:top w:val="nil"/>
            </w:tcBorders>
            <w:shd w:color="auto" w:fill="auto" w:val="clear"/>
          </w:tcPr>
          <w:p>
            <w:pPr>
              <w:pStyle w:val="Normal"/>
              <w:widowControl w:val="false"/>
              <w:suppressAutoHyphens w:val="true"/>
              <w:spacing w:before="0" w:after="0"/>
              <w:jc w:val="center"/>
              <w:rPr>
                <w:highlight w:val="none"/>
                <w:shd w:fill="auto" w:val="clear"/>
              </w:rPr>
            </w:pPr>
            <w:r>
              <w:rPr>
                <w:rFonts w:eastAsia="Times New Roman" w:cs="Times New Roman"/>
                <w:iCs/>
                <w:kern w:val="0"/>
                <w:sz w:val="24"/>
                <w:szCs w:val="24"/>
                <w:shd w:fill="auto" w:val="clear"/>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Номинальная реактивная мощность, кВАр</w:t>
            </w:r>
          </w:p>
        </w:tc>
        <w:tc>
          <w:tcPr>
            <w:tcW w:w="5340" w:type="dxa"/>
            <w:tcBorders>
              <w:top w:val="nil"/>
            </w:tcBorders>
            <w:shd w:color="auto" w:fill="auto" w:val="clear"/>
          </w:tcPr>
          <w:p>
            <w:pPr>
              <w:pStyle w:val="Normal"/>
              <w:widowControl w:val="false"/>
              <w:spacing w:before="0" w:after="0"/>
              <w:jc w:val="center"/>
              <w:rPr>
                <w:sz w:val="24"/>
              </w:rPr>
            </w:pPr>
            <w:r>
              <w:rPr>
                <w:rFonts w:eastAsia="Times New Roman" w:cs="Times New Roman"/>
                <w:kern w:val="0"/>
                <w:sz w:val="24"/>
                <w:szCs w:val="20"/>
                <w:lang w:val="ru-RU" w:eastAsia="ru-RU" w:bidi="ar-SA"/>
              </w:rPr>
              <w:t>160</w:t>
            </w:r>
          </w:p>
        </w:tc>
        <w:tc>
          <w:tcPr>
            <w:tcW w:w="2134" w:type="dxa"/>
            <w:tcBorders>
              <w:top w:val="nil"/>
            </w:tcBorders>
            <w:shd w:color="auto" w:fill="auto" w:val="clear"/>
          </w:tcPr>
          <w:p>
            <w:pPr>
              <w:pStyle w:val="Normal"/>
              <w:widowControl w:val="false"/>
              <w:suppressAutoHyphens w:val="true"/>
              <w:spacing w:before="0" w:after="0"/>
              <w:jc w:val="center"/>
              <w:rPr>
                <w:highlight w:val="none"/>
                <w:shd w:fill="auto" w:val="clear"/>
              </w:rPr>
            </w:pPr>
            <w:r>
              <w:rPr>
                <w:rFonts w:eastAsia="Times New Roman" w:cs="Times New Roman"/>
                <w:iCs/>
                <w:kern w:val="0"/>
                <w:sz w:val="24"/>
                <w:szCs w:val="24"/>
                <w:shd w:fill="auto" w:val="clear"/>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Максимальная реактивная мощность, кВАр</w:t>
            </w:r>
          </w:p>
        </w:tc>
        <w:tc>
          <w:tcPr>
            <w:tcW w:w="5340" w:type="dxa"/>
            <w:tcBorders>
              <w:top w:val="nil"/>
            </w:tcBorders>
            <w:shd w:color="auto" w:fill="auto" w:val="clear"/>
          </w:tcPr>
          <w:p>
            <w:pPr>
              <w:pStyle w:val="Normal"/>
              <w:widowControl w:val="false"/>
              <w:spacing w:before="0" w:after="0"/>
              <w:jc w:val="center"/>
              <w:rPr>
                <w:sz w:val="24"/>
              </w:rPr>
            </w:pPr>
            <w:r>
              <w:rPr>
                <w:rFonts w:eastAsia="Times New Roman" w:cs="Times New Roman"/>
                <w:kern w:val="0"/>
                <w:sz w:val="24"/>
                <w:szCs w:val="20"/>
                <w:lang w:val="ru-RU" w:eastAsia="ru-RU" w:bidi="ar-SA"/>
              </w:rPr>
              <w:t>176,4</w:t>
            </w:r>
          </w:p>
        </w:tc>
        <w:tc>
          <w:tcPr>
            <w:tcW w:w="2134" w:type="dxa"/>
            <w:tcBorders>
              <w:top w:val="nil"/>
            </w:tcBorders>
            <w:shd w:color="auto" w:fill="auto" w:val="clear"/>
          </w:tcPr>
          <w:p>
            <w:pPr>
              <w:pStyle w:val="Normal"/>
              <w:widowControl w:val="false"/>
              <w:suppressAutoHyphens w:val="true"/>
              <w:spacing w:before="0" w:after="0"/>
              <w:jc w:val="center"/>
              <w:rPr>
                <w:highlight w:val="none"/>
                <w:shd w:fill="auto" w:val="clear"/>
              </w:rPr>
            </w:pPr>
            <w:r>
              <w:rPr>
                <w:rFonts w:eastAsia="Times New Roman" w:cs="Times New Roman"/>
                <w:iCs/>
                <w:kern w:val="0"/>
                <w:sz w:val="24"/>
                <w:szCs w:val="24"/>
                <w:shd w:fill="auto" w:val="clear"/>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r>
          </w:p>
        </w:tc>
      </w:tr>
      <w:tr>
        <w:trPr/>
        <w:tc>
          <w:tcPr>
            <w:tcW w:w="912" w:type="dxa"/>
            <w:tcBorders>
              <w:top w:val="nil"/>
            </w:tcBorders>
            <w:vAlign w:val="center"/>
          </w:tcPr>
          <w:p>
            <w:pPr>
              <w:pStyle w:val="ListParagraph"/>
              <w:widowControl w:val="false"/>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t>‍</w:t>
            </w:r>
          </w:p>
        </w:tc>
        <w:tc>
          <w:tcPr>
            <w:tcW w:w="14397" w:type="dxa"/>
            <w:gridSpan w:val="4"/>
            <w:tcBorders>
              <w:top w:val="nil"/>
            </w:tcBorders>
            <w:shd w:color="auto" w:fill="auto" w:val="clear"/>
          </w:tcPr>
          <w:p>
            <w:pPr>
              <w:pStyle w:val="210"/>
              <w:widowControl w:val="false"/>
              <w:numPr>
                <w:ilvl w:val="0"/>
                <w:numId w:val="0"/>
              </w:numPr>
              <w:spacing w:before="120" w:after="120"/>
              <w:ind w:left="0" w:hanging="0"/>
              <w:jc w:val="both"/>
              <w:outlineLvl w:val="9"/>
              <w:rPr>
                <w:highlight w:val="none"/>
                <w:shd w:fill="auto" w:val="clear"/>
              </w:rPr>
            </w:pPr>
            <w:r>
              <w:rPr>
                <w:b/>
                <w:shd w:fill="auto" w:val="clear"/>
              </w:rPr>
              <w:t>Требования к автоматике управления устройствами компенсации ёмкостного тока</w:t>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t>‍</w:t>
            </w:r>
          </w:p>
        </w:tc>
        <w:tc>
          <w:tcPr>
            <w:tcW w:w="3639"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t>Исполнение</w:t>
            </w:r>
          </w:p>
        </w:tc>
        <w:tc>
          <w:tcPr>
            <w:tcW w:w="5340" w:type="dxa"/>
            <w:tcBorders>
              <w:top w:val="nil"/>
            </w:tcBorders>
            <w:shd w:color="auto" w:fill="auto" w:val="clear"/>
          </w:tcPr>
          <w:p>
            <w:pPr>
              <w:pStyle w:val="Normal"/>
              <w:widowControl w:val="false"/>
              <w:spacing w:before="0" w:after="0"/>
              <w:jc w:val="center"/>
              <w:rPr>
                <w:sz w:val="24"/>
                <w:szCs w:val="24"/>
              </w:rPr>
            </w:pPr>
            <w:r>
              <w:rPr>
                <w:sz w:val="24"/>
                <w:szCs w:val="24"/>
              </w:rPr>
              <w:t>Микропроцессорное</w:t>
            </w:r>
          </w:p>
        </w:tc>
        <w:tc>
          <w:tcPr>
            <w:tcW w:w="2134" w:type="dxa"/>
            <w:tcBorders>
              <w:top w:val="nil"/>
            </w:tcBorders>
            <w:shd w:color="auto" w:fill="auto" w:val="clear"/>
          </w:tcPr>
          <w:p>
            <w:pPr>
              <w:pStyle w:val="Normal"/>
              <w:widowControl w:val="false"/>
              <w:suppressAutoHyphens w:val="true"/>
              <w:spacing w:before="0" w:after="0"/>
              <w:jc w:val="center"/>
              <w:rPr>
                <w:highlight w:val="none"/>
                <w:shd w:fill="auto" w:val="clear"/>
              </w:rPr>
            </w:pPr>
            <w:r>
              <w:rPr>
                <w:rFonts w:eastAsia="Times New Roman" w:cs="Times New Roman"/>
                <w:iCs/>
                <w:kern w:val="0"/>
                <w:sz w:val="24"/>
                <w:szCs w:val="24"/>
                <w:shd w:fill="auto" w:val="clear"/>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t>‍</w:t>
            </w:r>
          </w:p>
        </w:tc>
        <w:tc>
          <w:tcPr>
            <w:tcW w:w="3639" w:type="dxa"/>
            <w:tcBorders>
              <w:top w:val="nil"/>
            </w:tcBorders>
            <w:shd w:color="auto" w:fill="auto" w:val="clear"/>
          </w:tcPr>
          <w:p>
            <w:pPr>
              <w:pStyle w:val="Style38"/>
              <w:widowControl w:val="false"/>
              <w:numPr>
                <w:ilvl w:val="0"/>
                <w:numId w:val="0"/>
              </w:numPr>
              <w:suppressAutoHyphens w:val="false"/>
              <w:bidi w:val="0"/>
              <w:spacing w:lineRule="auto" w:line="276" w:before="0" w:after="0"/>
              <w:ind w:left="0" w:right="0" w:hanging="0"/>
              <w:jc w:val="both"/>
              <w:textAlignment w:val="baseline"/>
              <w:rPr>
                <w:sz w:val="24"/>
                <w:szCs w:val="24"/>
              </w:rPr>
            </w:pPr>
            <w:r>
              <w:rPr>
                <w:sz w:val="24"/>
                <w:szCs w:val="24"/>
              </w:rPr>
              <w:t>Высокая точность поддержания резонансной настройки реактора  без применения устройств постоянного искусственного смещения нейтрали</w:t>
            </w:r>
          </w:p>
        </w:tc>
        <w:tc>
          <w:tcPr>
            <w:tcW w:w="5340" w:type="dxa"/>
            <w:tcBorders>
              <w:top w:val="nil"/>
            </w:tcBorders>
            <w:shd w:color="auto" w:fill="auto" w:val="clear"/>
          </w:tcPr>
          <w:p>
            <w:pPr>
              <w:pStyle w:val="Style38"/>
              <w:widowControl w:val="false"/>
              <w:numPr>
                <w:ilvl w:val="0"/>
                <w:numId w:val="0"/>
              </w:numPr>
              <w:suppressAutoHyphens w:val="false"/>
              <w:bidi w:val="0"/>
              <w:spacing w:lineRule="auto" w:line="276" w:before="0" w:after="0"/>
              <w:ind w:left="283" w:right="0" w:hanging="0"/>
              <w:jc w:val="center"/>
              <w:textAlignment w:val="baseline"/>
              <w:rPr>
                <w:sz w:val="24"/>
                <w:szCs w:val="24"/>
              </w:rPr>
            </w:pPr>
            <w:r>
              <w:rPr>
                <w:sz w:val="24"/>
                <w:szCs w:val="24"/>
              </w:rPr>
              <w:t>±5%</w:t>
            </w:r>
          </w:p>
        </w:tc>
        <w:tc>
          <w:tcPr>
            <w:tcW w:w="2134" w:type="dxa"/>
            <w:tcBorders>
              <w:top w:val="nil"/>
            </w:tcBorders>
            <w:shd w:color="auto" w:fill="auto" w:val="clear"/>
          </w:tcPr>
          <w:p>
            <w:pPr>
              <w:pStyle w:val="Normal"/>
              <w:widowControl w:val="false"/>
              <w:suppressAutoHyphens w:val="true"/>
              <w:spacing w:before="0" w:after="0"/>
              <w:jc w:val="center"/>
              <w:rPr>
                <w:highlight w:val="none"/>
                <w:shd w:fill="auto" w:val="clear"/>
              </w:rPr>
            </w:pPr>
            <w:r>
              <w:rPr>
                <w:rFonts w:eastAsia="Times New Roman" w:cs="Times New Roman"/>
                <w:iCs/>
                <w:kern w:val="0"/>
                <w:sz w:val="24"/>
                <w:szCs w:val="24"/>
                <w:shd w:fill="auto" w:val="clear"/>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t>‍</w:t>
            </w:r>
          </w:p>
        </w:tc>
        <w:tc>
          <w:tcPr>
            <w:tcW w:w="3639" w:type="dxa"/>
            <w:tcBorders>
              <w:top w:val="nil"/>
            </w:tcBorders>
            <w:shd w:color="auto" w:fill="auto" w:val="clear"/>
          </w:tcPr>
          <w:p>
            <w:pPr>
              <w:pStyle w:val="Style38"/>
              <w:widowControl w:val="false"/>
              <w:numPr>
                <w:ilvl w:val="0"/>
                <w:numId w:val="0"/>
              </w:numPr>
              <w:spacing w:before="0" w:after="0"/>
              <w:ind w:left="0" w:hanging="0"/>
              <w:rPr>
                <w:sz w:val="24"/>
                <w:szCs w:val="24"/>
              </w:rPr>
            </w:pPr>
            <w:r>
              <w:rPr>
                <w:sz w:val="24"/>
                <w:szCs w:val="24"/>
              </w:rPr>
              <w:t>Погрешность определения емкостного тока до момента замыкания должна составлять</w:t>
            </w:r>
          </w:p>
        </w:tc>
        <w:tc>
          <w:tcPr>
            <w:tcW w:w="5340" w:type="dxa"/>
            <w:tcBorders>
              <w:top w:val="nil"/>
            </w:tcBorders>
            <w:shd w:color="auto" w:fill="auto" w:val="clear"/>
          </w:tcPr>
          <w:p>
            <w:pPr>
              <w:pStyle w:val="Style38"/>
              <w:widowControl w:val="false"/>
              <w:numPr>
                <w:ilvl w:val="0"/>
                <w:numId w:val="0"/>
              </w:numPr>
              <w:spacing w:before="0" w:after="0"/>
              <w:ind w:left="0" w:hanging="0"/>
              <w:jc w:val="center"/>
              <w:rPr>
                <w:sz w:val="24"/>
                <w:szCs w:val="24"/>
              </w:rPr>
            </w:pPr>
            <w:r>
              <w:rPr>
                <w:sz w:val="24"/>
                <w:szCs w:val="24"/>
              </w:rPr>
              <w:t>не более 1%</w:t>
            </w:r>
          </w:p>
        </w:tc>
        <w:tc>
          <w:tcPr>
            <w:tcW w:w="2134" w:type="dxa"/>
            <w:tcBorders>
              <w:top w:val="nil"/>
            </w:tcBorders>
            <w:shd w:color="auto" w:fill="auto" w:val="clear"/>
          </w:tcPr>
          <w:p>
            <w:pPr>
              <w:pStyle w:val="Normal"/>
              <w:widowControl w:val="false"/>
              <w:suppressAutoHyphens w:val="true"/>
              <w:spacing w:before="0" w:after="0"/>
              <w:jc w:val="center"/>
              <w:rPr>
                <w:highlight w:val="none"/>
                <w:shd w:fill="auto" w:val="clear"/>
              </w:rPr>
            </w:pPr>
            <w:r>
              <w:rPr>
                <w:rFonts w:eastAsia="Times New Roman" w:cs="Times New Roman"/>
                <w:iCs/>
                <w:kern w:val="0"/>
                <w:sz w:val="24"/>
                <w:szCs w:val="24"/>
                <w:shd w:fill="auto" w:val="clear"/>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r>
          </w:p>
        </w:tc>
        <w:tc>
          <w:tcPr>
            <w:tcW w:w="3639" w:type="dxa"/>
            <w:tcBorders>
              <w:top w:val="nil"/>
            </w:tcBorders>
            <w:shd w:color="auto" w:fill="auto" w:val="clear"/>
          </w:tcPr>
          <w:p>
            <w:pPr>
              <w:pStyle w:val="Style38"/>
              <w:widowControl w:val="false"/>
              <w:numPr>
                <w:ilvl w:val="0"/>
                <w:numId w:val="0"/>
              </w:numPr>
              <w:suppressAutoHyphens w:val="false"/>
              <w:bidi w:val="0"/>
              <w:spacing w:lineRule="auto" w:line="276" w:before="0" w:after="0"/>
              <w:ind w:left="0" w:right="0" w:hanging="0"/>
              <w:jc w:val="both"/>
              <w:textAlignment w:val="baseline"/>
              <w:rPr>
                <w:sz w:val="24"/>
                <w:szCs w:val="24"/>
              </w:rPr>
            </w:pPr>
            <w:r>
              <w:rPr>
                <w:sz w:val="24"/>
                <w:szCs w:val="24"/>
              </w:rPr>
              <w:t>Возможность работы с прецизионным датчиком положения плунжера ДГР (для ДГР плунжерного типа);</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eastAsia="Calibri" w:cs="Times New Roman"/>
                <w:color w:val="auto"/>
                <w:kern w:val="0"/>
                <w:sz w:val="24"/>
                <w:szCs w:val="24"/>
                <w:lang w:val="ru-RU" w:eastAsia="en-US" w:bidi="ar-SA"/>
              </w:rPr>
            </w:pPr>
            <w:r>
              <w:rPr>
                <w:rFonts w:eastAsia="Calibri" w:cs="Times New Roman" w:ascii="Times New Roman" w:hAnsi="Times New Roman"/>
                <w:color w:val="auto"/>
                <w:kern w:val="0"/>
                <w:sz w:val="24"/>
                <w:szCs w:val="24"/>
                <w:lang w:val="ru-RU" w:eastAsia="en-US" w:bidi="ar-SA"/>
              </w:rPr>
              <w:t>требуется</w:t>
            </w:r>
          </w:p>
        </w:tc>
        <w:tc>
          <w:tcPr>
            <w:tcW w:w="2134" w:type="dxa"/>
            <w:tcBorders>
              <w:top w:val="nil"/>
            </w:tcBorders>
            <w:shd w:color="auto" w:fill="auto" w:val="clear"/>
          </w:tcPr>
          <w:p>
            <w:pPr>
              <w:pStyle w:val="Normal"/>
              <w:widowControl w:val="false"/>
              <w:suppressAutoHyphens w:val="true"/>
              <w:spacing w:before="0" w:after="0"/>
              <w:jc w:val="center"/>
              <w:rPr>
                <w:highlight w:val="none"/>
                <w:shd w:fill="auto" w:val="clear"/>
              </w:rPr>
            </w:pPr>
            <w:r>
              <w:rPr>
                <w:rFonts w:eastAsia="Times New Roman" w:cs="Times New Roman"/>
                <w:iCs/>
                <w:kern w:val="0"/>
                <w:sz w:val="24"/>
                <w:szCs w:val="24"/>
                <w:shd w:fill="auto" w:val="clear"/>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t>‍</w:t>
            </w:r>
          </w:p>
        </w:tc>
        <w:tc>
          <w:tcPr>
            <w:tcW w:w="3639" w:type="dxa"/>
            <w:tcBorders>
              <w:top w:val="nil"/>
            </w:tcBorders>
            <w:shd w:color="auto" w:fill="auto" w:val="clear"/>
          </w:tcPr>
          <w:p>
            <w:pPr>
              <w:pStyle w:val="Style38"/>
              <w:widowControl w:val="false"/>
              <w:numPr>
                <w:ilvl w:val="0"/>
                <w:numId w:val="0"/>
              </w:numPr>
              <w:spacing w:before="0" w:after="0"/>
              <w:ind w:left="0" w:hanging="0"/>
              <w:rPr>
                <w:sz w:val="24"/>
                <w:szCs w:val="24"/>
              </w:rPr>
            </w:pPr>
            <w:r>
              <w:rPr>
                <w:sz w:val="24"/>
                <w:szCs w:val="24"/>
              </w:rPr>
              <w:t>Правильное функционирование в различных режимах эксплуатации: нормальном, неполнофазном, при металлических и дуговых ОЗЗ, в том числе через высокое переходное сопротивление;</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eastAsia="Calibri" w:cs="Times New Roman"/>
                <w:color w:val="auto"/>
                <w:kern w:val="0"/>
                <w:sz w:val="24"/>
                <w:szCs w:val="24"/>
                <w:lang w:val="ru-RU" w:eastAsia="en-US" w:bidi="ar-SA"/>
              </w:rPr>
            </w:pPr>
            <w:r>
              <w:rPr>
                <w:rFonts w:eastAsia="Calibri" w:cs="Times New Roman" w:ascii="Times New Roman" w:hAnsi="Times New Roman"/>
                <w:color w:val="auto"/>
                <w:kern w:val="0"/>
                <w:sz w:val="24"/>
                <w:szCs w:val="24"/>
                <w:lang w:val="ru-RU" w:eastAsia="en-US" w:bidi="ar-SA"/>
              </w:rPr>
              <w:t>требуется</w:t>
            </w:r>
          </w:p>
        </w:tc>
        <w:tc>
          <w:tcPr>
            <w:tcW w:w="2134" w:type="dxa"/>
            <w:tcBorders>
              <w:top w:val="nil"/>
            </w:tcBorders>
            <w:shd w:color="auto" w:fill="auto" w:val="clear"/>
          </w:tcPr>
          <w:p>
            <w:pPr>
              <w:pStyle w:val="Normal"/>
              <w:widowControl w:val="false"/>
              <w:suppressAutoHyphens w:val="true"/>
              <w:spacing w:before="0" w:after="0"/>
              <w:jc w:val="center"/>
              <w:rPr>
                <w:highlight w:val="none"/>
                <w:shd w:fill="auto" w:val="clear"/>
              </w:rPr>
            </w:pPr>
            <w:r>
              <w:rPr>
                <w:rFonts w:eastAsia="Times New Roman" w:cs="Times New Roman"/>
                <w:iCs/>
                <w:kern w:val="0"/>
                <w:sz w:val="24"/>
                <w:szCs w:val="24"/>
                <w:shd w:fill="auto" w:val="clear"/>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t>‍</w:t>
            </w:r>
          </w:p>
        </w:tc>
        <w:tc>
          <w:tcPr>
            <w:tcW w:w="3639" w:type="dxa"/>
            <w:tcBorders>
              <w:top w:val="nil"/>
            </w:tcBorders>
            <w:shd w:color="auto" w:fill="auto" w:val="clear"/>
          </w:tcPr>
          <w:p>
            <w:pPr>
              <w:pStyle w:val="Style38"/>
              <w:widowControl w:val="false"/>
              <w:numPr>
                <w:ilvl w:val="0"/>
                <w:numId w:val="0"/>
              </w:numPr>
              <w:spacing w:before="0" w:after="0"/>
              <w:ind w:left="0" w:hanging="0"/>
              <w:rPr>
                <w:sz w:val="24"/>
                <w:szCs w:val="24"/>
              </w:rPr>
            </w:pPr>
            <w:r>
              <w:rPr>
                <w:sz w:val="24"/>
                <w:szCs w:val="24"/>
              </w:rPr>
              <w:t>Устойчивая работа и автоматическая перенастройка в сетях с высокими значениями напряжения естественной несимметрии, изменяющейся фазой и амплитудой этого напряжения, в сетях с низкой добротностью</w:t>
            </w:r>
          </w:p>
        </w:tc>
        <w:tc>
          <w:tcPr>
            <w:tcW w:w="5340" w:type="dxa"/>
            <w:tcBorders>
              <w:top w:val="nil"/>
            </w:tcBorders>
            <w:shd w:color="auto" w:fill="auto" w:val="clear"/>
          </w:tcPr>
          <w:p>
            <w:pPr>
              <w:pStyle w:val="Style38"/>
              <w:widowControl w:val="false"/>
              <w:numPr>
                <w:ilvl w:val="0"/>
                <w:numId w:val="0"/>
              </w:numPr>
              <w:spacing w:before="0" w:after="0"/>
              <w:ind w:left="0" w:hanging="0"/>
              <w:jc w:val="center"/>
              <w:rPr>
                <w:sz w:val="24"/>
                <w:szCs w:val="24"/>
              </w:rPr>
            </w:pPr>
            <w:r>
              <w:rPr>
                <w:sz w:val="24"/>
                <w:szCs w:val="24"/>
              </w:rPr>
              <w:t>менее 10</w:t>
            </w:r>
          </w:p>
        </w:tc>
        <w:tc>
          <w:tcPr>
            <w:tcW w:w="2134" w:type="dxa"/>
            <w:tcBorders>
              <w:top w:val="nil"/>
            </w:tcBorders>
            <w:shd w:color="auto" w:fill="auto" w:val="clear"/>
          </w:tcPr>
          <w:p>
            <w:pPr>
              <w:pStyle w:val="Normal"/>
              <w:widowControl w:val="false"/>
              <w:suppressAutoHyphens w:val="true"/>
              <w:spacing w:before="0" w:after="0"/>
              <w:jc w:val="center"/>
              <w:rPr>
                <w:highlight w:val="none"/>
                <w:shd w:fill="auto" w:val="clear"/>
              </w:rPr>
            </w:pPr>
            <w:r>
              <w:rPr>
                <w:rFonts w:eastAsia="Times New Roman" w:cs="Times New Roman"/>
                <w:iCs/>
                <w:kern w:val="0"/>
                <w:sz w:val="24"/>
                <w:szCs w:val="24"/>
                <w:shd w:fill="auto" w:val="clear"/>
                <w:lang w:val="ru-RU" w:eastAsia="ru-RU" w:bidi="ar-SA"/>
              </w:rPr>
              <w:t>Указание характеристик</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t>‍</w:t>
            </w:r>
          </w:p>
        </w:tc>
        <w:tc>
          <w:tcPr>
            <w:tcW w:w="3639" w:type="dxa"/>
            <w:tcBorders>
              <w:top w:val="nil"/>
            </w:tcBorders>
            <w:shd w:color="auto" w:fill="auto" w:val="clear"/>
          </w:tcPr>
          <w:p>
            <w:pPr>
              <w:pStyle w:val="Style38"/>
              <w:widowControl w:val="false"/>
              <w:numPr>
                <w:ilvl w:val="0"/>
                <w:numId w:val="0"/>
              </w:numPr>
              <w:spacing w:before="0" w:after="0"/>
              <w:ind w:left="0" w:hanging="0"/>
              <w:rPr>
                <w:sz w:val="24"/>
                <w:szCs w:val="24"/>
              </w:rPr>
            </w:pPr>
            <w:r>
              <w:rPr>
                <w:sz w:val="24"/>
                <w:szCs w:val="24"/>
              </w:rPr>
              <w:t>Измерение и непрерывная регистрация параметров сети, величины и знака степени расстройки за длительный период времени, передача текущих и накопленных данных в систему телемеханики;</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eastAsia="Calibri" w:cs="Times New Roman"/>
                <w:color w:val="auto"/>
                <w:kern w:val="0"/>
                <w:sz w:val="24"/>
                <w:szCs w:val="24"/>
                <w:lang w:val="ru-RU" w:eastAsia="en-US" w:bidi="ar-SA"/>
              </w:rPr>
            </w:pPr>
            <w:r>
              <w:rPr>
                <w:rFonts w:eastAsia="Calibri" w:cs="Times New Roman" w:ascii="Times New Roman" w:hAnsi="Times New Roman"/>
                <w:color w:val="auto"/>
                <w:kern w:val="0"/>
                <w:sz w:val="24"/>
                <w:szCs w:val="24"/>
                <w:lang w:val="ru-RU" w:eastAsia="en-US" w:bidi="ar-SA"/>
              </w:rPr>
              <w:t>требуется</w:t>
            </w:r>
          </w:p>
        </w:tc>
        <w:tc>
          <w:tcPr>
            <w:tcW w:w="2134" w:type="dxa"/>
            <w:tcBorders>
              <w:top w:val="nil"/>
            </w:tcBorders>
            <w:shd w:color="auto" w:fill="auto" w:val="clear"/>
          </w:tcPr>
          <w:p>
            <w:pPr>
              <w:pStyle w:val="Normal"/>
              <w:widowControl w:val="false"/>
              <w:suppressAutoHyphens w:val="true"/>
              <w:spacing w:before="0" w:after="0"/>
              <w:jc w:val="center"/>
              <w:rPr>
                <w:highlight w:val="none"/>
                <w:shd w:fill="auto" w:val="clear"/>
              </w:rPr>
            </w:pPr>
            <w:r>
              <w:rPr>
                <w:rFonts w:eastAsia="Times New Roman" w:cs="Times New Roman"/>
                <w:iCs/>
                <w:kern w:val="0"/>
                <w:sz w:val="24"/>
                <w:szCs w:val="24"/>
                <w:shd w:fill="auto" w:val="clear"/>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t>‍</w:t>
            </w:r>
          </w:p>
        </w:tc>
        <w:tc>
          <w:tcPr>
            <w:tcW w:w="3639" w:type="dxa"/>
            <w:tcBorders>
              <w:top w:val="nil"/>
            </w:tcBorders>
            <w:shd w:color="auto" w:fill="auto" w:val="clear"/>
          </w:tcPr>
          <w:p>
            <w:pPr>
              <w:pStyle w:val="Style38"/>
              <w:widowControl w:val="false"/>
              <w:numPr>
                <w:ilvl w:val="0"/>
                <w:numId w:val="0"/>
              </w:numPr>
              <w:spacing w:before="0" w:after="0"/>
              <w:ind w:left="0" w:hanging="0"/>
              <w:rPr>
                <w:rFonts w:ascii="Times New Roman" w:hAnsi="Times New Roman" w:eastAsia="Calibri" w:cs="Times New Roman"/>
                <w:color w:val="auto"/>
                <w:kern w:val="0"/>
                <w:sz w:val="24"/>
                <w:szCs w:val="24"/>
                <w:lang w:val="ru-RU" w:eastAsia="en-US" w:bidi="ar-SA"/>
              </w:rPr>
            </w:pPr>
            <w:r>
              <w:rPr>
                <w:rFonts w:eastAsia="Calibri" w:cs="Times New Roman"/>
                <w:color w:val="auto"/>
                <w:kern w:val="0"/>
                <w:sz w:val="24"/>
                <w:szCs w:val="24"/>
                <w:lang w:val="ru-RU" w:eastAsia="en-US" w:bidi="ar-SA"/>
              </w:rPr>
              <w:t>Ведение и хранение журнала событий и осциллограмм однофазного замыкания на землю в памяти устройства;</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eastAsia="Calibri" w:cs="Times New Roman"/>
                <w:color w:val="auto"/>
                <w:kern w:val="0"/>
                <w:sz w:val="24"/>
                <w:szCs w:val="24"/>
                <w:lang w:val="ru-RU" w:eastAsia="en-US" w:bidi="ar-SA"/>
              </w:rPr>
            </w:pPr>
            <w:r>
              <w:rPr>
                <w:rFonts w:eastAsia="Calibri" w:cs="Times New Roman" w:ascii="Times New Roman" w:hAnsi="Times New Roman"/>
                <w:color w:val="auto"/>
                <w:kern w:val="0"/>
                <w:sz w:val="24"/>
                <w:szCs w:val="24"/>
                <w:lang w:val="ru-RU" w:eastAsia="en-US" w:bidi="ar-SA"/>
              </w:rPr>
              <w:t>требуется</w:t>
            </w:r>
          </w:p>
        </w:tc>
        <w:tc>
          <w:tcPr>
            <w:tcW w:w="2134" w:type="dxa"/>
            <w:tcBorders>
              <w:top w:val="nil"/>
            </w:tcBorders>
            <w:shd w:color="auto" w:fill="auto" w:val="clear"/>
          </w:tcPr>
          <w:p>
            <w:pPr>
              <w:pStyle w:val="Normal"/>
              <w:widowControl w:val="false"/>
              <w:suppressAutoHyphens w:val="true"/>
              <w:spacing w:before="0" w:after="0"/>
              <w:jc w:val="center"/>
              <w:rPr>
                <w:highlight w:val="none"/>
                <w:shd w:fill="auto" w:val="clear"/>
              </w:rPr>
            </w:pPr>
            <w:r>
              <w:rPr>
                <w:rFonts w:eastAsia="Times New Roman" w:cs="Times New Roman"/>
                <w:iCs/>
                <w:kern w:val="0"/>
                <w:sz w:val="24"/>
                <w:szCs w:val="24"/>
                <w:shd w:fill="auto" w:val="clear"/>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t>‍</w:t>
            </w:r>
          </w:p>
        </w:tc>
        <w:tc>
          <w:tcPr>
            <w:tcW w:w="3639" w:type="dxa"/>
            <w:tcBorders>
              <w:top w:val="nil"/>
            </w:tcBorders>
            <w:shd w:color="auto" w:fill="auto" w:val="clear"/>
          </w:tcPr>
          <w:p>
            <w:pPr>
              <w:pStyle w:val="Style38"/>
              <w:widowControl w:val="false"/>
              <w:numPr>
                <w:ilvl w:val="0"/>
                <w:numId w:val="0"/>
              </w:numPr>
              <w:suppressAutoHyphens w:val="false"/>
              <w:bidi w:val="0"/>
              <w:spacing w:lineRule="auto" w:line="276" w:before="0" w:after="0"/>
              <w:ind w:left="0" w:right="0" w:hanging="0"/>
              <w:jc w:val="both"/>
              <w:textAlignment w:val="baseline"/>
              <w:rPr>
                <w:rFonts w:ascii="Times New Roman" w:hAnsi="Times New Roman" w:eastAsia="Calibri" w:cs="Times New Roman"/>
                <w:color w:val="auto"/>
                <w:kern w:val="0"/>
                <w:sz w:val="24"/>
                <w:szCs w:val="24"/>
                <w:lang w:val="ru-RU" w:eastAsia="en-US" w:bidi="ar-SA"/>
              </w:rPr>
            </w:pPr>
            <w:r>
              <w:rPr>
                <w:rFonts w:eastAsia="Calibri" w:cs="Times New Roman"/>
                <w:color w:val="auto"/>
                <w:kern w:val="0"/>
                <w:sz w:val="24"/>
                <w:szCs w:val="24"/>
                <w:lang w:val="ru-RU" w:eastAsia="en-US" w:bidi="ar-SA"/>
              </w:rPr>
              <w:t>Согласованная работа нескольких устройств при изменении конфигурации сети.</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eastAsia="Calibri" w:cs="Times New Roman"/>
                <w:color w:val="auto"/>
                <w:kern w:val="0"/>
                <w:sz w:val="24"/>
                <w:szCs w:val="24"/>
                <w:lang w:val="ru-RU" w:eastAsia="en-US" w:bidi="ar-SA"/>
              </w:rPr>
            </w:pPr>
            <w:r>
              <w:rPr>
                <w:rFonts w:eastAsia="Calibri" w:cs="Times New Roman" w:ascii="Times New Roman" w:hAnsi="Times New Roman"/>
                <w:color w:val="auto"/>
                <w:kern w:val="0"/>
                <w:sz w:val="24"/>
                <w:szCs w:val="24"/>
                <w:lang w:val="ru-RU" w:eastAsia="en-US" w:bidi="ar-SA"/>
              </w:rPr>
              <w:t>требуется</w:t>
            </w:r>
          </w:p>
        </w:tc>
        <w:tc>
          <w:tcPr>
            <w:tcW w:w="2134" w:type="dxa"/>
            <w:tcBorders>
              <w:top w:val="nil"/>
            </w:tcBorders>
            <w:shd w:color="auto" w:fill="auto" w:val="clear"/>
          </w:tcPr>
          <w:p>
            <w:pPr>
              <w:pStyle w:val="Normal"/>
              <w:widowControl w:val="false"/>
              <w:suppressAutoHyphens w:val="true"/>
              <w:spacing w:before="0" w:after="0"/>
              <w:jc w:val="center"/>
              <w:rPr>
                <w:highlight w:val="none"/>
                <w:shd w:fill="auto" w:val="clear"/>
              </w:rPr>
            </w:pPr>
            <w:r>
              <w:rPr>
                <w:rFonts w:eastAsia="Times New Roman" w:cs="Times New Roman"/>
                <w:iCs/>
                <w:kern w:val="0"/>
                <w:sz w:val="24"/>
                <w:szCs w:val="24"/>
                <w:shd w:fill="auto" w:val="clear"/>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t>‍</w:t>
            </w:r>
          </w:p>
        </w:tc>
        <w:tc>
          <w:tcPr>
            <w:tcW w:w="3639" w:type="dxa"/>
            <w:tcBorders>
              <w:top w:val="nil"/>
            </w:tcBorders>
            <w:shd w:color="auto" w:fill="auto" w:val="clear"/>
          </w:tcPr>
          <w:p>
            <w:pPr>
              <w:pStyle w:val="37"/>
              <w:widowControl w:val="false"/>
              <w:numPr>
                <w:ilvl w:val="0"/>
                <w:numId w:val="0"/>
              </w:numPr>
              <w:spacing w:before="0" w:after="0"/>
              <w:ind w:left="0" w:hanging="0"/>
              <w:rPr>
                <w:rFonts w:ascii="Times New Roman" w:hAnsi="Times New Roman" w:eastAsia="Calibri" w:cs="Times New Roman"/>
                <w:color w:val="auto"/>
                <w:kern w:val="0"/>
                <w:sz w:val="24"/>
                <w:szCs w:val="24"/>
                <w:lang w:val="ru-RU" w:eastAsia="en-US" w:bidi="ar-SA"/>
              </w:rPr>
            </w:pPr>
            <w:r>
              <w:rPr>
                <w:rFonts w:eastAsia="Calibri" w:cs="Times New Roman"/>
                <w:color w:val="auto"/>
                <w:kern w:val="0"/>
                <w:sz w:val="24"/>
                <w:szCs w:val="24"/>
                <w:lang w:val="ru-RU" w:eastAsia="en-US" w:bidi="ar-SA"/>
              </w:rPr>
              <w:t>Функцию удаленного доступа (с возможностью дистанционного управления без отключения от сети) и иметь возможность выдачи сигналов на центральную сигнализацию и верхний уровень</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eastAsia="Calibri" w:cs="Times New Roman"/>
                <w:color w:val="auto"/>
                <w:kern w:val="0"/>
                <w:sz w:val="24"/>
                <w:szCs w:val="24"/>
                <w:lang w:val="ru-RU" w:eastAsia="en-US" w:bidi="ar-SA"/>
              </w:rPr>
            </w:pPr>
            <w:r>
              <w:rPr>
                <w:rFonts w:eastAsia="Calibri" w:cs="Times New Roman" w:ascii="Times New Roman" w:hAnsi="Times New Roman"/>
                <w:color w:val="auto"/>
                <w:kern w:val="0"/>
                <w:sz w:val="24"/>
                <w:szCs w:val="24"/>
                <w:lang w:val="ru-RU" w:eastAsia="en-US" w:bidi="ar-SA"/>
              </w:rPr>
              <w:t>требуется</w:t>
            </w:r>
          </w:p>
        </w:tc>
        <w:tc>
          <w:tcPr>
            <w:tcW w:w="2134" w:type="dxa"/>
            <w:tcBorders>
              <w:top w:val="nil"/>
            </w:tcBorders>
            <w:shd w:color="auto" w:fill="auto" w:val="clear"/>
          </w:tcPr>
          <w:p>
            <w:pPr>
              <w:pStyle w:val="Normal"/>
              <w:widowControl w:val="false"/>
              <w:suppressAutoHyphens w:val="true"/>
              <w:spacing w:before="0" w:after="0"/>
              <w:jc w:val="center"/>
              <w:rPr>
                <w:highlight w:val="none"/>
                <w:shd w:fill="auto" w:val="clear"/>
              </w:rPr>
            </w:pPr>
            <w:r>
              <w:rPr>
                <w:rFonts w:eastAsia="Times New Roman" w:cs="Times New Roman"/>
                <w:iCs/>
                <w:kern w:val="0"/>
                <w:sz w:val="24"/>
                <w:szCs w:val="24"/>
                <w:shd w:fill="auto" w:val="clear"/>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t>‍</w:t>
            </w:r>
          </w:p>
        </w:tc>
        <w:tc>
          <w:tcPr>
            <w:tcW w:w="3639" w:type="dxa"/>
            <w:tcBorders>
              <w:top w:val="nil"/>
            </w:tcBorders>
            <w:shd w:color="auto" w:fill="auto" w:val="clear"/>
          </w:tcPr>
          <w:p>
            <w:pPr>
              <w:pStyle w:val="37"/>
              <w:widowControl w:val="false"/>
              <w:numPr>
                <w:ilvl w:val="0"/>
                <w:numId w:val="0"/>
              </w:numPr>
              <w:spacing w:before="0" w:after="0"/>
              <w:ind w:left="0" w:hanging="0"/>
              <w:rPr>
                <w:sz w:val="24"/>
                <w:szCs w:val="24"/>
              </w:rPr>
            </w:pPr>
            <w:r>
              <w:rPr>
                <w:sz w:val="24"/>
                <w:szCs w:val="24"/>
              </w:rPr>
              <w:t>Все изменения режимов компенсируемой сети и работы устройства должны сохраняться в памяти устройства</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eastAsia="Calibri" w:cs="Times New Roman"/>
                <w:color w:val="auto"/>
                <w:kern w:val="0"/>
                <w:sz w:val="24"/>
                <w:szCs w:val="24"/>
                <w:lang w:val="ru-RU" w:eastAsia="en-US" w:bidi="ar-SA"/>
              </w:rPr>
            </w:pPr>
            <w:r>
              <w:rPr>
                <w:rFonts w:eastAsia="Calibri" w:cs="Times New Roman" w:ascii="Times New Roman" w:hAnsi="Times New Roman"/>
                <w:color w:val="auto"/>
                <w:kern w:val="0"/>
                <w:sz w:val="24"/>
                <w:szCs w:val="24"/>
                <w:lang w:val="ru-RU" w:eastAsia="en-US" w:bidi="ar-SA"/>
              </w:rPr>
              <w:t>требуется</w:t>
            </w:r>
          </w:p>
        </w:tc>
        <w:tc>
          <w:tcPr>
            <w:tcW w:w="2134" w:type="dxa"/>
            <w:tcBorders>
              <w:top w:val="nil"/>
            </w:tcBorders>
            <w:shd w:color="auto" w:fill="auto" w:val="clear"/>
          </w:tcPr>
          <w:p>
            <w:pPr>
              <w:pStyle w:val="Normal"/>
              <w:widowControl w:val="false"/>
              <w:suppressAutoHyphens w:val="true"/>
              <w:spacing w:before="0" w:after="0"/>
              <w:jc w:val="center"/>
              <w:rPr>
                <w:highlight w:val="none"/>
                <w:shd w:fill="auto" w:val="clear"/>
              </w:rPr>
            </w:pPr>
            <w:r>
              <w:rPr>
                <w:rFonts w:eastAsia="Times New Roman" w:cs="Times New Roman"/>
                <w:iCs/>
                <w:kern w:val="0"/>
                <w:sz w:val="24"/>
                <w:szCs w:val="24"/>
                <w:shd w:fill="auto" w:val="clear"/>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r>
          </w:p>
        </w:tc>
      </w:tr>
      <w:tr>
        <w:trPr/>
        <w:tc>
          <w:tcPr>
            <w:tcW w:w="912" w:type="dxa"/>
            <w:tcBorders>
              <w:top w:val="nil"/>
            </w:tcBorders>
            <w:vAlign w:val="center"/>
          </w:tcPr>
          <w:p>
            <w:pPr>
              <w:pStyle w:val="ListParagraph"/>
              <w:widowControl w:val="false"/>
              <w:numPr>
                <w:ilvl w:val="0"/>
                <w:numId w:val="15"/>
              </w:numPr>
              <w:suppressAutoHyphens w:val="true"/>
              <w:spacing w:before="60" w:after="60"/>
              <w:ind w:left="1224" w:hanging="1199"/>
              <w:contextualSpacing/>
              <w:jc w:val="center"/>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t>‍</w:t>
            </w:r>
          </w:p>
        </w:tc>
        <w:tc>
          <w:tcPr>
            <w:tcW w:w="3639" w:type="dxa"/>
            <w:tcBorders>
              <w:top w:val="nil"/>
            </w:tcBorders>
            <w:shd w:color="auto" w:fill="auto" w:val="clear"/>
          </w:tcPr>
          <w:p>
            <w:pPr>
              <w:pStyle w:val="37"/>
              <w:widowControl w:val="false"/>
              <w:numPr>
                <w:ilvl w:val="0"/>
                <w:numId w:val="0"/>
              </w:numPr>
              <w:spacing w:before="0" w:after="120"/>
              <w:ind w:left="0" w:hanging="0"/>
              <w:rPr>
                <w:sz w:val="24"/>
                <w:szCs w:val="24"/>
              </w:rPr>
            </w:pPr>
            <w:r>
              <w:rPr>
                <w:sz w:val="24"/>
                <w:szCs w:val="24"/>
              </w:rPr>
              <w:t>Система автоматической настройки и управления устройствами компенсации ёмкостного тока должна сохранять работоспособность при разных режимах эксплуатации сети и видах однофазного замыкания на землю, в т. ч. замыканиях через высокое переходное сопротивление, а также в сетях с низкой добротностью контура нулевой последовательности</w:t>
            </w:r>
          </w:p>
        </w:tc>
        <w:tc>
          <w:tcPr>
            <w:tcW w:w="5340"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eastAsia="Calibri" w:cs="Times New Roman"/>
                <w:color w:val="auto"/>
                <w:kern w:val="0"/>
                <w:sz w:val="24"/>
                <w:szCs w:val="24"/>
                <w:lang w:val="ru-RU" w:eastAsia="en-US" w:bidi="ar-SA"/>
              </w:rPr>
            </w:pPr>
            <w:r>
              <w:rPr>
                <w:rFonts w:eastAsia="Calibri" w:cs="Times New Roman" w:ascii="Times New Roman" w:hAnsi="Times New Roman"/>
                <w:color w:val="auto"/>
                <w:kern w:val="0"/>
                <w:sz w:val="24"/>
                <w:szCs w:val="24"/>
                <w:lang w:val="ru-RU" w:eastAsia="en-US" w:bidi="ar-SA"/>
              </w:rPr>
              <w:t>требуется</w:t>
            </w:r>
          </w:p>
        </w:tc>
        <w:tc>
          <w:tcPr>
            <w:tcW w:w="2134" w:type="dxa"/>
            <w:tcBorders>
              <w:top w:val="nil"/>
            </w:tcBorders>
            <w:shd w:color="auto" w:fill="auto" w:val="clear"/>
          </w:tcPr>
          <w:p>
            <w:pPr>
              <w:pStyle w:val="Normal"/>
              <w:widowControl w:val="false"/>
              <w:suppressAutoHyphens w:val="true"/>
              <w:spacing w:before="0" w:after="0"/>
              <w:jc w:val="center"/>
              <w:rPr>
                <w:highlight w:val="none"/>
                <w:shd w:fill="auto" w:val="clear"/>
              </w:rPr>
            </w:pPr>
            <w:r>
              <w:rPr>
                <w:rFonts w:eastAsia="Times New Roman" w:cs="Times New Roman"/>
                <w:iCs/>
                <w:kern w:val="0"/>
                <w:sz w:val="24"/>
                <w:szCs w:val="24"/>
                <w:shd w:fill="auto" w:val="clear"/>
                <w:lang w:val="ru-RU" w:eastAsia="ru-RU" w:bidi="ar-SA"/>
              </w:rPr>
              <w:t>Согласие с требованием</w:t>
            </w:r>
          </w:p>
        </w:tc>
        <w:tc>
          <w:tcPr>
            <w:tcW w:w="3284"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r>
          </w:p>
        </w:tc>
      </w:tr>
    </w:tbl>
    <w:p>
      <w:pPr>
        <w:pStyle w:val="Style29"/>
        <w:numPr>
          <w:ilvl w:val="0"/>
          <w:numId w:val="0"/>
        </w:numPr>
        <w:spacing w:before="60" w:after="120"/>
        <w:ind w:left="0" w:hanging="0"/>
        <w:jc w:val="left"/>
        <w:outlineLvl w:val="0"/>
        <w:rPr/>
      </w:pPr>
      <w:r>
        <w:rPr/>
      </w:r>
    </w:p>
    <w:p>
      <w:pPr>
        <w:pStyle w:val="Style29"/>
        <w:numPr>
          <w:ilvl w:val="0"/>
          <w:numId w:val="0"/>
        </w:numPr>
        <w:spacing w:before="60" w:after="120"/>
        <w:ind w:left="0" w:hanging="0"/>
        <w:jc w:val="left"/>
        <w:outlineLvl w:val="0"/>
        <w:rPr>
          <w:rFonts w:ascii="Times New Roman" w:hAnsi="Times New Roman" w:eastAsia="Calibri" w:cs="Times New Roman"/>
          <w:b/>
          <w:color w:val="auto"/>
          <w:kern w:val="0"/>
          <w:sz w:val="24"/>
          <w:szCs w:val="24"/>
          <w:lang w:val="x-none" w:eastAsia="x-none" w:bidi="ar-SA"/>
        </w:rPr>
      </w:pPr>
      <w:bookmarkStart w:id="69" w:name="__RefHeading___Toc31176_2499545058"/>
      <w:bookmarkStart w:id="70" w:name="_Toc54970214_Копия_1_Копия_1"/>
      <w:bookmarkEnd w:id="69"/>
      <w:r>
        <w:rPr>
          <w:rFonts w:eastAsia="Calibri" w:cs="Times New Roman"/>
          <w:b/>
          <w:color w:val="auto"/>
          <w:kern w:val="0"/>
          <w:sz w:val="24"/>
          <w:szCs w:val="24"/>
          <w:lang w:val="x-none" w:eastAsia="x-none" w:bidi="ar-SA"/>
        </w:rPr>
        <w:t xml:space="preserve">Таблица 4.3 </w:t>
      </w:r>
      <w:bookmarkEnd w:id="70"/>
      <w:r>
        <w:rPr>
          <w:rFonts w:eastAsia="Calibri" w:cs="Times New Roman"/>
          <w:b/>
          <w:color w:val="auto"/>
          <w:kern w:val="0"/>
          <w:sz w:val="24"/>
          <w:szCs w:val="24"/>
          <w:lang w:val="x-none" w:eastAsia="x-none" w:bidi="ar-SA"/>
        </w:rPr>
        <w:t>Технические характеристики разъединителя 15,75 кВ</w:t>
      </w:r>
    </w:p>
    <w:p>
      <w:pPr>
        <w:pStyle w:val="LHP"/>
        <w:widowControl w:val="false"/>
        <w:spacing w:lineRule="auto" w:line="240" w:before="60" w:after="60"/>
        <w:ind w:left="170" w:right="284" w:hanging="0"/>
        <w:rPr>
          <w:i/>
          <w:i/>
          <w:sz w:val="24"/>
        </w:rPr>
      </w:pPr>
      <w:r>
        <w:rPr>
          <w:rFonts w:eastAsia="Calibri" w:cs="Times New Roman"/>
          <w:b/>
          <w:i/>
          <w:color w:val="auto"/>
          <w:kern w:val="0"/>
          <w:sz w:val="24"/>
          <w:szCs w:val="24"/>
          <w:lang w:val="ru-RU" w:eastAsia="x-none" w:bidi="ar-SA"/>
        </w:rPr>
        <w:t>Примечание: Параметры, отмеченные *, должны быть представлены Поставщиком в составе заявки, с указанием завода-изготовителя в п.1 вышеуказанной таблицы</w:t>
      </w:r>
    </w:p>
    <w:tbl>
      <w:tblPr>
        <w:tblStyle w:val="af"/>
        <w:tblW w:w="15309" w:type="dxa"/>
        <w:jc w:val="left"/>
        <w:tblInd w:w="108" w:type="dxa"/>
        <w:tblLayout w:type="fixed"/>
        <w:tblCellMar>
          <w:top w:w="0" w:type="dxa"/>
          <w:left w:w="108" w:type="dxa"/>
          <w:bottom w:w="0" w:type="dxa"/>
          <w:right w:w="108" w:type="dxa"/>
        </w:tblCellMar>
        <w:tblLook w:noVBand="1" w:val="04a0" w:noHBand="0" w:lastColumn="0" w:firstColumn="1" w:lastRow="0" w:firstRow="1"/>
      </w:tblPr>
      <w:tblGrid>
        <w:gridCol w:w="912"/>
        <w:gridCol w:w="3948"/>
        <w:gridCol w:w="5104"/>
        <w:gridCol w:w="2003"/>
        <w:gridCol w:w="3342"/>
      </w:tblGrid>
      <w:tr>
        <w:trPr/>
        <w:tc>
          <w:tcPr>
            <w:tcW w:w="912" w:type="dxa"/>
            <w:vMerge w:val="restart"/>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 xml:space="preserve">№ </w:t>
            </w:r>
            <w:r>
              <w:rPr>
                <w:rFonts w:eastAsia="Times New Roman" w:cs="Times New Roman"/>
                <w:b/>
                <w:bCs/>
                <w:kern w:val="0"/>
                <w:sz w:val="24"/>
                <w:szCs w:val="24"/>
                <w:lang w:val="ru-RU" w:eastAsia="ru-RU" w:bidi="ar-SA"/>
              </w:rPr>
              <w:t>п/п</w:t>
            </w:r>
          </w:p>
        </w:tc>
        <w:tc>
          <w:tcPr>
            <w:tcW w:w="3948" w:type="dxa"/>
            <w:vMerge w:val="restart"/>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Наименование параметра</w:t>
            </w:r>
          </w:p>
        </w:tc>
        <w:tc>
          <w:tcPr>
            <w:tcW w:w="5104" w:type="dxa"/>
            <w:vMerge w:val="restart"/>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Требование Заказчика</w:t>
            </w:r>
          </w:p>
        </w:tc>
        <w:tc>
          <w:tcPr>
            <w:tcW w:w="5345" w:type="dxa"/>
            <w:gridSpan w:val="2"/>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Способ подтверждения Участником соответствия требованиям</w:t>
            </w:r>
          </w:p>
        </w:tc>
      </w:tr>
      <w:tr>
        <w:trPr/>
        <w:tc>
          <w:tcPr>
            <w:tcW w:w="912" w:type="dxa"/>
            <w:vMerge w:val="continue"/>
            <w:tcBorders/>
            <w:vAlign w:val="center"/>
          </w:tcPr>
          <w:p>
            <w:pPr>
              <w:pStyle w:val="Normal"/>
              <w:widowControl w:val="false"/>
              <w:suppressAutoHyphens w:val="true"/>
              <w:spacing w:before="0" w:after="0"/>
              <w:jc w:val="center"/>
              <w:rPr>
                <w:rFonts w:ascii="Times New Roman" w:hAnsi="Times New Roman" w:eastAsia="Times New Roman" w:cs="Times New Roman"/>
                <w:b/>
                <w:bCs/>
                <w:kern w:val="0"/>
                <w:sz w:val="24"/>
                <w:szCs w:val="24"/>
                <w:lang w:val="ru-RU" w:eastAsia="ru-RU" w:bidi="ar-SA"/>
              </w:rPr>
            </w:pPr>
            <w:r>
              <w:rPr>
                <w:rFonts w:eastAsia="Times New Roman" w:cs="Times New Roman"/>
                <w:b/>
                <w:bCs/>
                <w:kern w:val="0"/>
                <w:sz w:val="24"/>
                <w:szCs w:val="24"/>
                <w:lang w:val="ru-RU" w:eastAsia="ru-RU" w:bidi="ar-SA"/>
              </w:rPr>
            </w:r>
          </w:p>
        </w:tc>
        <w:tc>
          <w:tcPr>
            <w:tcW w:w="3948" w:type="dxa"/>
            <w:vMerge w:val="continue"/>
            <w:tcBorders/>
            <w:vAlign w:val="center"/>
          </w:tcPr>
          <w:p>
            <w:pPr>
              <w:pStyle w:val="Normal"/>
              <w:widowControl w:val="false"/>
              <w:suppressAutoHyphens w:val="true"/>
              <w:spacing w:before="0" w:after="0"/>
              <w:jc w:val="center"/>
              <w:rPr>
                <w:rFonts w:ascii="Times New Roman" w:hAnsi="Times New Roman" w:eastAsia="Times New Roman" w:cs="Times New Roman"/>
                <w:b/>
                <w:bCs/>
                <w:kern w:val="0"/>
                <w:sz w:val="24"/>
                <w:szCs w:val="24"/>
                <w:lang w:val="ru-RU" w:eastAsia="ru-RU" w:bidi="ar-SA"/>
              </w:rPr>
            </w:pPr>
            <w:r>
              <w:rPr>
                <w:rFonts w:eastAsia="Times New Roman" w:cs="Times New Roman"/>
                <w:b/>
                <w:bCs/>
                <w:kern w:val="0"/>
                <w:sz w:val="24"/>
                <w:szCs w:val="24"/>
                <w:lang w:val="ru-RU" w:eastAsia="ru-RU" w:bidi="ar-SA"/>
              </w:rPr>
            </w:r>
          </w:p>
        </w:tc>
        <w:tc>
          <w:tcPr>
            <w:tcW w:w="5104" w:type="dxa"/>
            <w:vMerge w:val="continue"/>
            <w:tcBorders/>
            <w:vAlign w:val="center"/>
          </w:tcPr>
          <w:p>
            <w:pPr>
              <w:pStyle w:val="Normal"/>
              <w:widowControl w:val="false"/>
              <w:suppressAutoHyphens w:val="true"/>
              <w:spacing w:before="0" w:after="0"/>
              <w:jc w:val="center"/>
              <w:rPr>
                <w:rFonts w:ascii="Times New Roman" w:hAnsi="Times New Roman" w:eastAsia="Times New Roman" w:cs="Times New Roman"/>
                <w:b/>
                <w:bCs/>
                <w:kern w:val="0"/>
                <w:sz w:val="24"/>
                <w:szCs w:val="24"/>
                <w:lang w:val="ru-RU" w:eastAsia="ru-RU" w:bidi="ar-SA"/>
              </w:rPr>
            </w:pPr>
            <w:r>
              <w:rPr>
                <w:rFonts w:eastAsia="Times New Roman" w:cs="Times New Roman"/>
                <w:b/>
                <w:bCs/>
                <w:kern w:val="0"/>
                <w:sz w:val="24"/>
                <w:szCs w:val="24"/>
                <w:lang w:val="ru-RU" w:eastAsia="ru-RU" w:bidi="ar-SA"/>
              </w:rPr>
            </w:r>
          </w:p>
        </w:tc>
        <w:tc>
          <w:tcPr>
            <w:tcW w:w="2003"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Согласие с требованием/ указание характеристик</w:t>
            </w:r>
          </w:p>
        </w:tc>
        <w:tc>
          <w:tcPr>
            <w:tcW w:w="3342"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Предоставление подтверждающего документа или иной способ подтверждения</w:t>
            </w:r>
          </w:p>
        </w:tc>
      </w:tr>
      <w:tr>
        <w:trPr/>
        <w:tc>
          <w:tcPr>
            <w:tcW w:w="912"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1</w:t>
            </w:r>
          </w:p>
        </w:tc>
        <w:tc>
          <w:tcPr>
            <w:tcW w:w="3948"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2</w:t>
            </w:r>
          </w:p>
        </w:tc>
        <w:tc>
          <w:tcPr>
            <w:tcW w:w="5104"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3</w:t>
            </w:r>
          </w:p>
        </w:tc>
        <w:tc>
          <w:tcPr>
            <w:tcW w:w="2003"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4</w:t>
            </w:r>
          </w:p>
        </w:tc>
        <w:tc>
          <w:tcPr>
            <w:tcW w:w="3342"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5</w:t>
            </w:r>
          </w:p>
        </w:tc>
      </w:tr>
      <w:tr>
        <w:trPr/>
        <w:tc>
          <w:tcPr>
            <w:tcW w:w="9964" w:type="dxa"/>
            <w:gridSpan w:val="3"/>
            <w:tcBorders/>
            <w:vAlign w:val="center"/>
          </w:tcPr>
          <w:p>
            <w:pPr>
              <w:pStyle w:val="Normal"/>
              <w:widowControl w:val="false"/>
              <w:numPr>
                <w:ilvl w:val="0"/>
              </w:numPr>
              <w:jc w:val="left"/>
              <w:rPr>
                <w:rFonts w:ascii="Times New Roman" w:hAnsi="Times New Roman" w:eastAsia="Sylfaen" w:cs="Times New Roman"/>
                <w:b/>
                <w:bCs/>
                <w:color w:val="auto"/>
                <w:kern w:val="0"/>
                <w:sz w:val="24"/>
                <w:szCs w:val="24"/>
                <w:lang w:val="ru-RU" w:eastAsia="ru-RU" w:bidi="ar-SA"/>
              </w:rPr>
            </w:pPr>
            <w:bookmarkStart w:id="71" w:name="__RefHeading___Toc31178_2499545058"/>
            <w:bookmarkEnd w:id="71"/>
            <w:r>
              <w:rPr>
                <w:rFonts w:eastAsia="Sylfaen" w:cs="Times New Roman"/>
                <w:b/>
                <w:bCs/>
                <w:color w:val="auto"/>
                <w:kern w:val="0"/>
                <w:sz w:val="24"/>
                <w:szCs w:val="24"/>
                <w:lang w:val="ru-RU" w:eastAsia="ru-RU" w:bidi="ar-SA"/>
              </w:rPr>
              <w:t>Технические характеристики разъединителя 15,75 кВ</w:t>
            </w:r>
          </w:p>
        </w:tc>
        <w:tc>
          <w:tcPr>
            <w:tcW w:w="2003"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3342"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912" w:type="dxa"/>
            <w:tcBorders/>
            <w:vAlign w:val="center"/>
          </w:tcPr>
          <w:p>
            <w:pPr>
              <w:pStyle w:val="ListParagraph"/>
              <w:widowControl w:val="false"/>
              <w:numPr>
                <w:ilvl w:val="0"/>
                <w:numId w:val="16"/>
              </w:numPr>
              <w:suppressAutoHyphens w:val="true"/>
              <w:spacing w:before="60" w:after="60"/>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948" w:type="dxa"/>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Изготовитель</w:t>
            </w:r>
          </w:p>
        </w:tc>
        <w:tc>
          <w:tcPr>
            <w:tcW w:w="5104" w:type="dxa"/>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w:t>
            </w:r>
          </w:p>
        </w:tc>
        <w:tc>
          <w:tcPr>
            <w:tcW w:w="2003" w:type="dxa"/>
            <w:tcBorders/>
            <w:shd w:color="auto" w:fill="auto" w:val="clear"/>
          </w:tcPr>
          <w:p>
            <w:pPr>
              <w:pStyle w:val="Normal"/>
              <w:widowControl w:val="false"/>
              <w:suppressAutoHyphens w:val="true"/>
              <w:spacing w:before="0" w:after="0"/>
              <w:jc w:val="center"/>
              <w:rPr>
                <w:b w:val="false"/>
                <w:bCs w:val="false"/>
                <w:i/>
                <w:i/>
                <w:iCs/>
              </w:rPr>
            </w:pPr>
            <w:r>
              <w:rPr>
                <w:b w:val="false"/>
                <w:bCs w:val="false"/>
                <w:i/>
                <w:iCs/>
                <w:sz w:val="24"/>
                <w:szCs w:val="24"/>
              </w:rPr>
              <w:t>Указание характеристик</w:t>
            </w:r>
          </w:p>
        </w:tc>
        <w:tc>
          <w:tcPr>
            <w:tcW w:w="3342" w:type="dxa"/>
            <w:tcBorders/>
            <w:shd w:color="auto" w:fill="auto" w:val="clear"/>
          </w:tcPr>
          <w:p>
            <w:pPr>
              <w:pStyle w:val="Normal"/>
              <w:widowControl w:val="false"/>
              <w:suppressAutoHyphens w:val="true"/>
              <w:spacing w:before="0" w:after="0"/>
              <w:jc w:val="left"/>
              <w:rPr>
                <w:i/>
                <w:i/>
                <w:iCs/>
                <w:sz w:val="24"/>
                <w:szCs w:val="28"/>
              </w:rPr>
            </w:pPr>
            <w:r>
              <w:rPr>
                <w:rFonts w:eastAsia="Times New Roman" w:cs="Times New Roman"/>
                <w:i/>
                <w:iCs/>
                <w:kern w:val="0"/>
                <w:sz w:val="24"/>
                <w:szCs w:val="24"/>
                <w:lang w:val="ru-RU" w:eastAsia="ru-RU" w:bidi="ar-SA"/>
              </w:rPr>
              <w:t>Предоставление подтверждающего документа</w:t>
            </w:r>
          </w:p>
        </w:tc>
      </w:tr>
      <w:tr>
        <w:trPr/>
        <w:tc>
          <w:tcPr>
            <w:tcW w:w="912" w:type="dxa"/>
            <w:tcBorders/>
            <w:vAlign w:val="center"/>
          </w:tcPr>
          <w:p>
            <w:pPr>
              <w:pStyle w:val="ListParagraph"/>
              <w:widowControl w:val="false"/>
              <w:numPr>
                <w:ilvl w:val="0"/>
                <w:numId w:val="16"/>
              </w:numPr>
              <w:suppressAutoHyphens w:val="true"/>
              <w:spacing w:before="60" w:after="60"/>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948" w:type="dxa"/>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Заводской тип (марка)</w:t>
            </w:r>
          </w:p>
        </w:tc>
        <w:tc>
          <w:tcPr>
            <w:tcW w:w="5104" w:type="dxa"/>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w:t>
            </w:r>
          </w:p>
        </w:tc>
        <w:tc>
          <w:tcPr>
            <w:tcW w:w="2003" w:type="dxa"/>
            <w:tcBorders/>
            <w:shd w:color="auto" w:fill="auto" w:val="clear"/>
          </w:tcPr>
          <w:p>
            <w:pPr>
              <w:pStyle w:val="Normal"/>
              <w:widowControl w:val="false"/>
              <w:suppressAutoHyphens w:val="true"/>
              <w:spacing w:before="0" w:after="0"/>
              <w:jc w:val="center"/>
              <w:rPr>
                <w:b w:val="false"/>
                <w:bCs w:val="false"/>
                <w:i/>
                <w:i/>
                <w:iCs/>
              </w:rPr>
            </w:pPr>
            <w:r>
              <w:rPr>
                <w:b w:val="false"/>
                <w:bCs w:val="false"/>
                <w:i/>
                <w:iCs/>
                <w:sz w:val="24"/>
                <w:szCs w:val="24"/>
              </w:rPr>
              <w:t>Указание характеристик</w:t>
            </w:r>
          </w:p>
        </w:tc>
        <w:tc>
          <w:tcPr>
            <w:tcW w:w="3342" w:type="dxa"/>
            <w:tcBorders/>
            <w:shd w:color="auto" w:fill="auto" w:val="clear"/>
          </w:tcPr>
          <w:p>
            <w:pPr>
              <w:pStyle w:val="Normal"/>
              <w:widowControl w:val="false"/>
              <w:suppressAutoHyphens w:val="true"/>
              <w:spacing w:before="0" w:after="0"/>
              <w:jc w:val="left"/>
              <w:rPr>
                <w:i/>
                <w:i/>
                <w:iCs/>
                <w:sz w:val="24"/>
                <w:szCs w:val="28"/>
              </w:rPr>
            </w:pPr>
            <w:r>
              <w:rPr>
                <w:i/>
                <w:iCs/>
                <w:sz w:val="24"/>
                <w:szCs w:val="28"/>
              </w:rPr>
              <w:t>Предоставление подтверждающего документа</w:t>
            </w:r>
          </w:p>
        </w:tc>
      </w:tr>
      <w:tr>
        <w:trPr/>
        <w:tc>
          <w:tcPr>
            <w:tcW w:w="912" w:type="dxa"/>
            <w:tcBorders>
              <w:top w:val="nil"/>
            </w:tcBorders>
            <w:vAlign w:val="center"/>
          </w:tcPr>
          <w:p>
            <w:pPr>
              <w:pStyle w:val="ListParagraph"/>
              <w:widowControl w:val="false"/>
              <w:numPr>
                <w:ilvl w:val="0"/>
                <w:numId w:val="16"/>
              </w:numPr>
              <w:suppressAutoHyphens w:val="true"/>
              <w:spacing w:before="60" w:after="60"/>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948"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Количество полюсов</w:t>
            </w:r>
          </w:p>
        </w:tc>
        <w:tc>
          <w:tcPr>
            <w:tcW w:w="5104"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Однополюсный</w:t>
            </w:r>
          </w:p>
        </w:tc>
        <w:tc>
          <w:tcPr>
            <w:tcW w:w="2003"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342"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t>Предоставление подтверждающего документа</w:t>
            </w:r>
          </w:p>
        </w:tc>
      </w:tr>
      <w:tr>
        <w:trPr/>
        <w:tc>
          <w:tcPr>
            <w:tcW w:w="912" w:type="dxa"/>
            <w:tcBorders>
              <w:top w:val="nil"/>
            </w:tcBorders>
            <w:vAlign w:val="center"/>
          </w:tcPr>
          <w:p>
            <w:pPr>
              <w:pStyle w:val="ListParagraph"/>
              <w:widowControl w:val="false"/>
              <w:numPr>
                <w:ilvl w:val="0"/>
                <w:numId w:val="16"/>
              </w:numPr>
              <w:suppressAutoHyphens w:val="true"/>
              <w:spacing w:before="60" w:after="60"/>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948"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Номинальная частота, Гц</w:t>
            </w:r>
          </w:p>
        </w:tc>
        <w:tc>
          <w:tcPr>
            <w:tcW w:w="5104"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50</w:t>
            </w:r>
          </w:p>
        </w:tc>
        <w:tc>
          <w:tcPr>
            <w:tcW w:w="2003"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342"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t>Предоставление подтверждающего документа</w:t>
            </w:r>
          </w:p>
        </w:tc>
      </w:tr>
      <w:tr>
        <w:trPr/>
        <w:tc>
          <w:tcPr>
            <w:tcW w:w="912" w:type="dxa"/>
            <w:tcBorders>
              <w:top w:val="nil"/>
            </w:tcBorders>
            <w:vAlign w:val="center"/>
          </w:tcPr>
          <w:p>
            <w:pPr>
              <w:pStyle w:val="ListParagraph"/>
              <w:widowControl w:val="false"/>
              <w:numPr>
                <w:ilvl w:val="0"/>
                <w:numId w:val="16"/>
              </w:numPr>
              <w:suppressAutoHyphens w:val="true"/>
              <w:spacing w:before="60" w:after="60"/>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948"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Номинальное напряжение, кВ</w:t>
            </w:r>
          </w:p>
        </w:tc>
        <w:tc>
          <w:tcPr>
            <w:tcW w:w="5104"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15,75/√3</w:t>
            </w:r>
          </w:p>
        </w:tc>
        <w:tc>
          <w:tcPr>
            <w:tcW w:w="2003"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342"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t>Предоставление подтверждающего документа</w:t>
            </w:r>
          </w:p>
        </w:tc>
      </w:tr>
      <w:tr>
        <w:trPr/>
        <w:tc>
          <w:tcPr>
            <w:tcW w:w="912" w:type="dxa"/>
            <w:tcBorders>
              <w:top w:val="nil"/>
            </w:tcBorders>
            <w:vAlign w:val="center"/>
          </w:tcPr>
          <w:p>
            <w:pPr>
              <w:pStyle w:val="ListParagraph"/>
              <w:widowControl w:val="false"/>
              <w:numPr>
                <w:ilvl w:val="0"/>
                <w:numId w:val="16"/>
              </w:numPr>
              <w:suppressAutoHyphens w:val="true"/>
              <w:spacing w:before="60" w:after="60"/>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948"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Наибольшее рабочее напряжение, кВ</w:t>
            </w:r>
          </w:p>
        </w:tc>
        <w:tc>
          <w:tcPr>
            <w:tcW w:w="5104"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17,5/√3</w:t>
            </w:r>
          </w:p>
        </w:tc>
        <w:tc>
          <w:tcPr>
            <w:tcW w:w="2003"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342"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t>Предоставление подтверждающего документа</w:t>
            </w:r>
          </w:p>
        </w:tc>
      </w:tr>
      <w:tr>
        <w:trPr/>
        <w:tc>
          <w:tcPr>
            <w:tcW w:w="912" w:type="dxa"/>
            <w:tcBorders>
              <w:top w:val="nil"/>
            </w:tcBorders>
            <w:vAlign w:val="center"/>
          </w:tcPr>
          <w:p>
            <w:pPr>
              <w:pStyle w:val="ListParagraph"/>
              <w:widowControl w:val="false"/>
              <w:numPr>
                <w:ilvl w:val="0"/>
                <w:numId w:val="16"/>
              </w:numPr>
              <w:suppressAutoHyphens w:val="true"/>
              <w:spacing w:before="60" w:after="60"/>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948"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Номинальный ток, А</w:t>
            </w:r>
          </w:p>
        </w:tc>
        <w:tc>
          <w:tcPr>
            <w:tcW w:w="5104"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17,6</w:t>
            </w:r>
          </w:p>
        </w:tc>
        <w:tc>
          <w:tcPr>
            <w:tcW w:w="2003"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342"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t>Предоставление подтверждающего документа</w:t>
            </w:r>
          </w:p>
        </w:tc>
      </w:tr>
      <w:tr>
        <w:trPr/>
        <w:tc>
          <w:tcPr>
            <w:tcW w:w="912" w:type="dxa"/>
            <w:tcBorders>
              <w:top w:val="nil"/>
            </w:tcBorders>
            <w:vAlign w:val="center"/>
          </w:tcPr>
          <w:p>
            <w:pPr>
              <w:pStyle w:val="ListParagraph"/>
              <w:widowControl w:val="false"/>
              <w:numPr>
                <w:ilvl w:val="0"/>
                <w:numId w:val="16"/>
              </w:numPr>
              <w:suppressAutoHyphens w:val="true"/>
              <w:spacing w:before="60" w:after="60"/>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948"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Наличие заземлителей</w:t>
            </w:r>
          </w:p>
        </w:tc>
        <w:tc>
          <w:tcPr>
            <w:tcW w:w="5104" w:type="dxa"/>
            <w:tcBorders>
              <w:top w:val="nil"/>
            </w:tcBorders>
            <w:shd w:color="auto" w:fill="auto" w:val="clear"/>
          </w:tcPr>
          <w:p>
            <w:pPr>
              <w:pStyle w:val="29"/>
              <w:widowControl w:val="false"/>
              <w:shd w:val="clear" w:color="auto" w:fill="auto"/>
              <w:spacing w:lineRule="auto" w:line="240" w:before="0" w:after="0"/>
              <w:jc w:val="center"/>
              <w:rPr/>
            </w:pPr>
            <w:r>
              <w:rPr>
                <w:rFonts w:cs="Times New Roman" w:ascii="Times New Roman" w:hAnsi="Times New Roman"/>
                <w:kern w:val="0"/>
                <w:sz w:val="24"/>
                <w:szCs w:val="24"/>
                <w:lang w:val="ru-RU" w:eastAsia="ru-RU" w:bidi="ar-SA"/>
              </w:rPr>
              <w:t>отсутствуют</w:t>
            </w:r>
          </w:p>
        </w:tc>
        <w:tc>
          <w:tcPr>
            <w:tcW w:w="2003"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342"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t>Предоставление подтверждающего документа</w:t>
            </w:r>
          </w:p>
        </w:tc>
      </w:tr>
      <w:tr>
        <w:trPr/>
        <w:tc>
          <w:tcPr>
            <w:tcW w:w="912" w:type="dxa"/>
            <w:tcBorders>
              <w:top w:val="nil"/>
            </w:tcBorders>
            <w:vAlign w:val="center"/>
          </w:tcPr>
          <w:p>
            <w:pPr>
              <w:pStyle w:val="ListParagraph"/>
              <w:widowControl w:val="false"/>
              <w:numPr>
                <w:ilvl w:val="0"/>
                <w:numId w:val="16"/>
              </w:numPr>
              <w:suppressAutoHyphens w:val="true"/>
              <w:spacing w:before="60" w:after="60"/>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948"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Требования к изоляции</w:t>
            </w:r>
          </w:p>
        </w:tc>
        <w:tc>
          <w:tcPr>
            <w:tcW w:w="5104" w:type="dxa"/>
            <w:tcBorders>
              <w:top w:val="nil"/>
            </w:tcBorders>
          </w:tcPr>
          <w:p>
            <w:pPr>
              <w:pStyle w:val="29"/>
              <w:widowControl w:val="false"/>
              <w:shd w:val="clear" w:color="auto" w:fill="auto"/>
              <w:spacing w:lineRule="auto" w:line="240" w:before="0" w:after="0"/>
              <w:jc w:val="center"/>
              <w:rPr/>
            </w:pPr>
            <w:r>
              <w:rPr>
                <w:rFonts w:cs="Times New Roman" w:ascii="Times New Roman" w:hAnsi="Times New Roman"/>
                <w:sz w:val="24"/>
                <w:szCs w:val="24"/>
              </w:rPr>
              <w:t>???</w:t>
            </w:r>
          </w:p>
        </w:tc>
        <w:tc>
          <w:tcPr>
            <w:tcW w:w="2003"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Указание характеристик</w:t>
            </w:r>
          </w:p>
        </w:tc>
        <w:tc>
          <w:tcPr>
            <w:tcW w:w="3342"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t>Предоставление подтверждающего документа</w:t>
            </w:r>
          </w:p>
        </w:tc>
      </w:tr>
      <w:tr>
        <w:trPr/>
        <w:tc>
          <w:tcPr>
            <w:tcW w:w="912" w:type="dxa"/>
            <w:tcBorders>
              <w:top w:val="nil"/>
            </w:tcBorders>
            <w:vAlign w:val="center"/>
          </w:tcPr>
          <w:p>
            <w:pPr>
              <w:pStyle w:val="ListParagraph"/>
              <w:widowControl w:val="false"/>
              <w:numPr>
                <w:ilvl w:val="0"/>
                <w:numId w:val="16"/>
              </w:numPr>
              <w:suppressAutoHyphens w:val="true"/>
              <w:spacing w:before="60" w:after="60"/>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948"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Удельная длина пути утечки внешней изоляции, мм/кВ</w:t>
            </w:r>
          </w:p>
        </w:tc>
        <w:tc>
          <w:tcPr>
            <w:tcW w:w="5104" w:type="dxa"/>
            <w:tcBorders>
              <w:top w:val="nil"/>
            </w:tcBorders>
            <w:shd w:color="auto" w:fill="auto" w:val="clear"/>
          </w:tcPr>
          <w:p>
            <w:pPr>
              <w:pStyle w:val="29"/>
              <w:widowControl w:val="false"/>
              <w:shd w:val="clear" w:color="auto" w:fill="auto"/>
              <w:spacing w:lineRule="auto" w:line="240" w:before="0" w:after="0"/>
              <w:jc w:val="center"/>
              <w:rPr/>
            </w:pPr>
            <w:r>
              <w:rPr>
                <w:rFonts w:cs="Times New Roman" w:ascii="Times New Roman" w:hAnsi="Times New Roman"/>
                <w:kern w:val="0"/>
                <w:sz w:val="24"/>
                <w:szCs w:val="24"/>
                <w:lang w:val="ru-RU" w:eastAsia="ru-RU" w:bidi="ar-SA"/>
              </w:rPr>
              <w:t>&gt;22</w:t>
            </w:r>
          </w:p>
        </w:tc>
        <w:tc>
          <w:tcPr>
            <w:tcW w:w="2003"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Указание характеристик</w:t>
            </w:r>
          </w:p>
        </w:tc>
        <w:tc>
          <w:tcPr>
            <w:tcW w:w="3342"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t>Предоставление подтверждающего документа</w:t>
            </w:r>
          </w:p>
        </w:tc>
      </w:tr>
      <w:tr>
        <w:trPr/>
        <w:tc>
          <w:tcPr>
            <w:tcW w:w="912" w:type="dxa"/>
            <w:tcBorders>
              <w:top w:val="nil"/>
            </w:tcBorders>
            <w:vAlign w:val="center"/>
          </w:tcPr>
          <w:p>
            <w:pPr>
              <w:pStyle w:val="ListParagraph"/>
              <w:widowControl w:val="false"/>
              <w:suppressAutoHyphens w:val="true"/>
              <w:spacing w:before="60" w:after="60"/>
              <w:contextualSpacing/>
              <w:jc w:val="center"/>
              <w:rPr>
                <w:rFonts w:ascii="Times New Roman" w:hAnsi="Times New Roman" w:cs="Times New Roman"/>
                <w:b/>
                <w:bCs/>
                <w:i/>
                <w:i/>
                <w:iCs/>
                <w:kern w:val="0"/>
                <w:lang w:val="ru-RU" w:eastAsia="ru-RU" w:bidi="ar-SA"/>
              </w:rPr>
            </w:pPr>
            <w:r>
              <w:rPr>
                <w:rFonts w:cs="Times New Roman"/>
                <w:b/>
                <w:bCs/>
                <w:i/>
                <w:iCs/>
                <w:kern w:val="0"/>
                <w:lang w:val="ru-RU" w:eastAsia="ru-RU" w:bidi="ar-SA"/>
              </w:rPr>
            </w:r>
          </w:p>
        </w:tc>
        <w:tc>
          <w:tcPr>
            <w:tcW w:w="3948" w:type="dxa"/>
            <w:tcBorders>
              <w:top w:val="nil"/>
            </w:tcBorders>
            <w:shd w:color="auto" w:fill="auto" w:val="clear"/>
          </w:tcPr>
          <w:p>
            <w:pPr>
              <w:pStyle w:val="29"/>
              <w:widowControl w:val="false"/>
              <w:shd w:val="clear" w:color="auto" w:fill="auto"/>
              <w:spacing w:lineRule="auto" w:line="240" w:before="0" w:after="0"/>
              <w:jc w:val="left"/>
              <w:rPr>
                <w:b/>
                <w:bCs/>
                <w:kern w:val="0"/>
                <w:lang w:val="ru-RU" w:eastAsia="ru-RU" w:bidi="ar-SA"/>
              </w:rPr>
            </w:pPr>
            <w:r>
              <w:rPr>
                <w:rFonts w:cs="Times New Roman" w:ascii="Times New Roman" w:hAnsi="Times New Roman"/>
                <w:b/>
                <w:bCs/>
                <w:kern w:val="0"/>
                <w:sz w:val="24"/>
                <w:szCs w:val="24"/>
                <w:lang w:val="ru-RU" w:eastAsia="ru-RU" w:bidi="ar-SA"/>
              </w:rPr>
              <w:t>Технические требования к конструкции, изготовлению и материалам</w:t>
            </w:r>
          </w:p>
        </w:tc>
        <w:tc>
          <w:tcPr>
            <w:tcW w:w="5104" w:type="dxa"/>
            <w:tcBorders>
              <w:top w:val="nil"/>
            </w:tcBorders>
            <w:shd w:color="auto" w:fill="auto" w:val="clear"/>
          </w:tcPr>
          <w:p>
            <w:pPr>
              <w:pStyle w:val="29"/>
              <w:widowControl w:val="false"/>
              <w:shd w:val="clear" w:color="auto" w:fill="auto"/>
              <w:spacing w:lineRule="auto" w:line="240" w:before="0" w:after="0"/>
              <w:jc w:val="center"/>
              <w:rPr>
                <w:b/>
                <w:bCs/>
                <w:kern w:val="0"/>
                <w:lang w:val="ru-RU" w:eastAsia="ru-RU" w:bidi="ar-SA"/>
              </w:rPr>
            </w:pPr>
            <w:r>
              <w:rPr>
                <w:b/>
                <w:bCs/>
                <w:kern w:val="0"/>
                <w:lang w:val="ru-RU" w:eastAsia="ru-RU" w:bidi="ar-SA"/>
              </w:rPr>
            </w:r>
          </w:p>
        </w:tc>
        <w:tc>
          <w:tcPr>
            <w:tcW w:w="2003" w:type="dxa"/>
            <w:tcBorders>
              <w:top w:val="nil"/>
            </w:tcBorders>
            <w:shd w:color="auto" w:fill="auto" w:val="clear"/>
          </w:tcPr>
          <w:p>
            <w:pPr>
              <w:pStyle w:val="Normal"/>
              <w:widowControl w:val="false"/>
              <w:suppressAutoHyphens w:val="true"/>
              <w:spacing w:before="0" w:after="0"/>
              <w:jc w:val="center"/>
              <w:rPr>
                <w:i/>
                <w:i/>
                <w:iCs/>
              </w:rPr>
            </w:pPr>
            <w:r>
              <w:rPr/>
            </w:r>
          </w:p>
        </w:tc>
        <w:tc>
          <w:tcPr>
            <w:tcW w:w="3342" w:type="dxa"/>
            <w:tcBorders>
              <w:top w:val="nil"/>
            </w:tcBorders>
            <w:shd w:color="auto" w:fill="auto" w:val="clear"/>
          </w:tcPr>
          <w:p>
            <w:pPr>
              <w:pStyle w:val="Normal"/>
              <w:widowControl w:val="false"/>
              <w:suppressAutoHyphens w:val="true"/>
              <w:spacing w:before="0" w:after="0"/>
              <w:jc w:val="left"/>
              <w:rPr>
                <w:rFonts w:ascii="Times New Roman" w:hAnsi="Times New Roman" w:eastAsia="Times New Roman" w:cs="Times New Roman"/>
                <w:i/>
                <w:i/>
                <w:iCs/>
                <w:kern w:val="0"/>
                <w:sz w:val="24"/>
                <w:szCs w:val="24"/>
                <w:lang w:val="ru-RU" w:eastAsia="ru-RU" w:bidi="ar-SA"/>
              </w:rPr>
            </w:pPr>
            <w:r>
              <w:rPr>
                <w:rFonts w:eastAsia="Times New Roman" w:cs="Times New Roman"/>
                <w:i/>
                <w:iCs/>
                <w:kern w:val="0"/>
                <w:sz w:val="24"/>
                <w:szCs w:val="24"/>
                <w:lang w:val="ru-RU" w:eastAsia="ru-RU" w:bidi="ar-SA"/>
              </w:rPr>
            </w:r>
          </w:p>
        </w:tc>
      </w:tr>
      <w:tr>
        <w:trPr/>
        <w:tc>
          <w:tcPr>
            <w:tcW w:w="912" w:type="dxa"/>
            <w:tcBorders>
              <w:top w:val="nil"/>
            </w:tcBorders>
            <w:vAlign w:val="center"/>
          </w:tcPr>
          <w:p>
            <w:pPr>
              <w:pStyle w:val="ListParagraph"/>
              <w:widowControl w:val="false"/>
              <w:numPr>
                <w:ilvl w:val="0"/>
                <w:numId w:val="16"/>
              </w:numPr>
              <w:suppressAutoHyphens w:val="true"/>
              <w:spacing w:before="60" w:after="60"/>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948"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Вид привода для главных ножей</w:t>
            </w:r>
          </w:p>
        </w:tc>
        <w:tc>
          <w:tcPr>
            <w:tcW w:w="5104" w:type="dxa"/>
            <w:tcBorders>
              <w:top w:val="nil"/>
            </w:tcBorders>
            <w:shd w:color="auto" w:fill="auto" w:val="clear"/>
          </w:tcPr>
          <w:p>
            <w:pPr>
              <w:pStyle w:val="29"/>
              <w:widowControl w:val="false"/>
              <w:shd w:val="clear" w:color="auto" w:fill="auto"/>
              <w:spacing w:lineRule="auto" w:line="240" w:before="0" w:after="0"/>
              <w:ind w:left="260" w:hanging="0"/>
              <w:jc w:val="center"/>
              <w:rPr/>
            </w:pPr>
            <w:r>
              <w:rPr>
                <w:rFonts w:cs="Times New Roman" w:ascii="Times New Roman" w:hAnsi="Times New Roman"/>
                <w:kern w:val="0"/>
                <w:sz w:val="24"/>
                <w:szCs w:val="24"/>
                <w:lang w:val="ru-RU" w:eastAsia="ru-RU" w:bidi="ar-SA"/>
              </w:rPr>
              <w:t>Ручной</w:t>
            </w:r>
          </w:p>
        </w:tc>
        <w:tc>
          <w:tcPr>
            <w:tcW w:w="2003"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342"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t>Предоставление подтверждающего документа</w:t>
            </w:r>
          </w:p>
        </w:tc>
      </w:tr>
      <w:tr>
        <w:trPr/>
        <w:tc>
          <w:tcPr>
            <w:tcW w:w="912" w:type="dxa"/>
            <w:tcBorders>
              <w:top w:val="nil"/>
            </w:tcBorders>
            <w:vAlign w:val="center"/>
          </w:tcPr>
          <w:p>
            <w:pPr>
              <w:pStyle w:val="ListParagraph"/>
              <w:widowControl w:val="false"/>
              <w:numPr>
                <w:ilvl w:val="0"/>
                <w:numId w:val="16"/>
              </w:numPr>
              <w:suppressAutoHyphens w:val="true"/>
              <w:spacing w:before="60" w:after="60"/>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948"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Масса разъединителя, кг</w:t>
            </w:r>
          </w:p>
        </w:tc>
        <w:tc>
          <w:tcPr>
            <w:tcW w:w="5104" w:type="dxa"/>
            <w:tcBorders>
              <w:top w:val="nil"/>
            </w:tcBorders>
          </w:tcPr>
          <w:p>
            <w:pPr>
              <w:pStyle w:val="29"/>
              <w:widowControl w:val="false"/>
              <w:shd w:val="clear" w:color="auto" w:fill="auto"/>
              <w:spacing w:lineRule="auto" w:line="240" w:before="0" w:after="0"/>
              <w:ind w:left="260" w:hanging="0"/>
              <w:jc w:val="center"/>
              <w:rPr/>
            </w:pPr>
            <w:r>
              <w:rPr>
                <w:rFonts w:cs="Times New Roman" w:ascii="Times New Roman" w:hAnsi="Times New Roman"/>
                <w:kern w:val="0"/>
                <w:sz w:val="24"/>
                <w:szCs w:val="24"/>
                <w:lang w:val="ru-RU" w:eastAsia="ru-RU" w:bidi="ar-SA"/>
              </w:rPr>
              <w:t>*</w:t>
            </w:r>
          </w:p>
        </w:tc>
        <w:tc>
          <w:tcPr>
            <w:tcW w:w="2003"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Указание характеристик</w:t>
            </w:r>
          </w:p>
        </w:tc>
        <w:tc>
          <w:tcPr>
            <w:tcW w:w="3342"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t>Предоставление подтверждающего документа</w:t>
            </w:r>
          </w:p>
        </w:tc>
      </w:tr>
      <w:tr>
        <w:trPr/>
        <w:tc>
          <w:tcPr>
            <w:tcW w:w="912" w:type="dxa"/>
            <w:tcBorders>
              <w:top w:val="nil"/>
            </w:tcBorders>
            <w:vAlign w:val="center"/>
          </w:tcPr>
          <w:p>
            <w:pPr>
              <w:pStyle w:val="ListParagraph"/>
              <w:widowControl w:val="false"/>
              <w:numPr>
                <w:ilvl w:val="0"/>
                <w:numId w:val="16"/>
              </w:numPr>
              <w:suppressAutoHyphens w:val="true"/>
              <w:spacing w:before="60" w:after="60"/>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948"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Габаритный чертеж</w:t>
            </w:r>
          </w:p>
        </w:tc>
        <w:tc>
          <w:tcPr>
            <w:tcW w:w="5104"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Представить</w:t>
            </w:r>
          </w:p>
        </w:tc>
        <w:tc>
          <w:tcPr>
            <w:tcW w:w="2003"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Указание характеристик</w:t>
            </w:r>
          </w:p>
        </w:tc>
        <w:tc>
          <w:tcPr>
            <w:tcW w:w="3342"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t>Предоставление подтверждающего документа</w:t>
            </w:r>
          </w:p>
        </w:tc>
      </w:tr>
      <w:tr>
        <w:trPr/>
        <w:tc>
          <w:tcPr>
            <w:tcW w:w="912" w:type="dxa"/>
            <w:tcBorders>
              <w:top w:val="nil"/>
            </w:tcBorders>
            <w:vAlign w:val="center"/>
          </w:tcPr>
          <w:p>
            <w:pPr>
              <w:pStyle w:val="ListParagraph"/>
              <w:widowControl w:val="false"/>
              <w:suppressAutoHyphens w:val="true"/>
              <w:spacing w:before="60" w:after="60"/>
              <w:contextualSpacing/>
              <w:jc w:val="center"/>
              <w:rPr>
                <w:rFonts w:ascii="Times New Roman" w:hAnsi="Times New Roman" w:cs="Times New Roman"/>
                <w:b/>
                <w:bCs/>
                <w:i/>
                <w:i/>
                <w:iCs/>
                <w:kern w:val="0"/>
                <w:lang w:val="ru-RU" w:eastAsia="ru-RU" w:bidi="ar-SA"/>
              </w:rPr>
            </w:pPr>
            <w:r>
              <w:rPr>
                <w:rFonts w:cs="Times New Roman"/>
                <w:b/>
                <w:bCs/>
                <w:i/>
                <w:iCs/>
                <w:kern w:val="0"/>
                <w:lang w:val="ru-RU" w:eastAsia="ru-RU" w:bidi="ar-SA"/>
              </w:rPr>
            </w:r>
          </w:p>
        </w:tc>
        <w:tc>
          <w:tcPr>
            <w:tcW w:w="3948" w:type="dxa"/>
            <w:tcBorders>
              <w:top w:val="nil"/>
            </w:tcBorders>
            <w:shd w:color="auto" w:fill="auto" w:val="clear"/>
          </w:tcPr>
          <w:p>
            <w:pPr>
              <w:pStyle w:val="Normal"/>
              <w:widowControl w:val="false"/>
              <w:suppressAutoHyphens w:val="true"/>
              <w:spacing w:before="0" w:after="0"/>
              <w:jc w:val="left"/>
              <w:rPr>
                <w:rFonts w:ascii="Times New Roman" w:hAnsi="Times New Roman" w:eastAsia="Times New Roman" w:cs="Times New Roman"/>
                <w:b/>
                <w:bCs/>
                <w:kern w:val="0"/>
                <w:lang w:val="ru-RU" w:eastAsia="ru-RU" w:bidi="ar-SA"/>
              </w:rPr>
            </w:pPr>
            <w:r>
              <w:rPr>
                <w:rFonts w:eastAsia="Times New Roman" w:cs="Times New Roman"/>
                <w:b/>
                <w:bCs/>
                <w:kern w:val="0"/>
                <w:sz w:val="24"/>
                <w:szCs w:val="24"/>
                <w:lang w:val="ru-RU" w:eastAsia="ru-RU" w:bidi="ar-SA"/>
              </w:rPr>
              <w:t>Требования по надежности</w:t>
            </w:r>
          </w:p>
        </w:tc>
        <w:tc>
          <w:tcPr>
            <w:tcW w:w="5104" w:type="dxa"/>
            <w:tcBorders>
              <w:top w:val="nil"/>
            </w:tcBorders>
            <w:shd w:color="auto" w:fill="auto" w:val="clear"/>
          </w:tcPr>
          <w:p>
            <w:pPr>
              <w:pStyle w:val="29"/>
              <w:widowControl w:val="false"/>
              <w:shd w:val="clear" w:color="auto" w:fill="auto"/>
              <w:spacing w:lineRule="auto" w:line="240" w:before="0" w:after="0"/>
              <w:jc w:val="center"/>
              <w:rPr>
                <w:b/>
                <w:bCs/>
                <w:kern w:val="0"/>
                <w:lang w:val="ru-RU" w:eastAsia="ru-RU" w:bidi="ar-SA"/>
              </w:rPr>
            </w:pPr>
            <w:r>
              <w:rPr>
                <w:b/>
                <w:bCs/>
                <w:kern w:val="0"/>
                <w:lang w:val="ru-RU" w:eastAsia="ru-RU" w:bidi="ar-SA"/>
              </w:rPr>
            </w:r>
          </w:p>
        </w:tc>
        <w:tc>
          <w:tcPr>
            <w:tcW w:w="2003" w:type="dxa"/>
            <w:tcBorders>
              <w:top w:val="nil"/>
            </w:tcBorders>
            <w:shd w:color="auto" w:fill="auto" w:val="clear"/>
          </w:tcPr>
          <w:p>
            <w:pPr>
              <w:pStyle w:val="Normal"/>
              <w:widowControl w:val="false"/>
              <w:suppressAutoHyphens w:val="true"/>
              <w:spacing w:before="0" w:after="0"/>
              <w:jc w:val="left"/>
              <w:rPr>
                <w:i/>
                <w:i/>
                <w:iCs/>
                <w:sz w:val="24"/>
                <w:szCs w:val="24"/>
              </w:rPr>
            </w:pPr>
            <w:r>
              <w:rPr>
                <w:i/>
                <w:iCs/>
                <w:sz w:val="24"/>
                <w:szCs w:val="24"/>
              </w:rPr>
            </w:r>
          </w:p>
        </w:tc>
        <w:tc>
          <w:tcPr>
            <w:tcW w:w="3342" w:type="dxa"/>
            <w:tcBorders>
              <w:top w:val="nil"/>
            </w:tcBorders>
            <w:shd w:color="auto" w:fill="auto" w:val="clear"/>
          </w:tcPr>
          <w:p>
            <w:pPr>
              <w:pStyle w:val="Normal"/>
              <w:widowControl w:val="false"/>
              <w:suppressAutoHyphens w:val="true"/>
              <w:spacing w:before="0" w:after="0"/>
              <w:jc w:val="left"/>
              <w:rPr>
                <w:rFonts w:ascii="Times New Roman" w:hAnsi="Times New Roman" w:eastAsia="Times New Roman" w:cs="Times New Roman"/>
                <w:i/>
                <w:i/>
                <w:iCs/>
                <w:kern w:val="0"/>
                <w:sz w:val="24"/>
                <w:szCs w:val="24"/>
                <w:lang w:val="ru-RU" w:eastAsia="ru-RU" w:bidi="ar-SA"/>
              </w:rPr>
            </w:pPr>
            <w:r>
              <w:rPr>
                <w:rFonts w:eastAsia="Times New Roman" w:cs="Times New Roman"/>
                <w:i/>
                <w:iCs/>
                <w:kern w:val="0"/>
                <w:sz w:val="24"/>
                <w:szCs w:val="24"/>
                <w:lang w:val="ru-RU" w:eastAsia="ru-RU" w:bidi="ar-SA"/>
              </w:rPr>
            </w:r>
          </w:p>
        </w:tc>
      </w:tr>
      <w:tr>
        <w:trPr/>
        <w:tc>
          <w:tcPr>
            <w:tcW w:w="912" w:type="dxa"/>
            <w:tcBorders>
              <w:top w:val="nil"/>
            </w:tcBorders>
            <w:vAlign w:val="center"/>
          </w:tcPr>
          <w:p>
            <w:pPr>
              <w:pStyle w:val="ListParagraph"/>
              <w:widowControl w:val="false"/>
              <w:numPr>
                <w:ilvl w:val="0"/>
                <w:numId w:val="16"/>
              </w:numPr>
              <w:suppressAutoHyphens w:val="true"/>
              <w:spacing w:before="60" w:after="60"/>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948"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Ресурс по механической стойкости</w:t>
            </w:r>
          </w:p>
        </w:tc>
        <w:tc>
          <w:tcPr>
            <w:tcW w:w="5104"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w:t>
            </w:r>
          </w:p>
        </w:tc>
        <w:tc>
          <w:tcPr>
            <w:tcW w:w="2003"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Указание характеристик</w:t>
            </w:r>
          </w:p>
        </w:tc>
        <w:tc>
          <w:tcPr>
            <w:tcW w:w="3342"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t>Предоставление подтверждающего документа</w:t>
            </w:r>
          </w:p>
        </w:tc>
      </w:tr>
      <w:tr>
        <w:trPr/>
        <w:tc>
          <w:tcPr>
            <w:tcW w:w="912" w:type="dxa"/>
            <w:tcBorders>
              <w:top w:val="nil"/>
            </w:tcBorders>
            <w:vAlign w:val="center"/>
          </w:tcPr>
          <w:p>
            <w:pPr>
              <w:pStyle w:val="ListParagraph"/>
              <w:widowControl w:val="false"/>
              <w:numPr>
                <w:ilvl w:val="0"/>
                <w:numId w:val="16"/>
              </w:numPr>
              <w:suppressAutoHyphens w:val="true"/>
              <w:spacing w:before="60" w:after="60"/>
              <w:contextualSpacing/>
              <w:jc w:val="center"/>
              <w:rPr>
                <w:rFonts w:ascii="Times New Roman" w:hAnsi="Times New Roman" w:cs="Times New Roman"/>
                <w:i/>
                <w:i/>
                <w:iCs/>
                <w:kern w:val="0"/>
                <w:lang w:val="ru-RU" w:eastAsia="ru-RU" w:bidi="ar-SA"/>
              </w:rPr>
            </w:pPr>
            <w:r>
              <w:rPr>
                <w:rFonts w:cs="Times New Roman"/>
                <w:i/>
                <w:iCs/>
                <w:kern w:val="0"/>
                <w:lang w:val="ru-RU" w:eastAsia="ru-RU" w:bidi="ar-SA"/>
              </w:rPr>
            </w:r>
          </w:p>
        </w:tc>
        <w:tc>
          <w:tcPr>
            <w:tcW w:w="3948" w:type="dxa"/>
            <w:tcBorders>
              <w:top w:val="nil"/>
            </w:tcBorders>
            <w:shd w:color="auto" w:fill="auto" w:val="clear"/>
          </w:tcPr>
          <w:p>
            <w:pPr>
              <w:pStyle w:val="29"/>
              <w:widowControl w:val="false"/>
              <w:shd w:val="clear" w:color="auto" w:fill="auto"/>
              <w:spacing w:lineRule="auto" w:line="240" w:before="0" w:after="0"/>
              <w:jc w:val="left"/>
              <w:rPr>
                <w:rFonts w:ascii="Times New Roman" w:hAnsi="Times New Roman" w:cs="Times New Roman"/>
                <w:sz w:val="24"/>
                <w:szCs w:val="24"/>
              </w:rPr>
            </w:pPr>
            <w:r>
              <w:rPr>
                <w:rFonts w:cs="Times New Roman" w:ascii="Times New Roman" w:hAnsi="Times New Roman"/>
                <w:kern w:val="0"/>
                <w:sz w:val="24"/>
                <w:szCs w:val="24"/>
                <w:lang w:val="ru-RU" w:eastAsia="ru-RU" w:bidi="ar-SA"/>
              </w:rPr>
              <w:t>Нормативный срок службы, лет</w:t>
            </w:r>
          </w:p>
        </w:tc>
        <w:tc>
          <w:tcPr>
            <w:tcW w:w="5104" w:type="dxa"/>
            <w:tcBorders>
              <w:top w:val="nil"/>
            </w:tcBorders>
            <w:shd w:color="auto" w:fill="auto" w:val="clear"/>
          </w:tcPr>
          <w:p>
            <w:pPr>
              <w:pStyle w:val="29"/>
              <w:widowControl w:val="false"/>
              <w:shd w:val="clear" w:color="auto" w:fill="auto"/>
              <w:spacing w:lineRule="auto" w:line="240" w:before="0" w:after="0"/>
              <w:jc w:val="center"/>
              <w:rPr>
                <w:rFonts w:ascii="Times New Roman" w:hAnsi="Times New Roman" w:cs="Times New Roman"/>
                <w:sz w:val="24"/>
                <w:szCs w:val="24"/>
              </w:rPr>
            </w:pPr>
            <w:r>
              <w:rPr>
                <w:rFonts w:cs="Times New Roman" w:ascii="Times New Roman" w:hAnsi="Times New Roman"/>
                <w:kern w:val="0"/>
                <w:sz w:val="24"/>
                <w:szCs w:val="24"/>
                <w:lang w:val="ru-RU" w:eastAsia="ru-RU" w:bidi="ar-SA"/>
              </w:rPr>
              <w:t>30</w:t>
            </w:r>
          </w:p>
        </w:tc>
        <w:tc>
          <w:tcPr>
            <w:tcW w:w="2003" w:type="dxa"/>
            <w:tcBorders>
              <w:top w:val="nil"/>
            </w:tcBorders>
            <w:shd w:color="auto" w:fill="auto" w:val="clear"/>
          </w:tcPr>
          <w:p>
            <w:pPr>
              <w:pStyle w:val="Normal"/>
              <w:widowControl w:val="false"/>
              <w:suppressAutoHyphens w:val="true"/>
              <w:spacing w:before="0" w:after="0"/>
              <w:jc w:val="center"/>
              <w:rPr>
                <w:i/>
                <w:i/>
                <w:iCs/>
              </w:rPr>
            </w:pPr>
            <w:r>
              <w:rPr>
                <w:rFonts w:eastAsia="Times New Roman" w:cs="Times New Roman"/>
                <w:iCs/>
                <w:kern w:val="0"/>
                <w:sz w:val="24"/>
                <w:szCs w:val="24"/>
                <w:lang w:val="ru-RU" w:eastAsia="ru-RU" w:bidi="ar-SA"/>
              </w:rPr>
              <w:t>Согласие с требованием</w:t>
            </w:r>
          </w:p>
        </w:tc>
        <w:tc>
          <w:tcPr>
            <w:tcW w:w="3342" w:type="dxa"/>
            <w:tcBorders>
              <w:top w:val="nil"/>
            </w:tcBorders>
            <w:shd w:color="auto" w:fill="auto" w:val="clear"/>
          </w:tcPr>
          <w:p>
            <w:pPr>
              <w:pStyle w:val="Normal"/>
              <w:widowControl w:val="false"/>
              <w:suppressAutoHyphens w:val="true"/>
              <w:spacing w:before="0" w:after="0"/>
              <w:jc w:val="left"/>
              <w:rPr>
                <w:i/>
                <w:i/>
                <w:iCs/>
                <w:sz w:val="24"/>
                <w:szCs w:val="28"/>
              </w:rPr>
            </w:pPr>
            <w:r>
              <w:rPr>
                <w:i/>
                <w:iCs/>
                <w:sz w:val="24"/>
                <w:szCs w:val="28"/>
              </w:rPr>
              <w:t>Предоставление подтверждающего документа</w:t>
            </w:r>
          </w:p>
        </w:tc>
      </w:tr>
      <w:tr>
        <w:trPr/>
        <w:tc>
          <w:tcPr>
            <w:tcW w:w="15309" w:type="dxa"/>
            <w:gridSpan w:val="5"/>
            <w:tcBorders>
              <w:top w:val="nil"/>
            </w:tcBorders>
            <w:vAlign w:val="center"/>
          </w:tcPr>
          <w:p>
            <w:pPr>
              <w:pStyle w:val="LHP"/>
              <w:widowControl w:val="false"/>
              <w:spacing w:lineRule="auto" w:line="240" w:before="60" w:after="60"/>
              <w:ind w:left="170" w:right="284" w:hanging="0"/>
              <w:rPr>
                <w:i/>
                <w:i/>
                <w:sz w:val="24"/>
              </w:rPr>
            </w:pPr>
            <w:r>
              <w:rPr>
                <w:i/>
                <w:kern w:val="0"/>
                <w:lang w:val="ru-RU" w:bidi="ar-SA"/>
              </w:rPr>
              <w:t>Примечание: Параметры, отмеченные *, должны быть представлены Поставщиком в составе заявки, с указанием завода-изготовителя в п.1 вышеуказанной таблицы</w:t>
            </w:r>
          </w:p>
        </w:tc>
      </w:tr>
    </w:tbl>
    <w:p>
      <w:pPr>
        <w:sectPr>
          <w:headerReference w:type="default" r:id="rId5"/>
          <w:headerReference w:type="first" r:id="rId6"/>
          <w:type w:val="nextPage"/>
          <w:pgSz w:orient="landscape" w:w="16838" w:h="11906"/>
          <w:pgMar w:left="992" w:right="567" w:gutter="0" w:header="680" w:top="851" w:footer="0" w:bottom="851"/>
          <w:pgNumType w:fmt="decimal"/>
          <w:formProt w:val="false"/>
          <w:titlePg/>
          <w:textDirection w:val="lrTb"/>
          <w:docGrid w:type="default" w:linePitch="381" w:charSpace="0"/>
        </w:sectPr>
      </w:pPr>
    </w:p>
    <w:p>
      <w:pPr>
        <w:pStyle w:val="Heading3"/>
        <w:numPr>
          <w:ilvl w:val="2"/>
          <w:numId w:val="3"/>
        </w:numPr>
        <w:rPr/>
      </w:pPr>
      <w:bookmarkStart w:id="72" w:name="__RefHeading___Toc31180_2499545058"/>
      <w:bookmarkStart w:id="73" w:name="_Toc54970215"/>
      <w:bookmarkStart w:id="74" w:name="_Toc54279844"/>
      <w:bookmarkStart w:id="75" w:name="_Toc54643137"/>
      <w:bookmarkStart w:id="76" w:name="_Hlk140571699"/>
      <w:bookmarkStart w:id="77" w:name="_Hlk140574117"/>
      <w:bookmarkStart w:id="78" w:name="_Hlk140572020"/>
      <w:bookmarkStart w:id="79" w:name="_Toc54618151"/>
      <w:bookmarkEnd w:id="72"/>
      <w:bookmarkEnd w:id="77"/>
      <w:r>
        <w:rPr/>
        <w:t>В составе заявки необходимо предоставить</w:t>
      </w:r>
      <w:bookmarkEnd w:id="78"/>
      <w:r>
        <w:rPr/>
        <w:t>:</w:t>
      </w:r>
      <w:bookmarkEnd w:id="76"/>
    </w:p>
    <w:p>
      <w:pPr>
        <w:pStyle w:val="ListParagraph"/>
        <w:widowControl w:val="false"/>
        <w:tabs>
          <w:tab w:val="clear" w:pos="708"/>
          <w:tab w:val="left" w:pos="426" w:leader="none"/>
        </w:tabs>
        <w:spacing w:before="120" w:after="240"/>
        <w:ind w:left="0" w:hanging="0"/>
        <w:contextualSpacing w:val="false"/>
        <w:jc w:val="both"/>
        <w:rPr>
          <w:rStyle w:val="Style8"/>
          <w:b/>
          <w:bCs/>
          <w:i/>
          <w:i/>
          <w:iCs/>
          <w:sz w:val="24"/>
          <w:szCs w:val="24"/>
        </w:rPr>
      </w:pPr>
      <w:r>
        <w:rPr>
          <w:b/>
          <w:bCs/>
          <w:i/>
          <w:iCs/>
          <w:sz w:val="24"/>
          <w:szCs w:val="24"/>
        </w:rPr>
      </w:r>
      <w:bookmarkStart w:id="80" w:name="_Hlk140574117_Копия_1"/>
      <w:bookmarkStart w:id="81" w:name="_Hlk140574117_Копия_1"/>
      <w:bookmarkEnd w:id="81"/>
    </w:p>
    <w:p>
      <w:pPr>
        <w:pStyle w:val="Normal"/>
        <w:spacing w:before="0" w:after="60"/>
        <w:jc w:val="both"/>
        <w:rPr>
          <w:i w:val="false"/>
          <w:i w:val="false"/>
          <w:iCs w:val="false"/>
        </w:rPr>
      </w:pPr>
      <w:r>
        <w:rPr>
          <w:i w:val="false"/>
          <w:iCs w:val="false"/>
          <w:sz w:val="24"/>
          <w:szCs w:val="24"/>
        </w:rPr>
        <w:t xml:space="preserve">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 требованиям настоящих ТТ, предоставляет следующие документы: </w:t>
      </w:r>
    </w:p>
    <w:p>
      <w:pPr>
        <w:pStyle w:val="ListParagraph"/>
        <w:numPr>
          <w:ilvl w:val="0"/>
          <w:numId w:val="14"/>
        </w:numPr>
        <w:spacing w:before="0" w:after="60"/>
        <w:ind w:left="426" w:hanging="437"/>
        <w:contextualSpacing w:val="false"/>
        <w:jc w:val="both"/>
        <w:rPr/>
      </w:pPr>
      <w:r>
        <w:rPr>
          <w:i w:val="false"/>
          <w:iCs w:val="false"/>
        </w:rPr>
        <w:t>Техническое предложение, подготовленное в соответствии с настоящими ТТ по форме, представленной в документации о закупке;</w:t>
      </w:r>
    </w:p>
    <w:p>
      <w:pPr>
        <w:pStyle w:val="ListParagraph"/>
        <w:widowControl/>
        <w:numPr>
          <w:ilvl w:val="0"/>
          <w:numId w:val="14"/>
        </w:numPr>
        <w:suppressAutoHyphens w:val="true"/>
        <w:bidi w:val="0"/>
        <w:spacing w:before="0" w:after="60"/>
        <w:ind w:left="-11" w:hanging="0"/>
        <w:contextualSpacing w:val="false"/>
        <w:jc w:val="both"/>
        <w:rPr/>
      </w:pPr>
      <w:r>
        <w:rPr>
          <w:i w:val="false"/>
          <w:iCs w:val="false"/>
        </w:rPr>
        <w:t>Габаритные и установочные чертежи, чертежи компоновки оборудования;</w:t>
      </w:r>
    </w:p>
    <w:p>
      <w:pPr>
        <w:pStyle w:val="ListParagraph"/>
        <w:widowControl/>
        <w:numPr>
          <w:ilvl w:val="0"/>
          <w:numId w:val="14"/>
        </w:numPr>
        <w:suppressAutoHyphens w:val="true"/>
        <w:bidi w:val="0"/>
        <w:spacing w:before="0" w:after="60"/>
        <w:ind w:left="-11" w:hanging="0"/>
        <w:contextualSpacing w:val="false"/>
        <w:jc w:val="both"/>
        <w:rPr>
          <w:i w:val="false"/>
          <w:i w:val="false"/>
          <w:iCs w:val="false"/>
        </w:rPr>
      </w:pPr>
      <w:r>
        <w:rPr>
          <w:i w:val="false"/>
          <w:iCs w:val="false"/>
        </w:rPr>
        <w:t>Схему электрическую принципиальную.»</w:t>
      </w:r>
      <w:r>
        <w:br w:type="page"/>
      </w:r>
    </w:p>
    <w:p>
      <w:pPr>
        <w:pStyle w:val="Heading1"/>
        <w:numPr>
          <w:ilvl w:val="0"/>
          <w:numId w:val="3"/>
        </w:numPr>
        <w:ind w:left="0" w:hanging="0"/>
        <w:jc w:val="center"/>
        <w:rPr/>
      </w:pPr>
      <w:bookmarkStart w:id="82" w:name="__RefHeading___Toc31182_2499545058"/>
      <w:bookmarkEnd w:id="82"/>
      <w:r>
        <w:rPr/>
        <w:t>Требования к документации по</w:t>
      </w:r>
      <w:r>
        <w:rPr>
          <w:lang w:val="ru-RU"/>
        </w:rPr>
        <w:t xml:space="preserve"> </w:t>
      </w:r>
      <w:r>
        <w:rPr/>
        <w:t>ценообразованию на этапе закупки</w:t>
      </w:r>
      <w:bookmarkEnd w:id="73"/>
      <w:bookmarkEnd w:id="74"/>
      <w:bookmarkEnd w:id="75"/>
      <w:bookmarkEnd w:id="79"/>
    </w:p>
    <w:p>
      <w:pPr>
        <w:pStyle w:val="Normal"/>
        <w:widowControl w:val="false"/>
        <w:tabs>
          <w:tab w:val="clear" w:pos="708"/>
          <w:tab w:val="left" w:pos="426" w:leader="none"/>
        </w:tabs>
        <w:spacing w:before="120" w:after="120"/>
        <w:jc w:val="both"/>
        <w:rPr>
          <w:rStyle w:val="Style8"/>
          <w:b w:val="false"/>
          <w:iCs/>
          <w:sz w:val="24"/>
          <w:szCs w:val="24"/>
        </w:rPr>
      </w:pPr>
      <w:r>
        <w:rPr>
          <w:b w:val="false"/>
          <w:iCs/>
          <w:sz w:val="24"/>
          <w:szCs w:val="24"/>
        </w:rPr>
      </w:r>
    </w:p>
    <w:p>
      <w:pPr>
        <w:pStyle w:val="Normal"/>
        <w:numPr>
          <w:ilvl w:val="0"/>
          <w:numId w:val="11"/>
        </w:numPr>
        <w:spacing w:before="0" w:after="120"/>
        <w:jc w:val="both"/>
        <w:rPr>
          <w:i w:val="false"/>
          <w:i w:val="false"/>
          <w:iCs w:val="false"/>
        </w:rPr>
      </w:pPr>
      <w:r>
        <w:rPr>
          <w:b/>
          <w:bCs/>
          <w:i w:val="false"/>
          <w:iCs w:val="false"/>
          <w:sz w:val="24"/>
          <w:szCs w:val="24"/>
          <w:lang w:eastAsia="x-none"/>
        </w:rPr>
        <w:t>Требования к документации по ценообразованию на этапе закупки.</w:t>
      </w:r>
    </w:p>
    <w:p>
      <w:pPr>
        <w:pStyle w:val="Normal"/>
        <w:numPr>
          <w:ilvl w:val="1"/>
          <w:numId w:val="11"/>
        </w:numPr>
        <w:spacing w:before="0" w:after="120"/>
        <w:jc w:val="both"/>
        <w:rPr>
          <w:i w:val="false"/>
          <w:i w:val="false"/>
          <w:iCs w:val="false"/>
        </w:rPr>
      </w:pPr>
      <w:r>
        <w:rPr>
          <w:bCs/>
          <w:i w:val="false"/>
          <w:iCs w:val="false"/>
          <w:sz w:val="24"/>
          <w:szCs w:val="24"/>
          <w:lang w:eastAsia="x-none"/>
        </w:rPr>
        <w:t>В обоснование стоимости своей заявки Участник должен предоставить Коммерческое предложение по форме (с учетом прилагаемой к ней инструкции по заполнению), приведенной в Документации о закупке.</w:t>
      </w:r>
    </w:p>
    <w:p>
      <w:pPr>
        <w:pStyle w:val="Normal"/>
        <w:numPr>
          <w:ilvl w:val="1"/>
          <w:numId w:val="11"/>
        </w:numPr>
        <w:spacing w:before="0" w:after="240"/>
        <w:jc w:val="both"/>
        <w:rPr>
          <w:i w:val="false"/>
          <w:i w:val="false"/>
          <w:iCs w:val="false"/>
        </w:rPr>
      </w:pPr>
      <w:r>
        <w:rPr>
          <w:bCs/>
          <w:i w:val="false"/>
          <w:iCs w:val="false"/>
          <w:sz w:val="24"/>
          <w:szCs w:val="24"/>
          <w:lang w:eastAsia="x-none"/>
        </w:rPr>
        <w:t>Вместе с Коммерческим предложением Участник должен предоставить в составе заявки</w:t>
      </w:r>
      <w:r>
        <w:rPr>
          <w:i w:val="false"/>
          <w:iCs w:val="false"/>
          <w:sz w:val="24"/>
          <w:szCs w:val="24"/>
        </w:rPr>
        <w:t xml:space="preserve"> спецификацию поставляемого оборудования по форме, приведенной в Приложении № 7 к настоящим Техническим требованиям (в случае закупки оборудования (материалов) комплектом в спецификации необходимо разбить его на позиции с указанием полного наименования (тип, марка, артикул) каждой составляющей и стоимости за единицу)».</w:t>
      </w:r>
    </w:p>
    <w:p>
      <w:pPr>
        <w:pStyle w:val="Heading1"/>
        <w:numPr>
          <w:ilvl w:val="0"/>
          <w:numId w:val="3"/>
        </w:numPr>
        <w:spacing w:before="120" w:after="0"/>
        <w:ind w:left="0" w:hanging="0"/>
        <w:jc w:val="center"/>
        <w:rPr/>
      </w:pPr>
      <w:bookmarkStart w:id="83" w:name="__RefHeading___Toc31184_2499545058"/>
      <w:bookmarkStart w:id="84" w:name="_Toc54643138"/>
      <w:bookmarkStart w:id="85" w:name="_Toc54279845"/>
      <w:bookmarkStart w:id="86" w:name="_Toc54970216"/>
      <w:bookmarkStart w:id="87" w:name="_Toc54618152"/>
      <w:bookmarkEnd w:id="83"/>
      <w:r>
        <w:rPr/>
        <w:t>Требования к документации по ценообразованию на этапе заключения</w:t>
      </w:r>
      <w:r>
        <w:rPr>
          <w:lang w:val="ru-RU"/>
        </w:rPr>
        <w:t xml:space="preserve"> (исполнения)</w:t>
      </w:r>
      <w:r>
        <w:rPr/>
        <w:t xml:space="preserve"> договора</w:t>
      </w:r>
      <w:bookmarkEnd w:id="84"/>
      <w:bookmarkEnd w:id="85"/>
      <w:bookmarkEnd w:id="86"/>
      <w:bookmarkEnd w:id="87"/>
    </w:p>
    <w:p>
      <w:pPr>
        <w:pStyle w:val="Normal"/>
        <w:widowControl w:val="false"/>
        <w:tabs>
          <w:tab w:val="clear" w:pos="708"/>
          <w:tab w:val="left" w:pos="426" w:leader="none"/>
        </w:tabs>
        <w:spacing w:before="120" w:after="120"/>
        <w:jc w:val="both"/>
        <w:rPr>
          <w:rStyle w:val="Style8"/>
          <w:b w:val="false"/>
          <w:i/>
          <w:i/>
          <w:iCs/>
          <w:sz w:val="24"/>
          <w:szCs w:val="24"/>
        </w:rPr>
      </w:pPr>
      <w:r>
        <w:rPr>
          <w:b w:val="false"/>
          <w:i/>
          <w:iCs/>
          <w:sz w:val="24"/>
          <w:szCs w:val="24"/>
        </w:rPr>
      </w:r>
    </w:p>
    <w:p>
      <w:pPr>
        <w:pStyle w:val="Normal"/>
        <w:numPr>
          <w:ilvl w:val="0"/>
          <w:numId w:val="11"/>
        </w:numPr>
        <w:spacing w:before="60" w:after="60"/>
        <w:jc w:val="both"/>
        <w:rPr>
          <w:i w:val="false"/>
          <w:i w:val="false"/>
          <w:iCs w:val="false"/>
        </w:rPr>
      </w:pPr>
      <w:r>
        <w:rPr>
          <w:b/>
          <w:bCs/>
          <w:i w:val="false"/>
          <w:iCs w:val="false"/>
          <w:sz w:val="24"/>
          <w:szCs w:val="24"/>
          <w:lang w:eastAsia="x-none"/>
        </w:rPr>
        <w:t>Требования к документации по ценообразованию на этапе заключения (исполнения) договора.</w:t>
      </w:r>
    </w:p>
    <w:p>
      <w:pPr>
        <w:pStyle w:val="Normal"/>
        <w:numPr>
          <w:ilvl w:val="1"/>
          <w:numId w:val="11"/>
        </w:numPr>
        <w:spacing w:before="60" w:after="240"/>
        <w:ind w:left="1417" w:hanging="697"/>
        <w:jc w:val="both"/>
        <w:rPr>
          <w:i w:val="false"/>
          <w:i w:val="false"/>
          <w:iCs w:val="false"/>
        </w:rPr>
      </w:pPr>
      <w:r>
        <w:rPr>
          <w:bCs/>
          <w:i w:val="false"/>
          <w:iCs w:val="false"/>
          <w:sz w:val="24"/>
          <w:szCs w:val="24"/>
          <w:lang w:eastAsia="x-none"/>
        </w:rPr>
        <w:t>В рамках реализации договора необходимо составлять и оформлять сметную документацию в обоснование стоимости работ по монтажу поставляемого оборудования с требованиями, указанными в приложении № 7 к настоящим Техническим требованиям.»</w:t>
      </w:r>
    </w:p>
    <w:p>
      <w:pPr>
        <w:pStyle w:val="Heading1"/>
        <w:keepLines/>
        <w:numPr>
          <w:ilvl w:val="0"/>
          <w:numId w:val="3"/>
        </w:numPr>
        <w:ind w:left="0" w:hanging="0"/>
        <w:jc w:val="center"/>
        <w:rPr/>
      </w:pPr>
      <w:bookmarkStart w:id="88" w:name="__RefHeading___Toc31186_2499545058"/>
      <w:bookmarkStart w:id="89" w:name="_Toc54970217"/>
      <w:bookmarkStart w:id="90" w:name="_Toc54643139"/>
      <w:bookmarkStart w:id="91" w:name="_Toc54279725"/>
      <w:bookmarkStart w:id="92" w:name="_Toc54279846"/>
      <w:bookmarkStart w:id="93" w:name="_Toc54457704"/>
      <w:bookmarkStart w:id="94" w:name="_Toc54459814"/>
      <w:bookmarkEnd w:id="88"/>
      <w:bookmarkEnd w:id="91"/>
      <w:bookmarkEnd w:id="92"/>
      <w:bookmarkEnd w:id="93"/>
      <w:bookmarkEnd w:id="94"/>
      <w:r>
        <w:rPr/>
        <w:t>Приложения</w:t>
      </w:r>
      <w:bookmarkEnd w:id="89"/>
      <w:bookmarkEnd w:id="90"/>
    </w:p>
    <w:p>
      <w:pPr>
        <w:pStyle w:val="ListParagraph"/>
        <w:widowControl w:val="false"/>
        <w:numPr>
          <w:ilvl w:val="0"/>
          <w:numId w:val="0"/>
        </w:numPr>
        <w:tabs>
          <w:tab w:val="clear" w:pos="708"/>
          <w:tab w:val="left" w:pos="426" w:leader="none"/>
        </w:tabs>
        <w:spacing w:before="60" w:after="0"/>
        <w:ind w:left="0" w:hanging="0"/>
        <w:contextualSpacing w:val="false"/>
        <w:jc w:val="both"/>
        <w:rPr>
          <w:b/>
          <w:i/>
          <w:i/>
          <w:iCs/>
          <w:sz w:val="24"/>
          <w:szCs w:val="24"/>
          <w:u w:val="single"/>
        </w:rPr>
      </w:pPr>
      <w:r>
        <w:rPr>
          <w:b/>
          <w:i/>
          <w:iCs/>
          <w:sz w:val="24"/>
          <w:szCs w:val="24"/>
          <w:u w:val="single"/>
        </w:rPr>
      </w:r>
    </w:p>
    <w:p>
      <w:pPr>
        <w:pStyle w:val="Normal"/>
        <w:widowControl w:val="false"/>
        <w:tabs>
          <w:tab w:val="clear" w:pos="708"/>
          <w:tab w:val="left" w:pos="426" w:leader="none"/>
        </w:tabs>
        <w:spacing w:before="120" w:after="120"/>
        <w:jc w:val="both"/>
        <w:rPr/>
      </w:pPr>
      <w:r>
        <w:rPr>
          <w:bCs/>
          <w:i w:val="false"/>
          <w:iCs w:val="false"/>
          <w:sz w:val="24"/>
          <w:szCs w:val="24"/>
        </w:rPr>
        <w:t xml:space="preserve">Приложение № 1: </w:t>
      </w:r>
      <w:r>
        <w:rPr>
          <w:rStyle w:val="Style8"/>
          <w:b w:val="false"/>
          <w:bCs/>
          <w:i w:val="false"/>
          <w:iCs w:val="false"/>
          <w:sz w:val="24"/>
          <w:szCs w:val="24"/>
          <w:shd w:fill="auto" w:val="clear"/>
        </w:rPr>
        <w:t>Технические требования для выбора поставщика реакторов заземляющих нулевых выводов гидрогенераторов» 1950-25-107т-ЭО, АО «Ленгидропроект»;</w:t>
      </w:r>
    </w:p>
    <w:p>
      <w:pPr>
        <w:pStyle w:val="Normal"/>
        <w:widowControl w:val="false"/>
        <w:tabs>
          <w:tab w:val="clear" w:pos="708"/>
          <w:tab w:val="left" w:pos="426" w:leader="none"/>
        </w:tabs>
        <w:spacing w:before="120" w:after="120"/>
        <w:jc w:val="both"/>
        <w:rPr/>
      </w:pPr>
      <w:r>
        <w:rPr>
          <w:bCs/>
          <w:i w:val="false"/>
          <w:iCs w:val="false"/>
          <w:sz w:val="24"/>
          <w:szCs w:val="24"/>
        </w:rPr>
        <w:t xml:space="preserve">Приложение № 2: </w:t>
      </w:r>
      <w:r>
        <w:rPr>
          <w:rStyle w:val="Style8"/>
          <w:rFonts w:eastAsia="Calibri" w:cs="Times New Roman"/>
          <w:b w:val="false"/>
          <w:bCs/>
          <w:i w:val="false"/>
          <w:iCs w:val="false"/>
          <w:color w:val="000000"/>
          <w:kern w:val="0"/>
          <w:sz w:val="24"/>
          <w:szCs w:val="24"/>
          <w:shd w:fill="auto" w:val="clear"/>
          <w:lang w:val="ru-RU" w:eastAsia="ru-RU" w:bidi="ar-SA"/>
        </w:rPr>
        <w:t>СТО РусГидро 01.01.157-2025. Руководящие указания по выбору режима заземления нейтрали электроустановок напряжением 6-35 кВ</w:t>
      </w:r>
      <w:r>
        <w:rPr>
          <w:bCs/>
          <w:i w:val="false"/>
          <w:iCs w:val="false"/>
          <w:sz w:val="24"/>
          <w:szCs w:val="24"/>
        </w:rPr>
        <w:t>;</w:t>
      </w:r>
    </w:p>
    <w:p>
      <w:pPr>
        <w:pStyle w:val="Normal"/>
        <w:widowControl w:val="false"/>
        <w:tabs>
          <w:tab w:val="clear" w:pos="708"/>
          <w:tab w:val="left" w:pos="426" w:leader="none"/>
        </w:tabs>
        <w:spacing w:before="120" w:after="120"/>
        <w:jc w:val="both"/>
        <w:rPr>
          <w:i w:val="false"/>
          <w:i w:val="false"/>
          <w:iCs w:val="false"/>
        </w:rPr>
      </w:pPr>
      <w:r>
        <w:rPr>
          <w:bCs/>
          <w:i w:val="false"/>
          <w:iCs w:val="false"/>
          <w:sz w:val="24"/>
          <w:szCs w:val="24"/>
        </w:rPr>
        <w:t>Приложение № 3: Реестр НТД;</w:t>
      </w:r>
    </w:p>
    <w:p>
      <w:pPr>
        <w:pStyle w:val="Normal"/>
        <w:widowControl w:val="false"/>
        <w:numPr>
          <w:ilvl w:val="0"/>
          <w:numId w:val="0"/>
        </w:numPr>
        <w:tabs>
          <w:tab w:val="clear" w:pos="708"/>
          <w:tab w:val="left" w:pos="567" w:leader="none"/>
          <w:tab w:val="left" w:pos="1276" w:leader="none"/>
        </w:tabs>
        <w:spacing w:lineRule="auto" w:line="240" w:before="0" w:after="0"/>
        <w:ind w:left="0" w:hanging="0"/>
        <w:contextualSpacing/>
        <w:jc w:val="both"/>
        <w:rPr>
          <w:i w:val="false"/>
          <w:i w:val="false"/>
          <w:iCs w:val="false"/>
        </w:rPr>
      </w:pPr>
      <w:r>
        <w:rPr>
          <w:rFonts w:eastAsia="Times New Roman" w:cs="Times New Roman"/>
          <w:bCs/>
          <w:i w:val="false"/>
          <w:iCs w:val="false"/>
          <w:color w:val="auto"/>
          <w:kern w:val="0"/>
          <w:sz w:val="24"/>
          <w:szCs w:val="24"/>
          <w:lang w:val="ru-RU" w:eastAsia="ru-RU" w:bidi="ar-SA"/>
        </w:rPr>
        <w:t xml:space="preserve">Приложение № 4: </w:t>
      </w:r>
      <w:r>
        <w:rPr>
          <w:bCs/>
          <w:kern w:val="2"/>
          <w:sz w:val="24"/>
          <w:szCs w:val="24"/>
        </w:rPr>
        <w:t xml:space="preserve">Методика допуска персонала подрядных организаций к выполнению работ </w:t>
      </w:r>
      <w:r>
        <w:rPr>
          <w:rFonts w:eastAsia="Times New Roman" w:cs="Times New Roman"/>
          <w:bCs/>
          <w:i w:val="false"/>
          <w:iCs w:val="false"/>
          <w:color w:val="auto"/>
          <w:kern w:val="0"/>
          <w:sz w:val="24"/>
          <w:szCs w:val="24"/>
          <w:lang w:val="ru-RU" w:eastAsia="ru-RU" w:bidi="ar-SA"/>
        </w:rPr>
        <w:t>на объектах Общества</w:t>
      </w:r>
      <w:r>
        <w:rPr>
          <w:rFonts w:eastAsia="Times New Roman" w:cs="Times New Roman"/>
          <w:i w:val="false"/>
          <w:iCs w:val="false"/>
          <w:kern w:val="0"/>
          <w:sz w:val="24"/>
          <w:szCs w:val="24"/>
          <w:lang w:val="ru-RU" w:eastAsia="ru-RU" w:bidi="ar-SA"/>
        </w:rPr>
        <w:t>;</w:t>
      </w:r>
    </w:p>
    <w:p>
      <w:pPr>
        <w:pStyle w:val="Normal"/>
        <w:widowControl w:val="false"/>
        <w:numPr>
          <w:ilvl w:val="0"/>
          <w:numId w:val="0"/>
        </w:numPr>
        <w:tabs>
          <w:tab w:val="clear" w:pos="708"/>
          <w:tab w:val="left" w:pos="225" w:leader="none"/>
        </w:tabs>
        <w:suppressAutoHyphens w:val="true"/>
        <w:bidi w:val="0"/>
        <w:spacing w:before="60" w:after="0"/>
        <w:ind w:left="0" w:right="0" w:hanging="0"/>
        <w:jc w:val="left"/>
        <w:rPr>
          <w:i w:val="false"/>
          <w:i w:val="false"/>
          <w:iCs w:val="false"/>
        </w:rPr>
      </w:pPr>
      <w:r>
        <w:rPr>
          <w:rFonts w:eastAsia="Times New Roman" w:cs="Times New Roman"/>
          <w:bCs/>
          <w:i w:val="false"/>
          <w:iCs w:val="false"/>
          <w:kern w:val="0"/>
          <w:sz w:val="24"/>
          <w:szCs w:val="24"/>
          <w:lang w:val="ru-RU" w:eastAsia="ru-RU" w:bidi="ar-SA"/>
        </w:rPr>
        <w:t xml:space="preserve">Приложение № 5: </w:t>
      </w:r>
      <w:r>
        <w:rPr>
          <w:rFonts w:eastAsia="Times New Roman" w:cs="Times New Roman"/>
          <w:i w:val="false"/>
          <w:iCs w:val="false"/>
          <w:kern w:val="0"/>
          <w:sz w:val="24"/>
          <w:szCs w:val="24"/>
          <w:lang w:val="ru-RU" w:eastAsia="ru-RU" w:bidi="ar-SA"/>
        </w:rPr>
        <w:t>Приказ филиала ПАО «РусГидро» - «Саяно-Шушенская ГЭС имени П.С. Непорожнего» от 30.12.2025 № СШГЭС/95-730 «Об упорядочивании допуска персонала подрядных организаций»;</w:t>
      </w:r>
    </w:p>
    <w:p>
      <w:pPr>
        <w:pStyle w:val="Normal"/>
        <w:widowControl w:val="false"/>
        <w:numPr>
          <w:ilvl w:val="0"/>
          <w:numId w:val="0"/>
        </w:numPr>
        <w:tabs>
          <w:tab w:val="clear" w:pos="708"/>
          <w:tab w:val="left" w:pos="225" w:leader="none"/>
        </w:tabs>
        <w:suppressAutoHyphens w:val="true"/>
        <w:bidi w:val="0"/>
        <w:spacing w:before="60" w:after="0"/>
        <w:ind w:left="0" w:right="0" w:hanging="0"/>
        <w:jc w:val="left"/>
        <w:rPr>
          <w:i w:val="false"/>
          <w:i w:val="false"/>
          <w:iCs w:val="false"/>
        </w:rPr>
      </w:pPr>
      <w:r>
        <w:rPr>
          <w:rFonts w:eastAsia="Times New Roman" w:cs="Times New Roman"/>
          <w:bCs/>
          <w:i w:val="false"/>
          <w:iCs w:val="false"/>
          <w:color w:val="auto"/>
          <w:kern w:val="0"/>
          <w:sz w:val="24"/>
          <w:szCs w:val="24"/>
          <w:lang w:val="ru-RU" w:eastAsia="ru-RU" w:bidi="ar-SA"/>
        </w:rPr>
        <w:t>Приложение № 6: Регламент процесса «Организация и проведение входного контроля материально-технических ресурсов Филиала», утв. приказом филиала ПАО «РусГидро» - «Саяно-Шушенская ГЭС имени П.С. Непорожнего» от 22.07.2025 № СШГЭС/95-389;</w:t>
      </w:r>
    </w:p>
    <w:p>
      <w:pPr>
        <w:pStyle w:val="Normal"/>
        <w:widowControl w:val="false"/>
        <w:numPr>
          <w:ilvl w:val="0"/>
          <w:numId w:val="0"/>
        </w:numPr>
        <w:tabs>
          <w:tab w:val="clear" w:pos="708"/>
          <w:tab w:val="left" w:pos="225" w:leader="none"/>
        </w:tabs>
        <w:suppressAutoHyphens w:val="true"/>
        <w:bidi w:val="0"/>
        <w:spacing w:before="60" w:after="0"/>
        <w:ind w:left="0" w:right="0" w:hanging="0"/>
        <w:jc w:val="left"/>
        <w:rPr/>
      </w:pPr>
      <w:r>
        <w:rPr>
          <w:rFonts w:eastAsia="Times New Roman" w:cs="Times New Roman"/>
          <w:bCs/>
          <w:i w:val="false"/>
          <w:iCs w:val="false"/>
          <w:color w:val="auto"/>
          <w:kern w:val="0"/>
          <w:sz w:val="24"/>
          <w:szCs w:val="24"/>
          <w:lang w:val="ru-RU" w:eastAsia="ru-RU" w:bidi="ar-SA"/>
        </w:rPr>
        <w:t>Приложение № 7: Требования к документации по ценообразованию.</w:t>
      </w:r>
    </w:p>
    <w:sectPr>
      <w:headerReference w:type="default" r:id="rId7"/>
      <w:headerReference w:type="first" r:id="rId8"/>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Sylfaen">
    <w:charset w:val="01"/>
    <w:family w:val="roman"/>
    <w:pitch w:val="variable"/>
  </w:font>
  <w:font w:name="Avenir Next Cyr">
    <w:altName w:val="sans-serif"/>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6</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28</w:t>
    </w:r>
    <w:r>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30</w:t>
    </w:r>
    <w:r>
      <w:rPr/>
      <w:fldChar w:fldCharType="end"/>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Symbol" w:hAnsi="Symbol" w:cs="Symbol"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b w:val="false"/>
        <w:szCs w:val="22"/>
        <w:iCs w:val="false"/>
        <w:bCs w:val="false"/>
        <w:lang w:val="ru-RU"/>
      </w:rPr>
    </w:lvl>
    <w:lvl w:ilvl="2">
      <w:start w:val="1"/>
      <w:numFmt w:val="decimal"/>
      <w:lvlText w:val="%1.%2.%3."/>
      <w:lvlJc w:val="left"/>
      <w:pPr>
        <w:tabs>
          <w:tab w:val="num" w:pos="0"/>
        </w:tabs>
        <w:ind w:left="930" w:hanging="504"/>
      </w:pPr>
      <w:rPr>
        <w:i/>
        <w:b w:val="false"/>
        <w:iCs/>
        <w:bCs w:val="false"/>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decimal"/>
      <w:lvlText w:val="%1."/>
      <w:lvlJc w:val="left"/>
      <w:pPr>
        <w:tabs>
          <w:tab w:val="num" w:pos="0"/>
        </w:tabs>
        <w:ind w:left="360" w:hanging="360"/>
      </w:pPr>
      <w:rPr>
        <w:sz w:val="24"/>
        <w:i w:val="false"/>
        <w:b w:val="false"/>
        <w:kern w:val="0"/>
        <w:szCs w:val="24"/>
        <w:iCs w:val="false"/>
        <w:bCs/>
        <w:rFonts w:ascii="Times New Roman" w:hAnsi="Times New Roman" w:eastAsia="Calibri" w:cs="Times New Roman"/>
        <w:color w:val="auto"/>
        <w:lang w:val="ru-RU" w:eastAsia="ru-RU" w:bidi="ar-SA"/>
      </w:rPr>
    </w:lvl>
    <w:lvl w:ilvl="1">
      <w:start w:val="1"/>
      <w:numFmt w:val="decimal"/>
      <w:lvlText w:val="%1.%2."/>
      <w:lvlJc w:val="left"/>
      <w:pPr>
        <w:tabs>
          <w:tab w:val="num" w:pos="0"/>
        </w:tabs>
        <w:ind w:left="792" w:hanging="432"/>
      </w:pPr>
      <w:rPr>
        <w:sz w:val="24"/>
        <w:i w:val="false"/>
        <w:b w:val="false"/>
        <w:szCs w:val="24"/>
        <w:iCs w:val="false"/>
        <w:bCs/>
      </w:rPr>
    </w:lvl>
    <w:lvl w:ilvl="2">
      <w:start w:val="1"/>
      <w:numFmt w:val="decimal"/>
      <w:lvlText w:val="%1.%2.%3."/>
      <w:lvlJc w:val="left"/>
      <w:pPr>
        <w:tabs>
          <w:tab w:val="num" w:pos="0"/>
        </w:tabs>
        <w:ind w:left="1224" w:hanging="504"/>
      </w:pPr>
      <w:rPr>
        <w:sz w:val="24"/>
        <w:i w:val="false"/>
        <w:szCs w:val="24"/>
        <w:iCs w:val="false"/>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3"/>
      <w:numFmt w:val="decimal"/>
      <w:lvlText w:val="%1."/>
      <w:lvlJc w:val="left"/>
      <w:pPr>
        <w:tabs>
          <w:tab w:val="num" w:pos="0"/>
        </w:tabs>
        <w:ind w:left="1080" w:hanging="360"/>
      </w:pPr>
      <w:rPr/>
    </w:lvl>
    <w:lvl w:ilvl="1">
      <w:start w:val="1"/>
      <w:numFmt w:val="decimal"/>
      <w:lvlText w:val="%1.%2."/>
      <w:lvlJc w:val="left"/>
      <w:pPr>
        <w:tabs>
          <w:tab w:val="num" w:pos="0"/>
        </w:tabs>
        <w:ind w:left="1140" w:hanging="420"/>
      </w:pPr>
      <w:rPr>
        <w:b w:val="false"/>
        <w:bCs w:val="false"/>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440" w:hanging="720"/>
      </w:pPr>
      <w:rPr/>
    </w:lvl>
    <w:lvl w:ilvl="4">
      <w:start w:val="1"/>
      <w:numFmt w:val="decimal"/>
      <w:lvlText w:val="%1.%2.%3.%4.%5."/>
      <w:lvlJc w:val="left"/>
      <w:pPr>
        <w:tabs>
          <w:tab w:val="num" w:pos="0"/>
        </w:tabs>
        <w:ind w:left="1800" w:hanging="1080"/>
      </w:pPr>
      <w:rPr/>
    </w:lvl>
    <w:lvl w:ilvl="5">
      <w:start w:val="1"/>
      <w:numFmt w:val="decimal"/>
      <w:lvlText w:val="%1.%2.%3.%4.%5.%6."/>
      <w:lvlJc w:val="left"/>
      <w:pPr>
        <w:tabs>
          <w:tab w:val="num" w:pos="0"/>
        </w:tabs>
        <w:ind w:left="1800" w:hanging="1080"/>
      </w:pPr>
      <w:rPr/>
    </w:lvl>
    <w:lvl w:ilvl="6">
      <w:start w:val="1"/>
      <w:numFmt w:val="decimal"/>
      <w:lvlText w:val="%1.%2.%3.%4.%5.%6.%7."/>
      <w:lvlJc w:val="left"/>
      <w:pPr>
        <w:tabs>
          <w:tab w:val="num" w:pos="0"/>
        </w:tabs>
        <w:ind w:left="2160" w:hanging="1440"/>
      </w:pPr>
      <w:rPr/>
    </w:lvl>
    <w:lvl w:ilvl="7">
      <w:start w:val="1"/>
      <w:numFmt w:val="decimal"/>
      <w:lvlText w:val="%1.%2.%3.%4.%5.%6.%7.%8."/>
      <w:lvlJc w:val="left"/>
      <w:pPr>
        <w:tabs>
          <w:tab w:val="num" w:pos="0"/>
        </w:tabs>
        <w:ind w:left="2160" w:hanging="1440"/>
      </w:pPr>
      <w:rPr/>
    </w:lvl>
    <w:lvl w:ilvl="8">
      <w:start w:val="1"/>
      <w:numFmt w:val="decimal"/>
      <w:lvlText w:val="%1.%2.%3.%4.%5.%6.%7.%8.%9."/>
      <w:lvlJc w:val="left"/>
      <w:pPr>
        <w:tabs>
          <w:tab w:val="num" w:pos="0"/>
        </w:tabs>
        <w:ind w:left="2520" w:hanging="180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3"/>
      <w:numFmt w:val="decimal"/>
      <w:lvlText w:val="%1."/>
      <w:lvlJc w:val="left"/>
      <w:pPr>
        <w:tabs>
          <w:tab w:val="num" w:pos="0"/>
        </w:tabs>
        <w:ind w:left="360" w:hanging="360"/>
      </w:pPr>
      <w:rPr>
        <w:sz w:val="24"/>
        <w:i w:val="false"/>
        <w:b/>
        <w:szCs w:val="24"/>
        <w:iCs w:val="false"/>
        <w:bCs w:val="false"/>
      </w:rPr>
    </w:lvl>
    <w:lvl w:ilvl="1">
      <w:start w:val="1"/>
      <w:numFmt w:val="decimal"/>
      <w:lvlText w:val="%1.%2."/>
      <w:lvlJc w:val="left"/>
      <w:pPr>
        <w:tabs>
          <w:tab w:val="num" w:pos="0"/>
        </w:tabs>
        <w:ind w:left="792" w:hanging="432"/>
      </w:pPr>
      <w:rPr>
        <w:sz w:val="24"/>
        <w:i w:val="false"/>
        <w:b w:val="false"/>
        <w:szCs w:val="24"/>
        <w:iCs w:val="false"/>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1"/>
      <w:numFmt w:val="decimal"/>
      <w:lvlText w:val="%1."/>
      <w:lvlJc w:val="left"/>
      <w:pPr>
        <w:tabs>
          <w:tab w:val="num" w:pos="745"/>
        </w:tabs>
        <w:ind w:left="745" w:hanging="360"/>
      </w:pPr>
      <w:rPr/>
    </w:lvl>
    <w:lvl w:ilvl="1">
      <w:start w:val="1"/>
      <w:numFmt w:val="decimal"/>
      <w:lvlText w:val="%2."/>
      <w:lvlJc w:val="left"/>
      <w:pPr>
        <w:tabs>
          <w:tab w:val="num" w:pos="1105"/>
        </w:tabs>
        <w:ind w:left="1105" w:hanging="360"/>
      </w:pPr>
      <w:rPr/>
    </w:lvl>
    <w:lvl w:ilvl="2">
      <w:start w:val="1"/>
      <w:numFmt w:val="decimal"/>
      <w:lvlText w:val="%3."/>
      <w:lvlJc w:val="left"/>
      <w:pPr>
        <w:tabs>
          <w:tab w:val="num" w:pos="1465"/>
        </w:tabs>
        <w:ind w:left="1465" w:hanging="360"/>
      </w:pPr>
      <w:rPr/>
    </w:lvl>
    <w:lvl w:ilvl="3">
      <w:start w:val="1"/>
      <w:numFmt w:val="decimal"/>
      <w:lvlText w:val="%4."/>
      <w:lvlJc w:val="left"/>
      <w:pPr>
        <w:tabs>
          <w:tab w:val="num" w:pos="1825"/>
        </w:tabs>
        <w:ind w:left="1825" w:hanging="360"/>
      </w:pPr>
      <w:rPr/>
    </w:lvl>
    <w:lvl w:ilvl="4">
      <w:start w:val="1"/>
      <w:numFmt w:val="decimal"/>
      <w:lvlText w:val="%5."/>
      <w:lvlJc w:val="left"/>
      <w:pPr>
        <w:tabs>
          <w:tab w:val="num" w:pos="2185"/>
        </w:tabs>
        <w:ind w:left="2185" w:hanging="360"/>
      </w:pPr>
      <w:rPr/>
    </w:lvl>
    <w:lvl w:ilvl="5">
      <w:start w:val="1"/>
      <w:numFmt w:val="decimal"/>
      <w:lvlText w:val="%6."/>
      <w:lvlJc w:val="left"/>
      <w:pPr>
        <w:tabs>
          <w:tab w:val="num" w:pos="2545"/>
        </w:tabs>
        <w:ind w:left="2545" w:hanging="360"/>
      </w:pPr>
      <w:rPr/>
    </w:lvl>
    <w:lvl w:ilvl="6">
      <w:start w:val="1"/>
      <w:numFmt w:val="decimal"/>
      <w:lvlText w:val="%7."/>
      <w:lvlJc w:val="left"/>
      <w:pPr>
        <w:tabs>
          <w:tab w:val="num" w:pos="2905"/>
        </w:tabs>
        <w:ind w:left="2905" w:hanging="360"/>
      </w:pPr>
      <w:rPr/>
    </w:lvl>
    <w:lvl w:ilvl="7">
      <w:start w:val="1"/>
      <w:numFmt w:val="decimal"/>
      <w:lvlText w:val="%8."/>
      <w:lvlJc w:val="left"/>
      <w:pPr>
        <w:tabs>
          <w:tab w:val="num" w:pos="3265"/>
        </w:tabs>
        <w:ind w:left="3265" w:hanging="360"/>
      </w:pPr>
      <w:rPr/>
    </w:lvl>
    <w:lvl w:ilvl="8">
      <w:start w:val="1"/>
      <w:numFmt w:val="decimal"/>
      <w:lvlText w:val="%9."/>
      <w:lvlJc w:val="left"/>
      <w:pPr>
        <w:tabs>
          <w:tab w:val="num" w:pos="3625"/>
        </w:tabs>
        <w:ind w:left="3625" w:hanging="360"/>
      </w:pPr>
      <w:rPr/>
    </w:lvl>
  </w:abstractNum>
  <w:abstractNum w:abstractNumId="1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1">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110"/>
  <w:trackRevisions/>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014f1"/>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rsid w:val="00353a27"/>
    <w:pPr>
      <w:numPr>
        <w:ilvl w:val="0"/>
      </w:numPr>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qFormat/>
    <w:rsid w:val="00ad1ccb"/>
    <w:pPr>
      <w:keepNext w:val="true"/>
      <w:numPr>
        <w:ilvl w:val="2"/>
        <w:numId w:val="3"/>
      </w:numPr>
      <w:spacing w:before="120" w:after="60"/>
      <w:ind w:left="1224" w:hanging="0"/>
      <w:outlineLvl w:val="2"/>
    </w:pPr>
    <w:rPr>
      <w:rFonts w:eastAsia="Calibri"/>
      <w:b/>
      <w:sz w:val="24"/>
      <w:szCs w:val="24"/>
      <w:lang w:val="x-none" w:eastAsia="x-none"/>
    </w:rPr>
  </w:style>
  <w:style w:type="paragraph" w:styleId="Heading4">
    <w:name w:val="Heading 4"/>
    <w:basedOn w:val="Heading3"/>
    <w:next w:val="Normal"/>
    <w:link w:val="4"/>
    <w:qFormat/>
    <w:rsid w:val="006629c9"/>
    <w:pPr>
      <w:numPr>
        <w:ilvl w:val="1"/>
      </w:numPr>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name w:val="Символ сноски"/>
    <w:qFormat/>
    <w:rsid w:val="00d561d9"/>
    <w:rPr>
      <w:vertAlign w:val="superscript"/>
    </w:rPr>
  </w:style>
  <w:style w:type="character" w:styleId="FootnoteReference">
    <w:name w:val="Footnote Reference"/>
    <w:rPr>
      <w:vertAlign w:val="superscript"/>
    </w:rPr>
  </w:style>
  <w:style w:type="character" w:styleId="Pagenumber">
    <w:name w:val="page number"/>
    <w:basedOn w:val="DefaultParagraphFont"/>
    <w:qFormat/>
    <w:rsid w:val="006c2f3f"/>
    <w:rPr/>
  </w:style>
  <w:style w:type="character" w:styleId="Hyperlink">
    <w:name w:val="Hyperlink"/>
    <w:uiPriority w:val="99"/>
    <w:rsid w:val="006c2f3f"/>
    <w:rPr>
      <w:color w:val="0000FF"/>
      <w:u w:val="single"/>
    </w:rPr>
  </w:style>
  <w:style w:type="character" w:styleId="Annotationreference">
    <w:name w:val="annotation reference"/>
    <w:uiPriority w:val="99"/>
    <w:qFormat/>
    <w:rsid w:val="00b714b0"/>
    <w:rPr>
      <w:sz w:val="16"/>
      <w:szCs w:val="16"/>
    </w:rPr>
  </w:style>
  <w:style w:type="character" w:styleId="Strong1">
    <w:name w:val="Strong1"/>
    <w:uiPriority w:val="22"/>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ad1ccb"/>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4"/>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1" w:customStyle="1">
    <w:name w:val="Подпункт Знак1"/>
    <w:link w:val="Style23"/>
    <w:qFormat/>
    <w:locked/>
    <w:rsid w:val="00d22f6d"/>
    <w:rPr>
      <w:sz w:val="28"/>
    </w:rPr>
  </w:style>
  <w:style w:type="character" w:styleId="Style5" w:customStyle="1">
    <w:name w:val="Текст сноски Знак"/>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31"/>
    <w:qFormat/>
    <w:locked/>
    <w:rsid w:val="0025139e"/>
    <w:rPr>
      <w:sz w:val="26"/>
      <w:szCs w:val="26"/>
    </w:rPr>
  </w:style>
  <w:style w:type="character" w:styleId="31" w:customStyle="1">
    <w:name w:val="УРОВЕНЬ_Абзац_тип3 Знак"/>
    <w:link w:val="35"/>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link w:val="Annotationtext"/>
    <w:qFormat/>
    <w:rsid w:val="00dc0f7d"/>
    <w:rPr/>
  </w:style>
  <w:style w:type="character" w:styleId="Style12" w:customStyle="1">
    <w:name w:val="Текст концевой сноски Знак"/>
    <w:basedOn w:val="DefaultParagraphFont"/>
    <w:qFormat/>
    <w:rsid w:val="003879d4"/>
    <w:rPr/>
  </w:style>
  <w:style w:type="character" w:styleId="Style13">
    <w:name w:val="Символ концевой сноски"/>
    <w:qFormat/>
    <w:rsid w:val="003879d4"/>
    <w:rPr>
      <w:vertAlign w:val="superscript"/>
    </w:rPr>
  </w:style>
  <w:style w:type="character" w:styleId="EndnoteReference">
    <w:name w:val="Endnote Reference"/>
    <w:rPr>
      <w:vertAlign w:val="superscript"/>
    </w:rPr>
  </w:style>
  <w:style w:type="character" w:styleId="22" w:customStyle="1">
    <w:name w:val="Пункт2 Знак"/>
    <w:link w:val="24"/>
    <w:qFormat/>
    <w:rsid w:val="00de52bc"/>
    <w:rPr>
      <w:b/>
      <w:sz w:val="28"/>
    </w:rPr>
  </w:style>
  <w:style w:type="character" w:styleId="12" w:customStyle="1">
    <w:name w:val="Неразрешенное упоминание1"/>
    <w:basedOn w:val="DefaultParagraphFont"/>
    <w:uiPriority w:val="99"/>
    <w:semiHidden/>
    <w:unhideWhenUsed/>
    <w:qFormat/>
    <w:rsid w:val="00796dd1"/>
    <w:rPr>
      <w:color w:val="605E5C"/>
      <w:shd w:fill="E1DFDD" w:val="clear"/>
    </w:rPr>
  </w:style>
  <w:style w:type="character" w:styleId="Style14">
    <w:name w:val="Ссылка указателя"/>
    <w:qFormat/>
    <w:rPr/>
  </w:style>
  <w:style w:type="character" w:styleId="Strong">
    <w:name w:val="Strong"/>
    <w:qFormat/>
    <w:rPr>
      <w:b/>
      <w:bCs/>
    </w:rPr>
  </w:style>
  <w:style w:type="character" w:styleId="Style15">
    <w:name w:val="Символ нумерации"/>
    <w:qFormat/>
    <w:rPr/>
  </w:style>
  <w:style w:type="character" w:styleId="Style16">
    <w:name w:val="Маркеры"/>
    <w:qFormat/>
    <w:rPr>
      <w:rFonts w:ascii="OpenSymbol" w:hAnsi="OpenSymbol" w:eastAsia="OpenSymbol" w:cs="OpenSymbol"/>
    </w:rPr>
  </w:style>
  <w:style w:type="character" w:styleId="LineNumber">
    <w:name w:val="Line Number"/>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Style19" w:customStyle="1">
    <w:name w:val="Название раздела инструкции"/>
    <w:basedOn w:val="Normal"/>
    <w:autoRedefine/>
    <w:qFormat/>
    <w:rsid w:val="00275328"/>
    <w:pPr>
      <w:jc w:val="center"/>
    </w:pPr>
    <w:rPr>
      <w:b/>
    </w:rPr>
  </w:style>
  <w:style w:type="paragraph" w:styleId="Style20" w:customStyle="1">
    <w:name w:val="Раздел положения"/>
    <w:basedOn w:val="Normal"/>
    <w:autoRedefine/>
    <w:qFormat/>
    <w:rsid w:val="007475ee"/>
    <w:pPr>
      <w:numPr>
        <w:ilvl w:val="0"/>
        <w:numId w:val="1"/>
      </w:numPr>
      <w:spacing w:before="80" w:after="80"/>
      <w:ind w:left="0" w:hanging="0"/>
      <w:jc w:val="center"/>
    </w:pPr>
    <w:rPr>
      <w:b/>
      <w:sz w:val="32"/>
      <w:szCs w:val="32"/>
    </w:rPr>
  </w:style>
  <w:style w:type="paragraph" w:styleId="Style21" w:customStyle="1">
    <w:name w:val="Подраздел раздела положения"/>
    <w:basedOn w:val="Normal"/>
    <w:autoRedefine/>
    <w:qFormat/>
    <w:rsid w:val="007475ee"/>
    <w:pPr>
      <w:numPr>
        <w:ilvl w:val="1"/>
        <w:numId w:val="1"/>
      </w:numPr>
      <w:tabs>
        <w:tab w:val="clear" w:pos="708"/>
        <w:tab w:val="left" w:pos="360" w:leader="none"/>
      </w:tabs>
      <w:spacing w:before="80" w:after="80"/>
      <w:jc w:val="both"/>
    </w:pPr>
    <w:rPr/>
  </w:style>
  <w:style w:type="paragraph" w:styleId="FootnoteText">
    <w:name w:val="Footnote Text"/>
    <w:basedOn w:val="Normal"/>
    <w:link w:val="Style5"/>
    <w:rsid w:val="00d561d9"/>
    <w:pPr/>
    <w:rPr>
      <w:sz w:val="20"/>
      <w:szCs w:val="20"/>
    </w:rPr>
  </w:style>
  <w:style w:type="paragraph" w:styleId="13"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3"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2"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4" w:customStyle="1">
    <w:name w:val="Название1"/>
    <w:basedOn w:val="Normal"/>
    <w:link w:val="Style1"/>
    <w:uiPriority w:val="10"/>
    <w:qFormat/>
    <w:rsid w:val="00bd4014"/>
    <w:pPr>
      <w:jc w:val="center"/>
    </w:pPr>
    <w:rPr>
      <w:szCs w:val="20"/>
      <w:lang w:val="x-none" w:eastAsia="x-none"/>
    </w:rPr>
  </w:style>
  <w:style w:type="paragraph" w:styleId="Style22">
    <w:name w:val="Колонтитул"/>
    <w:basedOn w:val="Normal"/>
    <w:qFormat/>
    <w:pPr/>
    <w:rPr/>
  </w:style>
  <w:style w:type="paragraph" w:styleId="Header">
    <w:name w:val="Header"/>
    <w:basedOn w:val="Normal"/>
    <w:link w:val="Style10"/>
    <w:rsid w:val="0076353a"/>
    <w:pPr>
      <w:tabs>
        <w:tab w:val="clear" w:pos="708"/>
        <w:tab w:val="center" w:pos="4677" w:leader="none"/>
        <w:tab w:val="right" w:pos="9355" w:leader="none"/>
      </w:tabs>
    </w:pPr>
    <w:rPr>
      <w:sz w:val="24"/>
      <w:szCs w:val="24"/>
    </w:rPr>
  </w:style>
  <w:style w:type="paragraph" w:styleId="BodyTextIndent">
    <w:name w:val="Body Text Indent"/>
    <w:basedOn w:val="Normal"/>
    <w:rsid w:val="0076353a"/>
    <w:pPr>
      <w:ind w:left="360" w:hanging="0"/>
    </w:pPr>
    <w:rPr>
      <w:sz w:val="24"/>
      <w:szCs w:val="24"/>
    </w:rPr>
  </w:style>
  <w:style w:type="paragraph" w:styleId="Footer">
    <w:name w:val="Footer"/>
    <w:basedOn w:val="Normal"/>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left="283" w:hanging="0"/>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qFormat/>
    <w:rsid w:val="0076353a"/>
    <w:pPr>
      <w:spacing w:before="0" w:after="120"/>
      <w:ind w:left="283" w:hanging="0"/>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left="-567" w:right="-766" w:hanging="0"/>
      <w:jc w:val="center"/>
    </w:pPr>
    <w:rPr>
      <w:b/>
      <w:bCs/>
      <w:sz w:val="24"/>
      <w:szCs w:val="20"/>
    </w:rPr>
  </w:style>
  <w:style w:type="paragraph" w:styleId="Style23" w:customStyle="1">
    <w:name w:val="Подпункт"/>
    <w:basedOn w:val="Normal"/>
    <w:link w:val="11"/>
    <w:qFormat/>
    <w:rsid w:val="0076353a"/>
    <w:pPr>
      <w:tabs>
        <w:tab w:val="clear" w:pos="708"/>
        <w:tab w:val="left" w:pos="1134" w:leader="none"/>
      </w:tabs>
      <w:snapToGrid w:val="false"/>
      <w:spacing w:lineRule="auto" w:line="360"/>
      <w:ind w:left="1134" w:hanging="1134"/>
      <w:jc w:val="both"/>
    </w:pPr>
    <w:rPr>
      <w:szCs w:val="20"/>
      <w:lang w:val="x-none" w:eastAsia="x-none"/>
    </w:rPr>
  </w:style>
  <w:style w:type="paragraph" w:styleId="24" w:customStyle="1">
    <w:name w:val="Пункт2"/>
    <w:basedOn w:val="Normal"/>
    <w:link w:val="22"/>
    <w:qFormat/>
    <w:rsid w:val="0076353a"/>
    <w:pPr>
      <w:keepNext w:val="true"/>
      <w:tabs>
        <w:tab w:val="clear" w:pos="708"/>
        <w:tab w:val="left" w:pos="1134" w:leader="none"/>
      </w:tabs>
      <w:suppressAutoHyphens w:val="true"/>
      <w:snapToGrid w:val="false"/>
      <w:spacing w:before="240" w:after="120"/>
      <w:ind w:left="1134" w:hanging="1134"/>
      <w:outlineLvl w:val="2"/>
    </w:pPr>
    <w:rPr>
      <w:b/>
      <w:szCs w:val="20"/>
    </w:rPr>
  </w:style>
  <w:style w:type="paragraph" w:styleId="TOC1">
    <w:name w:val="TOC 1"/>
    <w:basedOn w:val="Normal"/>
    <w:next w:val="Normal"/>
    <w:autoRedefine/>
    <w:uiPriority w:val="39"/>
    <w:rsid w:val="00607c5c"/>
    <w:pPr>
      <w:spacing w:before="120" w:after="0"/>
    </w:pPr>
    <w:rPr>
      <w:rFonts w:cs="Calibri" w:cstheme="minorHAnsi"/>
      <w:b/>
      <w:bCs/>
      <w:iCs/>
      <w:sz w:val="24"/>
      <w:szCs w:val="24"/>
    </w:rPr>
  </w:style>
  <w:style w:type="paragraph" w:styleId="TOC3">
    <w:name w:val="TOC 3"/>
    <w:basedOn w:val="Normal"/>
    <w:next w:val="Normal"/>
    <w:autoRedefine/>
    <w:uiPriority w:val="39"/>
    <w:rsid w:val="00607c5c"/>
    <w:pPr>
      <w:ind w:left="560" w:hanging="0"/>
    </w:pPr>
    <w:rPr>
      <w:rFonts w:cs="Calibri" w:cstheme="minorHAnsi"/>
      <w:sz w:val="20"/>
      <w:szCs w:val="20"/>
    </w:rPr>
  </w:style>
  <w:style w:type="paragraph" w:styleId="Style24" w:customStyle="1">
    <w:name w:val="Раздел регламента"/>
    <w:basedOn w:val="Normal"/>
    <w:qFormat/>
    <w:rsid w:val="00e228fa"/>
    <w:pPr/>
    <w:rPr/>
  </w:style>
  <w:style w:type="paragraph" w:styleId="Style25"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607c5c"/>
    <w:pPr>
      <w:spacing w:before="120" w:after="0"/>
      <w:ind w:left="280" w:hanging="0"/>
    </w:pPr>
    <w:rPr>
      <w:rFonts w:cs="Calibri" w:cstheme="minorHAnsi"/>
      <w:b/>
      <w:bCs/>
      <w:sz w:val="22"/>
      <w:szCs w:val="22"/>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Style11"/>
    <w:qFormat/>
    <w:rsid w:val="00b714b0"/>
    <w:pPr/>
    <w:rPr>
      <w:sz w:val="20"/>
      <w:szCs w:val="20"/>
    </w:rPr>
  </w:style>
  <w:style w:type="paragraph" w:styleId="Annotationsubject">
    <w:name w:val="annotation subject"/>
    <w:basedOn w:val="Annotationtext"/>
    <w:next w:val="Annotationtext"/>
    <w:semiHidden/>
    <w:qFormat/>
    <w:rsid w:val="00b714b0"/>
    <w:pPr/>
    <w:rPr>
      <w:b/>
      <w:bCs/>
    </w:rPr>
  </w:style>
  <w:style w:type="paragraph" w:styleId="15"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left="2240" w:hanging="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left="1120" w:hanging="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607c5c"/>
    <w:pPr>
      <w:ind w:left="840" w:hanging="0"/>
    </w:pPr>
    <w:rPr>
      <w:rFonts w:cs="Calibri" w:cstheme="minorHAnsi"/>
      <w:sz w:val="20"/>
      <w:szCs w:val="20"/>
    </w:rPr>
  </w:style>
  <w:style w:type="paragraph" w:styleId="25" w:customStyle="1">
    <w:name w:val="Раздел положения 2"/>
    <w:basedOn w:val="Normal"/>
    <w:qFormat/>
    <w:rsid w:val="002c1e0e"/>
    <w:pPr>
      <w:pageBreakBefore/>
      <w:jc w:val="both"/>
      <w:outlineLvl w:val="0"/>
    </w:pPr>
    <w:rPr>
      <w:b/>
    </w:rPr>
  </w:style>
  <w:style w:type="paragraph" w:styleId="Style26"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Caption1">
    <w:name w:val="caption1"/>
    <w:basedOn w:val="Normal"/>
    <w:next w:val="Normal"/>
    <w:uiPriority w:val="35"/>
    <w:qFormat/>
    <w:rsid w:val="00d22f6d"/>
    <w:pPr/>
    <w:rPr>
      <w:rFonts w:eastAsia="Calibri"/>
      <w:b/>
      <w:bCs/>
      <w:color w:val="4F81BD"/>
      <w:sz w:val="18"/>
      <w:szCs w:val="18"/>
    </w:rPr>
  </w:style>
  <w:style w:type="paragraph" w:styleId="Subtitle">
    <w:name w:val="Subtitle"/>
    <w:basedOn w:val="Normal"/>
    <w:next w:val="Normal"/>
    <w:link w:val="Style2"/>
    <w:uiPriority w:val="11"/>
    <w:qFormat/>
    <w:rsid w:val="00d22f6d"/>
    <w:pPr>
      <w:numPr>
        <w:ilvl w:val="1"/>
      </w:numPr>
      <w:ind w:left="1066" w:firstLine="709"/>
    </w:pPr>
    <w:rPr>
      <w:rFonts w:ascii="Cambria" w:hAnsi="Cambria"/>
      <w:i/>
      <w:iCs/>
      <w:color w:val="4F81BD"/>
      <w:spacing w:val="15"/>
      <w:sz w:val="24"/>
      <w:szCs w:val="24"/>
      <w:lang w:val="x-none" w:eastAsia="x-none"/>
    </w:rPr>
  </w:style>
  <w:style w:type="paragraph" w:styleId="ListParagraph">
    <w:name w:val="List Paragraph"/>
    <w:basedOn w:val="Normal"/>
    <w:link w:val="Style7"/>
    <w:uiPriority w:val="34"/>
    <w:qFormat/>
    <w:rsid w:val="00d22f6d"/>
    <w:pPr>
      <w:spacing w:before="0" w:after="0"/>
      <w:ind w:left="720" w:hanging="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left="936" w:right="936" w:hanging="0"/>
    </w:pPr>
    <w:rPr>
      <w:rFonts w:ascii="Calibri" w:hAnsi="Calibri" w:eastAsia="Calibri"/>
      <w:b/>
      <w:bCs/>
      <w:i/>
      <w:iCs/>
      <w:color w:val="4F81BD"/>
      <w:sz w:val="20"/>
      <w:szCs w:val="20"/>
      <w:lang w:val="x-none" w:eastAsia="x-none"/>
    </w:rPr>
  </w:style>
  <w:style w:type="paragraph" w:styleId="IndexHeading">
    <w:name w:val="Index Heading"/>
    <w:basedOn w:val="Style17"/>
    <w:pPr/>
    <w:rPr/>
  </w:style>
  <w:style w:type="paragraph" w:styleId="TOCHeading">
    <w:name w:val="TOC Heading"/>
    <w:basedOn w:val="Heading1"/>
    <w:next w:val="Normal"/>
    <w:uiPriority w:val="39"/>
    <w:qFormat/>
    <w:rsid w:val="00d22f6d"/>
    <w:pPr>
      <w:keepLines/>
      <w:spacing w:before="480" w:after="6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7"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3"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ListBullet4" w:customStyle="1">
    <w:name w:val="List Bullet 4"/>
    <w:basedOn w:val="Normal"/>
    <w:qFormat/>
    <w:rsid w:val="00d22f6d"/>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4"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8" w:customStyle="1">
    <w:name w:val="Пункт"/>
    <w:basedOn w:val="Normal"/>
    <w:qFormat/>
    <w:rsid w:val="00d22f6d"/>
    <w:pPr>
      <w:widowControl w:val="false"/>
      <w:tabs>
        <w:tab w:val="clear" w:pos="708"/>
        <w:tab w:val="left" w:pos="1134" w:leader="none"/>
      </w:tabs>
      <w:spacing w:lineRule="auto" w:line="360" w:before="120" w:after="0"/>
      <w:ind w:left="1134" w:right="800" w:hanging="1134"/>
      <w:jc w:val="both"/>
    </w:pPr>
    <w:rPr>
      <w:rFonts w:ascii="Arial" w:hAnsi="Arial"/>
      <w:b/>
      <w:i/>
      <w:szCs w:val="20"/>
    </w:rPr>
  </w:style>
  <w:style w:type="paragraph" w:styleId="16" w:customStyle="1">
    <w:name w:val="Абзац списка1"/>
    <w:basedOn w:val="Normal"/>
    <w:qFormat/>
    <w:rsid w:val="00d22f6d"/>
    <w:pPr>
      <w:spacing w:lineRule="auto" w:line="276" w:before="0" w:after="200"/>
      <w:ind w:left="720" w:hanging="0"/>
      <w:contextualSpacing/>
    </w:pPr>
    <w:rPr>
      <w:rFonts w:ascii="Calibri" w:hAnsi="Calibri"/>
      <w:sz w:val="22"/>
      <w:szCs w:val="22"/>
      <w:lang w:eastAsia="en-US"/>
    </w:rPr>
  </w:style>
  <w:style w:type="paragraph" w:styleId="Style29"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30" w:customStyle="1">
    <w:name w:val="Таблица шапка"/>
    <w:basedOn w:val="Normal"/>
    <w:qFormat/>
    <w:rsid w:val="00f64089"/>
    <w:pPr>
      <w:keepNext w:val="true"/>
      <w:spacing w:before="40" w:after="40"/>
      <w:ind w:left="57" w:right="57" w:hanging="0"/>
    </w:pPr>
    <w:rPr>
      <w:sz w:val="22"/>
      <w:szCs w:val="26"/>
    </w:rPr>
  </w:style>
  <w:style w:type="paragraph" w:styleId="Style31" w:customStyle="1">
    <w:name w:val="Подподпункт"/>
    <w:basedOn w:val="Style23"/>
    <w:link w:val="Style9"/>
    <w:qFormat/>
    <w:rsid w:val="0025139e"/>
    <w:pPr>
      <w:tabs>
        <w:tab w:val="clear" w:pos="1134"/>
        <w:tab w:val="left" w:pos="5104" w:leader="none"/>
      </w:tabs>
      <w:snapToGrid w:val="true"/>
      <w:spacing w:lineRule="auto" w:line="240" w:before="120" w:after="0"/>
      <w:ind w:left="5104" w:hanging="567"/>
    </w:pPr>
    <w:rPr>
      <w:sz w:val="26"/>
      <w:szCs w:val="26"/>
      <w:lang w:val="ru-RU" w:eastAsia="ru-RU"/>
    </w:rPr>
  </w:style>
  <w:style w:type="paragraph" w:styleId="Style32"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5"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3"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7" w:customStyle="1">
    <w:name w:val="Стиль Заголовок 1 + по ширине"/>
    <w:basedOn w:val="Heading1"/>
    <w:qFormat/>
    <w:rsid w:val="005773b2"/>
    <w:pPr>
      <w:keepLines/>
      <w:numPr>
        <w:ilvl w:val="0"/>
        <w:numId w:val="0"/>
      </w:numPr>
      <w:tabs>
        <w:tab w:val="clear" w:pos="708"/>
        <w:tab w:val="left" w:pos="567" w:leader="none"/>
      </w:tabs>
      <w:suppressAutoHyphens w:val="true"/>
      <w:spacing w:before="480" w:after="240"/>
      <w:ind w:left="567" w:hanging="567"/>
      <w:jc w:val="both"/>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8" w:customStyle="1">
    <w:name w:val="Заголовок 2 КВВ"/>
    <w:basedOn w:val="Normal"/>
    <w:qFormat/>
    <w:rsid w:val="00cb35e8"/>
    <w:pPr>
      <w:keepNext w:val="true"/>
      <w:numPr>
        <w:ilvl w:val="0"/>
        <w:numId w:val="5"/>
      </w:numPr>
      <w:suppressAutoHyphens w:val="true"/>
      <w:spacing w:before="120" w:after="120"/>
      <w:jc w:val="both"/>
      <w:outlineLvl w:val="0"/>
    </w:pPr>
    <w:rPr>
      <w:b/>
      <w:kern w:val="2"/>
      <w:sz w:val="24"/>
      <w:szCs w:val="20"/>
      <w:lang w:eastAsia="x-none"/>
    </w:rPr>
  </w:style>
  <w:style w:type="paragraph" w:styleId="Style34" w:customStyle="1">
    <w:name w:val="Таблица текст"/>
    <w:basedOn w:val="Normal"/>
    <w:qFormat/>
    <w:rsid w:val="00343e95"/>
    <w:pPr>
      <w:spacing w:before="40" w:after="40"/>
      <w:ind w:left="57" w:right="57" w:hanging="0"/>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TOC6">
    <w:name w:val="TOC 6"/>
    <w:basedOn w:val="Normal"/>
    <w:next w:val="Normal"/>
    <w:autoRedefine/>
    <w:semiHidden/>
    <w:unhideWhenUsed/>
    <w:rsid w:val="00796dd1"/>
    <w:pPr>
      <w:ind w:left="1400" w:hanging="0"/>
    </w:pPr>
    <w:rPr>
      <w:rFonts w:ascii="Calibri" w:hAnsi="Calibri" w:cs="Calibri" w:asciiTheme="minorHAnsi" w:cstheme="minorHAnsi" w:hAnsiTheme="minorHAnsi"/>
      <w:sz w:val="20"/>
      <w:szCs w:val="20"/>
    </w:rPr>
  </w:style>
  <w:style w:type="paragraph" w:styleId="TOC7">
    <w:name w:val="TOC 7"/>
    <w:basedOn w:val="Normal"/>
    <w:next w:val="Normal"/>
    <w:autoRedefine/>
    <w:semiHidden/>
    <w:unhideWhenUsed/>
    <w:rsid w:val="00796dd1"/>
    <w:pPr>
      <w:ind w:left="1680" w:hanging="0"/>
    </w:pPr>
    <w:rPr>
      <w:rFonts w:ascii="Calibri" w:hAnsi="Calibri" w:cs="Calibri" w:asciiTheme="minorHAnsi" w:cstheme="minorHAnsi" w:hAnsiTheme="minorHAnsi"/>
      <w:sz w:val="20"/>
      <w:szCs w:val="20"/>
    </w:rPr>
  </w:style>
  <w:style w:type="paragraph" w:styleId="TOC8">
    <w:name w:val="TOC 8"/>
    <w:basedOn w:val="Normal"/>
    <w:next w:val="Normal"/>
    <w:autoRedefine/>
    <w:semiHidden/>
    <w:unhideWhenUsed/>
    <w:rsid w:val="00796dd1"/>
    <w:pPr>
      <w:ind w:left="1960" w:hanging="0"/>
    </w:pPr>
    <w:rPr>
      <w:rFonts w:ascii="Calibri" w:hAnsi="Calibri" w:cs="Calibri" w:asciiTheme="minorHAnsi" w:cstheme="minorHAnsi" w:hAnsiTheme="minorHAnsi"/>
      <w:sz w:val="20"/>
      <w:szCs w:val="20"/>
    </w:rPr>
  </w:style>
  <w:style w:type="paragraph" w:styleId="Style35">
    <w:name w:val="Содержимое врезки"/>
    <w:basedOn w:val="Normal"/>
    <w:qFormat/>
    <w:pPr/>
    <w:rPr/>
  </w:style>
  <w:style w:type="paragraph" w:styleId="LHP">
    <w:name w:val="LHP_Основной текст"/>
    <w:qFormat/>
    <w:pPr>
      <w:widowControl w:val="false"/>
      <w:suppressAutoHyphens w:val="true"/>
      <w:bidi w:val="0"/>
      <w:spacing w:lineRule="auto" w:line="360" w:before="0" w:after="0"/>
      <w:ind w:left="284" w:right="284" w:firstLine="851"/>
      <w:jc w:val="both"/>
    </w:pPr>
    <w:rPr>
      <w:rFonts w:ascii="Times New Roman" w:hAnsi="Times New Roman" w:eastAsia="Times New Roman" w:cs="Times New Roman"/>
      <w:color w:val="auto"/>
      <w:kern w:val="0"/>
      <w:sz w:val="26"/>
      <w:szCs w:val="20"/>
      <w:lang w:val="ru-RU" w:eastAsia="ru-RU" w:bidi="ar-SA"/>
    </w:rPr>
  </w:style>
  <w:style w:type="paragraph" w:styleId="LHP2">
    <w:name w:val="LHP_2_Заголовок"/>
    <w:basedOn w:val="Heading2"/>
    <w:next w:val="LHP"/>
    <w:qFormat/>
    <w:pPr>
      <w:keepLines/>
      <w:spacing w:before="280" w:after="240"/>
      <w:ind w:left="5387" w:right="284" w:hanging="567"/>
    </w:pPr>
    <w:rPr/>
  </w:style>
  <w:style w:type="paragraph" w:styleId="Style36">
    <w:name w:val="Содержимое таблицы"/>
    <w:basedOn w:val="Normal"/>
    <w:qFormat/>
    <w:pPr>
      <w:widowControl w:val="false"/>
      <w:suppressLineNumbers/>
    </w:pPr>
    <w:rPr/>
  </w:style>
  <w:style w:type="paragraph" w:styleId="Style37">
    <w:name w:val="Заголовок таблицы"/>
    <w:basedOn w:val="Style36"/>
    <w:qFormat/>
    <w:pPr>
      <w:suppressLineNumbers/>
      <w:jc w:val="center"/>
    </w:pPr>
    <w:rPr>
      <w:b/>
      <w:bCs/>
    </w:rPr>
  </w:style>
  <w:style w:type="paragraph" w:styleId="121">
    <w:name w:val="Табличный 12Ц1"/>
    <w:basedOn w:val="Normal"/>
    <w:qFormat/>
    <w:pPr>
      <w:jc w:val="center"/>
    </w:pPr>
    <w:rPr>
      <w:rFonts w:eastAsia="Times New Roman" w:cs="Times New Roman"/>
      <w:szCs w:val="20"/>
      <w:lang w:eastAsia="ru-RU"/>
    </w:rPr>
  </w:style>
  <w:style w:type="paragraph" w:styleId="29">
    <w:name w:val="Основной текст (2)"/>
    <w:basedOn w:val="Normal"/>
    <w:qFormat/>
    <w:pPr>
      <w:widowControl w:val="false"/>
      <w:shd w:val="clear" w:color="auto" w:fill="FFFFFF"/>
      <w:spacing w:lineRule="atLeast" w:line="0"/>
    </w:pPr>
    <w:rPr>
      <w:rFonts w:ascii="Sylfaen" w:hAnsi="Sylfaen" w:eastAsia="Sylfaen" w:cs="Sylfaen"/>
      <w:sz w:val="22"/>
      <w:szCs w:val="22"/>
    </w:rPr>
  </w:style>
  <w:style w:type="paragraph" w:styleId="LHP1">
    <w:name w:val="LHP_Титул"/>
    <w:qFormat/>
    <w:pPr>
      <w:widowControl/>
      <w:suppressAutoHyphens w:val="true"/>
      <w:bidi w:val="0"/>
      <w:spacing w:lineRule="auto" w:line="240" w:before="0" w:after="0"/>
      <w:ind w:left="284" w:right="284" w:hanging="0"/>
      <w:jc w:val="center"/>
    </w:pPr>
    <w:rPr>
      <w:rFonts w:ascii="Times New Roman" w:hAnsi="Times New Roman" w:eastAsia="Times New Roman" w:cs="Times New Roman"/>
      <w:b/>
      <w:bCs/>
      <w:color w:val="auto"/>
      <w:kern w:val="0"/>
      <w:sz w:val="40"/>
      <w:szCs w:val="36"/>
      <w:lang w:val="ru-RU" w:eastAsia="ru-RU" w:bidi="ar-SA"/>
    </w:rPr>
  </w:style>
  <w:style w:type="paragraph" w:styleId="36">
    <w:name w:val="Стандарт_3_Пункт"/>
    <w:basedOn w:val="Heading3"/>
    <w:qFormat/>
    <w:pPr>
      <w:numPr>
        <w:ilvl w:val="2"/>
        <w:numId w:val="13"/>
      </w:numPr>
      <w:spacing w:before="240" w:after="120"/>
    </w:pPr>
    <w:rPr>
      <w:rFonts w:eastAsia="Times New Roman" w:cs="Times New Roman"/>
      <w:b/>
      <w:i/>
      <w:color w:val="auto"/>
    </w:rPr>
  </w:style>
  <w:style w:type="paragraph" w:styleId="37">
    <w:name w:val="Стандарт_3_Пункт_текст"/>
    <w:basedOn w:val="36"/>
    <w:qFormat/>
    <w:pPr>
      <w:keepNext w:val="false"/>
      <w:keepLines w:val="false"/>
      <w:widowControl w:val="false"/>
      <w:spacing w:lineRule="auto" w:line="276" w:before="0" w:after="120"/>
      <w:outlineLvl w:val="9"/>
    </w:pPr>
    <w:rPr>
      <w:b w:val="false"/>
      <w:i w:val="false"/>
      <w:sz w:val="28"/>
    </w:rPr>
  </w:style>
  <w:style w:type="paragraph" w:styleId="Standard">
    <w:name w:val="Standard"/>
    <w:qFormat/>
    <w:pPr>
      <w:widowControl/>
      <w:suppressAutoHyphens w:val="false"/>
      <w:bidi w:val="0"/>
      <w:spacing w:before="0" w:after="0"/>
      <w:jc w:val="left"/>
      <w:textAlignment w:val="baseline"/>
    </w:pPr>
    <w:rPr>
      <w:rFonts w:ascii="Times New Roman" w:hAnsi="Times New Roman" w:eastAsia="Times New Roman" w:cs="Times New Roman"/>
      <w:color w:val="auto"/>
      <w:kern w:val="0"/>
      <w:sz w:val="26"/>
      <w:szCs w:val="24"/>
      <w:lang w:val="ru-RU" w:eastAsia="ru-RU" w:bidi="ar-SA"/>
    </w:rPr>
  </w:style>
  <w:style w:type="paragraph" w:styleId="Style38">
    <w:name w:val="Стандарт_Список_тире"/>
    <w:basedOn w:val="Standard"/>
    <w:qFormat/>
    <w:pPr>
      <w:numPr>
        <w:ilvl w:val="0"/>
        <w:numId w:val="2"/>
      </w:numPr>
      <w:spacing w:lineRule="auto" w:line="276"/>
      <w:jc w:val="both"/>
    </w:pPr>
    <w:rPr>
      <w:rFonts w:eastAsia="Calibri"/>
      <w:sz w:val="28"/>
      <w:szCs w:val="22"/>
      <w:lang w:eastAsia="en-US"/>
    </w:rPr>
  </w:style>
  <w:style w:type="paragraph" w:styleId="210">
    <w:name w:val="Стандарт_2_Подраздел"/>
    <w:basedOn w:val="Heading2"/>
    <w:qFormat/>
    <w:pPr>
      <w:numPr>
        <w:ilvl w:val="1"/>
        <w:numId w:val="13"/>
      </w:numPr>
      <w:spacing w:before="120" w:after="120"/>
    </w:pPr>
    <w:rPr>
      <w:sz w:val="28"/>
    </w:rPr>
  </w:style>
  <w:style w:type="numbering" w:styleId="NoList" w:default="1">
    <w:name w:val="No List"/>
    <w:uiPriority w:val="99"/>
    <w:semiHidden/>
    <w:unhideWhenUsed/>
    <w:qFormat/>
  </w:style>
  <w:style w:type="numbering" w:styleId="18" w:customStyle="1">
    <w:name w:val="Стиль1"/>
    <w:uiPriority w:val="99"/>
    <w:qFormat/>
    <w:rsid w:val="00f001e4"/>
  </w:style>
  <w:style w:type="numbering" w:styleId="211" w:customStyle="1">
    <w:name w:val="Стиль2"/>
    <w:uiPriority w:val="99"/>
    <w:qFormat/>
    <w:rsid w:val="006629c9"/>
  </w:style>
  <w:style w:type="numbering" w:styleId="4801828361">
    <w:name w:val="4801828361"/>
    <w:qFormat/>
  </w:style>
  <w:style w:type="numbering" w:styleId="22902322001">
    <w:name w:val="22902322001"/>
    <w:qFormat/>
  </w:style>
  <w:style w:type="numbering" w:styleId="4008806841">
    <w:name w:val="4008806841"/>
    <w:qFormat/>
  </w:style>
  <w:style w:type="numbering" w:styleId="21840512141">
    <w:name w:val="21840512141"/>
    <w:qFormat/>
  </w:style>
  <w:style w:type="numbering" w:styleId="27203387051">
    <w:name w:val="27203387051"/>
    <w:qFormat/>
  </w:style>
  <w:style w:type="numbering" w:styleId="39259290151">
    <w:name w:val="39259290151"/>
    <w:qFormat/>
  </w:style>
  <w:style w:type="numbering" w:styleId="42299794911">
    <w:name w:val="42299794911"/>
    <w:qFormat/>
  </w:style>
  <w:style w:type="numbering" w:styleId="27894003211">
    <w:name w:val="27894003211"/>
    <w:qFormat/>
  </w:style>
  <w:style w:type="numbering" w:styleId="1670917771">
    <w:name w:val="1670917771"/>
    <w:qFormat/>
  </w:style>
  <w:style w:type="numbering" w:styleId="14896757761">
    <w:name w:val="14896757761"/>
    <w:qFormat/>
  </w:style>
  <w:style w:type="numbering" w:styleId="12784362391">
    <w:name w:val="12784362391"/>
    <w:qFormat/>
  </w:style>
  <w:style w:type="numbering" w:styleId="17627329891">
    <w:name w:val="17627329891"/>
    <w:qFormat/>
  </w:style>
  <w:style w:type="numbering" w:styleId="25318018311">
    <w:name w:val="25318018311"/>
    <w:qFormat/>
  </w:style>
  <w:style w:type="numbering" w:styleId="8865887481">
    <w:name w:val="8865887481"/>
    <w:qFormat/>
  </w:style>
  <w:style w:type="table" w:default="1" w:styleId="a5">
    <w:name w:val="Normal Table"/>
    <w:uiPriority w:val="99"/>
    <w:semiHidden/>
    <w:unhideWhenUsed/>
    <w:tblPr>
      <w:tblCellMar>
        <w:top w:w="0" w:type="dxa"/>
        <w:left w:w="108" w:type="dxa"/>
        <w:bottom w:w="0" w:type="dxa"/>
        <w:right w:w="108" w:type="dxa"/>
      </w:tblCellMar>
    </w:tblPr>
  </w:style>
  <w:style w:type="table" w:styleId="af">
    <w:name w:val="Table Grid"/>
    <w:basedOn w:val="a5"/>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b">
    <w:name w:val="Сетка таблицы1"/>
    <w:basedOn w:val="a5"/>
    <w:uiPriority w:val="39"/>
    <w:rsid w:val="00d475a8"/>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header" Target="header7.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A5CA8-E0A3-452A-9668-ABF64FACB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1060</TotalTime>
  <Application>AlterOffice/3.4.0.9$Linux_X86_64 LibreOffice_project/b8daf9e823b1a5463a2f48435ddc2e8696e7d4fc</Application>
  <AppVersion>15.0000</AppVersion>
  <Pages>30</Pages>
  <Words>5643</Words>
  <Characters>40222</Characters>
  <CharactersWithSpaces>44935</CharactersWithSpaces>
  <Paragraphs>926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2023-07-21T14:05:00Z</dcterms:created>
  <dc:creator>Быстров Олег Геннадьевич</dc:creator>
  <dc:description/>
  <dc:language>ru-RU</dc:language>
  <cp:lastModifiedBy>Ирина Анатольевна Щербак</cp:lastModifiedBy>
  <cp:lastPrinted>2006-07-26T14:04:00Z</cp:lastPrinted>
  <dcterms:modified xsi:type="dcterms:W3CDTF">2026-10-30T09:44:42Z</dcterms:modified>
  <cp:revision>113</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