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numbering.xml" ContentType="application/vnd.openxmlformats-officedocument.wordprocessingml.numbering+xml"/>
  <Override PartName="/word/fontTable.xml" ContentType="application/vnd.openxmlformats-officedocument.wordprocessingml.fontTable+xml"/>
  <Override PartName="/word/header2.xml" ContentType="application/vnd.openxmlformats-officedocument.wordprocessingml.head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header6.xml" ContentType="application/vnd.openxmlformats-officedocument.wordprocessingml.header+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header5.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z w:val="24"/>
          <w:szCs w:val="24"/>
        </w:rPr>
      </w:pPr>
      <w:r>
        <w:rPr>
          <w:sz w:val="26"/>
          <w:szCs w:val="26"/>
        </w:rPr>
      </w:r>
    </w:p>
    <w:tbl>
      <w:tblPr>
        <w:tblW w:w="5000" w:type="pct"/>
        <w:jc w:val="left"/>
        <w:tblInd w:w="55" w:type="dxa"/>
        <w:tblLayout w:type="fixed"/>
        <w:tblCellMar>
          <w:top w:w="55" w:type="dxa"/>
          <w:left w:w="55" w:type="dxa"/>
          <w:bottom w:w="55" w:type="dxa"/>
          <w:right w:w="55" w:type="dxa"/>
        </w:tblCellMar>
      </w:tblPr>
      <w:tblGrid>
        <w:gridCol w:w="4527"/>
        <w:gridCol w:w="1356"/>
        <w:gridCol w:w="4038"/>
      </w:tblGrid>
      <w:tr>
        <w:trPr>
          <w:trHeight w:val="2040" w:hRule="atLeast"/>
        </w:trPr>
        <w:tc>
          <w:tcPr>
            <w:tcW w:w="4527" w:type="dxa"/>
            <w:tcBorders/>
          </w:tcPr>
          <w:p>
            <w:pPr>
              <w:pStyle w:val="Normal"/>
              <w:keepNext w:val="true"/>
              <w:keepLines/>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«ПОДГОТОВИЛ»</w:t>
            </w:r>
          </w:p>
          <w:p>
            <w:pPr>
              <w:pStyle w:val="Normal"/>
              <w:keepNext w:val="true"/>
              <w:keepLines/>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Ведущий специалист отдела комплексного обслуживания</w:t>
            </w:r>
          </w:p>
          <w:p>
            <w:pPr>
              <w:pStyle w:val="Normal"/>
              <w:keepNext w:val="true"/>
              <w:keepLines/>
              <w:widowControl w:val="false"/>
              <w:tabs>
                <w:tab w:val="clear" w:pos="708"/>
                <w:tab w:val="left" w:pos="9420" w:leader="none"/>
              </w:tabs>
              <w:suppressAutoHyphens w:val="true"/>
              <w:spacing w:before="0" w:after="0"/>
              <w:jc w:val="right"/>
              <w:rPr>
                <w:rFonts w:ascii="Times New Roman" w:hAnsi="Times New Roman" w:cs="Times New Roman"/>
                <w:sz w:val="24"/>
                <w:szCs w:val="24"/>
                <w:shd w:fill="FFFF00" w:val="clear"/>
              </w:rPr>
            </w:pPr>
            <w:r>
              <w:rPr>
                <w:rFonts w:cs="Times New Roman"/>
                <w:sz w:val="24"/>
                <w:szCs w:val="24"/>
                <w:shd w:fill="FFFF00" w:val="clear"/>
              </w:rPr>
            </w:r>
          </w:p>
          <w:p>
            <w:pPr>
              <w:pStyle w:val="Normal"/>
              <w:keepNext w:val="true"/>
              <w:keepLines/>
              <w:widowControl w:val="false"/>
              <w:tabs>
                <w:tab w:val="clear" w:pos="708"/>
                <w:tab w:val="left" w:pos="9420" w:leader="none"/>
              </w:tabs>
              <w:suppressAutoHyphens w:val="true"/>
              <w:spacing w:before="0" w:after="0"/>
              <w:jc w:val="right"/>
              <w:rPr>
                <w:rFonts w:ascii="Times New Roman" w:hAnsi="Times New Roman" w:cs="Times New Roman"/>
                <w:sz w:val="24"/>
                <w:szCs w:val="24"/>
                <w:shd w:fill="FFFF00" w:val="clear"/>
              </w:rPr>
            </w:pPr>
            <w:r>
              <w:rPr>
                <w:rFonts w:cs="Times New Roman"/>
                <w:sz w:val="24"/>
                <w:szCs w:val="24"/>
                <w:shd w:fill="FFFF00" w:val="clear"/>
              </w:rPr>
            </w:r>
          </w:p>
          <w:p>
            <w:pPr>
              <w:pStyle w:val="Normal"/>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_______________ Стрелец В.А.</w:t>
            </w:r>
          </w:p>
          <w:p>
            <w:pPr>
              <w:pStyle w:val="Normal"/>
              <w:keepNext w:val="true"/>
              <w:keepLines/>
              <w:widowControl w:val="false"/>
              <w:tabs>
                <w:tab w:val="clear" w:pos="708"/>
                <w:tab w:val="left" w:pos="9420" w:leader="none"/>
              </w:tabs>
              <w:suppressAutoHyphens w:val="true"/>
              <w:spacing w:before="0" w:after="0"/>
              <w:jc w:val="righ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p>
            <w:pPr>
              <w:pStyle w:val="Normal"/>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 xml:space="preserve">«      </w:t>
            </w:r>
            <w:r>
              <w:rPr>
                <w:rFonts w:eastAsia="Times New Roman" w:cs="Times New Roman"/>
                <w:kern w:val="0"/>
                <w:sz w:val="24"/>
                <w:szCs w:val="24"/>
                <w:u w:val="none"/>
                <w:lang w:val="ru-RU" w:eastAsia="ru-RU" w:bidi="ar-SA"/>
              </w:rPr>
              <w:t>» ноября 2026 г</w:t>
            </w:r>
            <w:r>
              <w:rPr>
                <w:rFonts w:eastAsia="Times New Roman" w:cs="Times New Roman"/>
                <w:kern w:val="0"/>
                <w:sz w:val="24"/>
                <w:szCs w:val="24"/>
                <w:lang w:val="ru-RU" w:eastAsia="ru-RU" w:bidi="ar-SA"/>
              </w:rPr>
              <w:t>.</w:t>
            </w:r>
          </w:p>
        </w:tc>
        <w:tc>
          <w:tcPr>
            <w:tcW w:w="1356" w:type="dxa"/>
            <w:tcBorders/>
          </w:tcPr>
          <w:p>
            <w:pPr>
              <w:pStyle w:val="Normal"/>
              <w:widowControl w:val="false"/>
              <w:rPr/>
            </w:pPr>
            <w:r>
              <w:rPr/>
            </w:r>
          </w:p>
        </w:tc>
        <w:tc>
          <w:tcPr>
            <w:tcW w:w="4038" w:type="dxa"/>
            <w:tcBorders/>
          </w:tcPr>
          <w:p>
            <w:pPr>
              <w:pStyle w:val="Normal"/>
              <w:keepNext w:val="true"/>
              <w:keepLines/>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«УТВЕРЖДАЮ»</w:t>
            </w:r>
          </w:p>
          <w:p>
            <w:pPr>
              <w:pStyle w:val="Normal"/>
              <w:keepNext w:val="true"/>
              <w:keepLines/>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Инициатор договора</w:t>
            </w:r>
          </w:p>
          <w:p>
            <w:pPr>
              <w:pStyle w:val="Normal"/>
              <w:keepNext w:val="true"/>
              <w:keepLines/>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Начальник управления обслуживания объектов</w:t>
            </w:r>
          </w:p>
          <w:p>
            <w:pPr>
              <w:pStyle w:val="Normal"/>
              <w:widowControl w:val="false"/>
              <w:tabs>
                <w:tab w:val="clear" w:pos="708"/>
                <w:tab w:val="left" w:pos="9420" w:leader="none"/>
              </w:tabs>
              <w:suppressAutoHyphens w:val="true"/>
              <w:spacing w:before="0" w:after="0"/>
              <w:jc w:val="righ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p>
            <w:pPr>
              <w:pStyle w:val="Normal"/>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________________/ Решетникова А.А.</w:t>
            </w:r>
          </w:p>
          <w:p>
            <w:pPr>
              <w:pStyle w:val="Normal"/>
              <w:keepNext w:val="true"/>
              <w:keepLines/>
              <w:widowControl w:val="false"/>
              <w:tabs>
                <w:tab w:val="clear" w:pos="708"/>
                <w:tab w:val="left" w:pos="9420" w:leader="none"/>
              </w:tabs>
              <w:suppressAutoHyphens w:val="true"/>
              <w:spacing w:before="0" w:after="0"/>
              <w:jc w:val="right"/>
              <w:rPr>
                <w:rFonts w:ascii="Times New Roman" w:hAnsi="Times New Roman" w:cs="Times New Roman"/>
                <w:sz w:val="24"/>
                <w:szCs w:val="24"/>
              </w:rPr>
            </w:pPr>
            <w:r>
              <w:rPr>
                <w:rFonts w:cs="Times New Roman"/>
                <w:sz w:val="24"/>
                <w:szCs w:val="24"/>
              </w:rPr>
            </w:r>
          </w:p>
          <w:p>
            <w:pPr>
              <w:pStyle w:val="Normal"/>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 xml:space="preserve">«      </w:t>
            </w:r>
            <w:r>
              <w:rPr>
                <w:rFonts w:eastAsia="Times New Roman" w:cs="Times New Roman"/>
                <w:kern w:val="0"/>
                <w:sz w:val="24"/>
                <w:szCs w:val="24"/>
                <w:u w:val="none"/>
                <w:lang w:val="ru-RU" w:eastAsia="ru-RU" w:bidi="ar-SA"/>
              </w:rPr>
              <w:t>» ноября 20</w:t>
            </w:r>
            <w:r>
              <w:rPr>
                <w:rFonts w:eastAsia="Times New Roman" w:cs="Times New Roman"/>
                <w:kern w:val="0"/>
                <w:sz w:val="24"/>
                <w:szCs w:val="24"/>
                <w:lang w:val="ru-RU" w:eastAsia="ru-RU" w:bidi="ar-SA"/>
              </w:rPr>
              <w:t>26 г.</w:t>
            </w:r>
          </w:p>
        </w:tc>
      </w:tr>
    </w:tbl>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jc w:val="center"/>
        <w:rPr>
          <w:rFonts w:eastAsia="Calibri"/>
          <w:b/>
          <w:sz w:val="26"/>
          <w:szCs w:val="26"/>
        </w:rPr>
      </w:pPr>
      <w:r>
        <w:rPr>
          <w:rFonts w:eastAsia="Calibri"/>
          <w:b/>
          <w:sz w:val="26"/>
          <w:szCs w:val="26"/>
        </w:rPr>
        <w:t>Технические требования на оказание услуг</w:t>
      </w:r>
    </w:p>
    <w:p>
      <w:pPr>
        <w:pStyle w:val="Normal"/>
        <w:keepNext w:val="true"/>
        <w:keepLines/>
        <w:jc w:val="center"/>
        <w:rPr>
          <w:b/>
          <w:bCs/>
          <w:i/>
          <w:i/>
          <w:iCs/>
          <w:sz w:val="26"/>
          <w:szCs w:val="26"/>
        </w:rPr>
      </w:pPr>
      <w:r>
        <w:rPr>
          <w:b/>
          <w:bCs/>
          <w:i/>
          <w:iCs/>
          <w:sz w:val="26"/>
          <w:szCs w:val="26"/>
        </w:rPr>
      </w:r>
    </w:p>
    <w:p>
      <w:pPr>
        <w:pStyle w:val="Normal"/>
        <w:ind w:left="0" w:right="0" w:firstLine="709"/>
        <w:jc w:val="center"/>
        <w:rPr>
          <w:b/>
          <w:bCs/>
          <w:i w:val="false"/>
          <w:i w:val="false"/>
          <w:iCs w:val="false"/>
          <w:sz w:val="26"/>
          <w:szCs w:val="26"/>
          <w:lang w:val="ru-RU"/>
        </w:rPr>
      </w:pPr>
      <w:r>
        <w:rPr>
          <w:b/>
          <w:bCs/>
          <w:i w:val="false"/>
          <w:iCs w:val="false"/>
          <w:sz w:val="26"/>
          <w:szCs w:val="26"/>
          <w:lang w:val="ru-RU"/>
        </w:rPr>
        <w:t xml:space="preserve">ОКПД2 81.22.12.000 Оказание услуг по очистке от снега и наледи кровли стилобата и козырька </w:t>
      </w:r>
      <w:r>
        <w:rPr>
          <w:b/>
          <w:bCs/>
          <w:i w:val="false"/>
          <w:iCs w:val="false"/>
          <w:sz w:val="26"/>
          <w:szCs w:val="26"/>
          <w:lang w:val="ru-RU"/>
        </w:rPr>
        <w:t>административно-офисного здания</w:t>
      </w:r>
      <w:r>
        <w:rPr>
          <w:b/>
          <w:bCs/>
          <w:i w:val="false"/>
          <w:iCs w:val="false"/>
          <w:sz w:val="26"/>
          <w:szCs w:val="26"/>
          <w:lang w:val="ru-RU"/>
        </w:rPr>
        <w:t xml:space="preserve"> по адресу: г. Москва, ул. Волоколамское шоссе, д.2</w:t>
      </w:r>
    </w:p>
    <w:p>
      <w:pPr>
        <w:pStyle w:val="Normal"/>
        <w:ind w:left="0" w:right="0" w:firstLine="709"/>
        <w:jc w:val="center"/>
        <w:rPr>
          <w:b/>
          <w:bCs/>
          <w:i w:val="false"/>
          <w:i w:val="false"/>
          <w:iCs w:val="false"/>
          <w:sz w:val="26"/>
          <w:szCs w:val="26"/>
          <w:lang w:val="ru-RU"/>
        </w:rPr>
      </w:pPr>
      <w:r>
        <w:rPr/>
      </w:r>
    </w:p>
    <w:p>
      <w:pPr>
        <w:pStyle w:val="Normal"/>
        <w:widowControl/>
        <w:suppressAutoHyphens w:val="true"/>
        <w:bidi w:val="0"/>
        <w:spacing w:before="0" w:after="0"/>
        <w:ind w:left="0" w:right="0" w:hanging="0"/>
        <w:jc w:val="center"/>
        <w:rPr>
          <w:b/>
          <w:bCs/>
          <w:i w:val="false"/>
          <w:i w:val="false"/>
          <w:iCs w:val="false"/>
          <w:sz w:val="26"/>
          <w:szCs w:val="26"/>
          <w:lang w:val="ru-RU"/>
        </w:rPr>
      </w:pPr>
      <w:r>
        <w:rPr>
          <w:b/>
          <w:bCs/>
          <w:i w:val="false"/>
          <w:iCs w:val="false"/>
          <w:sz w:val="26"/>
          <w:szCs w:val="26"/>
          <w:lang w:val="ru-RU"/>
        </w:rPr>
        <w:t xml:space="preserve">Лот № </w:t>
      </w:r>
      <w:r>
        <w:br w:type="page"/>
      </w:r>
    </w:p>
    <w:p>
      <w:pPr>
        <w:pStyle w:val="Heading1"/>
        <w:keepLines/>
        <w:numPr>
          <w:ilvl w:val="0"/>
          <w:numId w:val="3"/>
        </w:numPr>
        <w:ind w:left="357" w:right="0" w:hanging="357"/>
        <w:jc w:val="center"/>
        <w:rPr>
          <w:caps/>
          <w:lang w:val="ru-RU"/>
        </w:rPr>
      </w:pPr>
      <w:bookmarkStart w:id="0" w:name="__RefHeading___Toc3365_1975687802"/>
      <w:bookmarkStart w:id="1" w:name="_Toc54646395"/>
      <w:bookmarkStart w:id="2" w:name="_Toc51339692"/>
      <w:bookmarkEnd w:id="0"/>
      <w:r>
        <w:rPr>
          <w:lang w:val="ru-RU"/>
        </w:rPr>
        <w:t>Общие сведения</w:t>
      </w:r>
      <w:bookmarkEnd w:id="1"/>
      <w:bookmarkEnd w:id="2"/>
    </w:p>
    <w:p>
      <w:pPr>
        <w:pStyle w:val="Heading4"/>
        <w:keepNext w:val="true"/>
        <w:widowControl/>
        <w:numPr>
          <w:ilvl w:val="1"/>
          <w:numId w:val="3"/>
        </w:numPr>
        <w:suppressAutoHyphens w:val="true"/>
        <w:overflowPunct w:val="false"/>
        <w:bidi w:val="0"/>
        <w:spacing w:before="120" w:after="60"/>
        <w:ind w:left="0" w:right="0" w:firstLine="680"/>
        <w:jc w:val="left"/>
        <w:rPr/>
      </w:pPr>
      <w:bookmarkStart w:id="3" w:name="__RefHeading___Toc3367_1975687802"/>
      <w:bookmarkStart w:id="4" w:name="_Toc54646396"/>
      <w:bookmarkStart w:id="5" w:name="_Toc46743505"/>
      <w:bookmarkEnd w:id="3"/>
      <w:r>
        <w:rPr/>
        <w:t>Обозначения и сокращения</w:t>
      </w:r>
      <w:bookmarkEnd w:id="4"/>
      <w:bookmarkEnd w:id="5"/>
    </w:p>
    <w:p>
      <w:pPr>
        <w:pStyle w:val="Normal"/>
        <w:keepNext w:val="true"/>
        <w:keepLines/>
        <w:jc w:val="both"/>
        <w:rPr>
          <w:sz w:val="24"/>
          <w:szCs w:val="24"/>
        </w:rPr>
      </w:pPr>
      <w:r>
        <w:rPr>
          <w:sz w:val="24"/>
          <w:szCs w:val="24"/>
        </w:rPr>
      </w:r>
    </w:p>
    <w:tbl>
      <w:tblPr>
        <w:tblW w:w="10097" w:type="dxa"/>
        <w:jc w:val="center"/>
        <w:tblInd w:w="0" w:type="dxa"/>
        <w:tblLayout w:type="fixed"/>
        <w:tblCellMar>
          <w:top w:w="0" w:type="dxa"/>
          <w:left w:w="108" w:type="dxa"/>
          <w:bottom w:w="0" w:type="dxa"/>
          <w:right w:w="108" w:type="dxa"/>
        </w:tblCellMar>
      </w:tblPr>
      <w:tblGrid>
        <w:gridCol w:w="1839"/>
        <w:gridCol w:w="8257"/>
      </w:tblGrid>
      <w:tr>
        <w:trPr>
          <w:trHeight w:val="401" w:hRule="atLeast"/>
          <w:cantSplit w:val="true"/>
        </w:trPr>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ГОСТ</w:t>
            </w:r>
          </w:p>
        </w:tc>
        <w:tc>
          <w:tcPr>
            <w:tcW w:w="825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Государственный стандарт</w:t>
            </w:r>
          </w:p>
        </w:tc>
      </w:tr>
      <w:tr>
        <w:trPr>
          <w:trHeight w:val="401" w:hRule="atLeast"/>
          <w:cantSplit w:val="true"/>
        </w:trPr>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ТТ</w:t>
            </w:r>
          </w:p>
        </w:tc>
        <w:tc>
          <w:tcPr>
            <w:tcW w:w="825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Технические требования</w:t>
            </w:r>
          </w:p>
        </w:tc>
      </w:tr>
      <w:tr>
        <w:trPr>
          <w:trHeight w:val="401" w:hRule="atLeast"/>
          <w:cantSplit w:val="true"/>
        </w:trPr>
        <w:tc>
          <w:tcPr>
            <w:tcW w:w="1839" w:type="dxa"/>
            <w:tcBorders>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Заказчик</w:t>
            </w:r>
          </w:p>
        </w:tc>
        <w:tc>
          <w:tcPr>
            <w:tcW w:w="8257" w:type="dxa"/>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АО «СК «РусГидро»</w:t>
            </w:r>
          </w:p>
        </w:tc>
      </w:tr>
      <w:tr>
        <w:trPr>
          <w:trHeight w:val="401" w:hRule="atLeast"/>
          <w:cantSplit w:val="true"/>
        </w:trPr>
        <w:tc>
          <w:tcPr>
            <w:tcW w:w="1839" w:type="dxa"/>
            <w:tcBorders>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Исполнитель</w:t>
            </w:r>
          </w:p>
        </w:tc>
        <w:tc>
          <w:tcPr>
            <w:tcW w:w="8257" w:type="dxa"/>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sz w:val="24"/>
                <w:szCs w:val="24"/>
              </w:rPr>
            </w:pPr>
            <w:r>
              <w:rPr>
                <w:rFonts w:eastAsia="Calibri"/>
                <w:sz w:val="24"/>
                <w:szCs w:val="24"/>
              </w:rPr>
              <w:t>Исполнителем по договору может быть юридическое / физическое лицо, в том числе индивидуальный предприниматель, или несколько юридических / физических лиц, 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 за исключением юридического /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trPr>
          <w:trHeight w:val="401" w:hRule="atLeast"/>
          <w:cantSplit w:val="true"/>
        </w:trPr>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ЛНА</w:t>
            </w:r>
          </w:p>
        </w:tc>
        <w:tc>
          <w:tcPr>
            <w:tcW w:w="825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Локальные нормативные акты</w:t>
            </w:r>
          </w:p>
        </w:tc>
      </w:tr>
    </w:tbl>
    <w:p>
      <w:pPr>
        <w:pStyle w:val="Normal"/>
        <w:keepNext w:val="true"/>
        <w:keepLines/>
        <w:jc w:val="both"/>
        <w:rPr>
          <w:sz w:val="24"/>
          <w:szCs w:val="24"/>
        </w:rPr>
      </w:pPr>
      <w:r>
        <w:rPr>
          <w:sz w:val="24"/>
          <w:szCs w:val="24"/>
        </w:rPr>
      </w:r>
    </w:p>
    <w:p>
      <w:pPr>
        <w:pStyle w:val="Heading4"/>
        <w:keepNext w:val="true"/>
        <w:widowControl/>
        <w:numPr>
          <w:ilvl w:val="1"/>
          <w:numId w:val="3"/>
        </w:numPr>
        <w:suppressAutoHyphens w:val="true"/>
        <w:overflowPunct w:val="false"/>
        <w:bidi w:val="0"/>
        <w:spacing w:before="120" w:after="60"/>
        <w:ind w:left="0" w:right="0" w:firstLine="680"/>
        <w:jc w:val="left"/>
        <w:rPr>
          <w:sz w:val="24"/>
          <w:szCs w:val="24"/>
        </w:rPr>
      </w:pPr>
      <w:bookmarkStart w:id="6" w:name="__RefHeading___Toc3369_1975687802"/>
      <w:bookmarkStart w:id="7" w:name="_Toc46743506"/>
      <w:bookmarkStart w:id="8" w:name="_Toc54646397"/>
      <w:bookmarkEnd w:id="6"/>
      <w:r>
        <w:rPr>
          <w:sz w:val="24"/>
          <w:szCs w:val="24"/>
        </w:rPr>
        <w:t>Наименование закупаемой продукции</w:t>
      </w:r>
      <w:bookmarkEnd w:id="7"/>
      <w:bookmarkEnd w:id="8"/>
    </w:p>
    <w:p>
      <w:pPr>
        <w:pStyle w:val="Normal"/>
        <w:widowControl w:val="false"/>
        <w:tabs>
          <w:tab w:val="clear" w:pos="708"/>
          <w:tab w:val="left" w:pos="426" w:leader="none"/>
        </w:tabs>
        <w:suppressAutoHyphens w:val="true"/>
        <w:overflowPunct w:val="false"/>
        <w:bidi w:val="0"/>
        <w:spacing w:before="120" w:after="120"/>
        <w:ind w:left="0" w:right="-227" w:firstLine="680"/>
        <w:jc w:val="both"/>
        <w:rPr>
          <w:rFonts w:eastAsia="Calibri"/>
          <w:i w:val="false"/>
          <w:i w:val="false"/>
          <w:iCs w:val="false"/>
          <w:sz w:val="24"/>
          <w:szCs w:val="24"/>
          <w:shd w:fill="FFFFFF" w:val="clear"/>
          <w:lang w:eastAsia="x-none"/>
        </w:rPr>
      </w:pPr>
      <w:r>
        <w:rPr>
          <w:rFonts w:eastAsia="Calibri"/>
          <w:i w:val="false"/>
          <w:iCs w:val="false"/>
          <w:sz w:val="24"/>
          <w:szCs w:val="24"/>
          <w:shd w:fill="FFFFFF" w:val="clear"/>
          <w:lang w:eastAsia="x-none"/>
        </w:rPr>
        <w:t>ОКПД2 81.22.12.000 Оказание услуг по очистке от снега и наледи кровли стилобата и козырька административно-офисного здания по адресу: г. Москва, ул. Волоколамское шоссе, д.2</w:t>
      </w:r>
    </w:p>
    <w:p>
      <w:pPr>
        <w:pStyle w:val="Heading4"/>
        <w:keepNext w:val="true"/>
        <w:widowControl/>
        <w:numPr>
          <w:ilvl w:val="1"/>
          <w:numId w:val="3"/>
        </w:numPr>
        <w:suppressAutoHyphens w:val="true"/>
        <w:overflowPunct w:val="false"/>
        <w:bidi w:val="0"/>
        <w:spacing w:before="240" w:after="60"/>
        <w:ind w:left="0" w:right="0" w:firstLine="680"/>
        <w:jc w:val="left"/>
        <w:rPr>
          <w:sz w:val="24"/>
          <w:szCs w:val="24"/>
        </w:rPr>
      </w:pPr>
      <w:bookmarkStart w:id="9" w:name="__RefHeading___Toc3371_1975687802"/>
      <w:bookmarkStart w:id="10" w:name="_Toc54646398"/>
      <w:bookmarkStart w:id="11" w:name="_Toc46743507"/>
      <w:bookmarkEnd w:id="9"/>
      <w:r>
        <w:rPr>
          <w:b/>
          <w:bCs/>
          <w:i w:val="false"/>
          <w:iCs/>
          <w:sz w:val="24"/>
          <w:szCs w:val="24"/>
        </w:rPr>
        <w:t>Цель</w:t>
      </w:r>
      <w:r>
        <w:rPr>
          <w:sz w:val="24"/>
          <w:szCs w:val="24"/>
        </w:rPr>
        <w:t xml:space="preserve"> </w:t>
      </w:r>
      <w:bookmarkEnd w:id="10"/>
      <w:bookmarkEnd w:id="11"/>
      <w:r>
        <w:rPr>
          <w:sz w:val="24"/>
          <w:szCs w:val="24"/>
          <w:lang w:val="ru-RU"/>
        </w:rPr>
        <w:t xml:space="preserve">оказания услуг: </w:t>
      </w:r>
    </w:p>
    <w:p>
      <w:pPr>
        <w:pStyle w:val="Heading4"/>
        <w:keepNext w:val="true"/>
        <w:widowControl/>
        <w:numPr>
          <w:ilvl w:val="0"/>
          <w:numId w:val="0"/>
        </w:numPr>
        <w:suppressAutoHyphens w:val="true"/>
        <w:overflowPunct w:val="false"/>
        <w:bidi w:val="0"/>
        <w:spacing w:before="120" w:after="60"/>
        <w:ind w:left="0" w:right="0" w:firstLine="680"/>
        <w:jc w:val="both"/>
        <w:rPr>
          <w:sz w:val="24"/>
          <w:szCs w:val="24"/>
        </w:rPr>
      </w:pPr>
      <w:r>
        <w:rPr>
          <w:rFonts w:eastAsia="Times New Roman" w:cs="Times New Roman"/>
          <w:b w:val="false"/>
          <w:bCs w:val="false"/>
          <w:color w:val="auto"/>
          <w:kern w:val="0"/>
          <w:sz w:val="24"/>
          <w:szCs w:val="24"/>
          <w:lang w:val="ru-RU" w:eastAsia="ru-RU" w:bidi="ar-SA"/>
        </w:rPr>
        <w:t>В целях и</w:t>
      </w:r>
      <w:bookmarkStart w:id="12" w:name="_Toc127428682"/>
      <w:r>
        <w:rPr>
          <w:rFonts w:eastAsia="Times New Roman" w:cs="Times New Roman"/>
          <w:b w:val="false"/>
          <w:bCs w:val="false"/>
          <w:color w:val="auto"/>
          <w:kern w:val="0"/>
          <w:sz w:val="24"/>
          <w:szCs w:val="24"/>
          <w:lang w:val="ru-RU" w:eastAsia="ru-RU" w:bidi="ar-SA"/>
        </w:rPr>
        <w:t>сполнения доходного договора, заключенного между ООО «СНРГ» и АО «СК «РусГидро»</w:t>
      </w:r>
      <w:bookmarkEnd w:id="12"/>
      <w:r>
        <w:rPr>
          <w:rFonts w:eastAsia="Times New Roman" w:cs="Times New Roman"/>
          <w:b w:val="false"/>
          <w:bCs w:val="false"/>
          <w:color w:val="auto"/>
          <w:kern w:val="0"/>
          <w:sz w:val="24"/>
          <w:szCs w:val="24"/>
          <w:lang w:val="ru-RU" w:eastAsia="ru-RU" w:bidi="ar-SA"/>
        </w:rPr>
        <w:t xml:space="preserve"> на предмет оказания услуг по чистке и уборке объектов ООО «СНРГ».</w:t>
      </w:r>
    </w:p>
    <w:p>
      <w:pPr>
        <w:pStyle w:val="Normal"/>
        <w:widowControl/>
        <w:suppressAutoHyphens w:val="true"/>
        <w:overflowPunct w:val="false"/>
        <w:bidi w:val="0"/>
        <w:spacing w:before="0" w:after="0"/>
        <w:ind w:left="0" w:right="0" w:firstLine="680"/>
        <w:jc w:val="both"/>
        <w:rPr/>
      </w:pPr>
      <w:r>
        <w:rPr>
          <w:rStyle w:val="Style8"/>
          <w:b w:val="false"/>
          <w:bCs/>
          <w:i w:val="false"/>
          <w:iCs w:val="false"/>
          <w:sz w:val="24"/>
          <w:szCs w:val="24"/>
          <w:shd w:fill="auto" w:val="clear"/>
        </w:rPr>
        <w:t>Очистки крыш от выпавшего снега и образовавшейся наледи, для обеспечения безопасности, находящихся внизу людей, припаркованного транспорта и зеленых насаждений. Для своевременного и контролируемого удаления снега и наледи с целью исключения риска лавинообразного схода покрова, защиты чердачных помещений и верхних этажей от протеканий в период таяния.</w:t>
      </w:r>
    </w:p>
    <w:p>
      <w:pPr>
        <w:pStyle w:val="Normal"/>
        <w:ind w:left="0" w:right="0" w:firstLine="709"/>
        <w:jc w:val="both"/>
        <w:rPr>
          <w:rStyle w:val="Style8"/>
        </w:rPr>
      </w:pPr>
      <w:r>
        <w:rPr/>
      </w:r>
    </w:p>
    <w:p>
      <w:pPr>
        <w:pStyle w:val="ListParagraph"/>
        <w:widowControl/>
        <w:numPr>
          <w:ilvl w:val="1"/>
          <w:numId w:val="3"/>
        </w:numPr>
        <w:suppressAutoHyphens w:val="true"/>
        <w:overflowPunct w:val="false"/>
        <w:bidi w:val="0"/>
        <w:spacing w:lineRule="auto" w:line="276" w:before="0" w:after="0"/>
        <w:ind w:left="0" w:right="0" w:firstLine="680"/>
        <w:contextualSpacing/>
        <w:jc w:val="both"/>
        <w:rPr/>
      </w:pPr>
      <w:bookmarkStart w:id="13" w:name="_Toc54643698"/>
      <w:bookmarkStart w:id="14" w:name="_Toc46743508"/>
      <w:r>
        <w:rPr>
          <w:rStyle w:val="Style8"/>
          <w:rFonts w:eastAsia="Calibri" w:cs="Times New Roman"/>
          <w:b/>
          <w:bCs/>
          <w:i w:val="false"/>
          <w:iCs w:val="false"/>
          <w:color w:val="000000"/>
          <w:kern w:val="0"/>
          <w:sz w:val="24"/>
          <w:szCs w:val="24"/>
          <w:shd w:fill="auto" w:val="clear"/>
          <w:lang w:val="ru-RU" w:eastAsia="x-none" w:bidi="ar-SA"/>
        </w:rPr>
        <w:t>Существующее положение</w:t>
      </w:r>
      <w:bookmarkEnd w:id="14"/>
      <w:r>
        <w:rPr>
          <w:rStyle w:val="Style8"/>
          <w:rFonts w:eastAsia="Calibri" w:cs="Times New Roman"/>
          <w:b/>
          <w:bCs/>
          <w:i w:val="false"/>
          <w:iCs w:val="false"/>
          <w:color w:val="000000"/>
          <w:kern w:val="0"/>
          <w:sz w:val="24"/>
          <w:szCs w:val="24"/>
          <w:shd w:fill="auto" w:val="clear"/>
          <w:lang w:val="ru-RU" w:eastAsia="x-none" w:bidi="ar-SA"/>
        </w:rPr>
        <w:t xml:space="preserve">: </w:t>
      </w:r>
      <w:bookmarkEnd w:id="13"/>
    </w:p>
    <w:p>
      <w:pPr>
        <w:pStyle w:val="ListParagraph"/>
        <w:widowControl/>
        <w:suppressAutoHyphens w:val="true"/>
        <w:overflowPunct w:val="false"/>
        <w:bidi w:val="0"/>
        <w:spacing w:before="0" w:after="0"/>
        <w:ind w:left="0" w:right="0" w:firstLine="680"/>
        <w:contextualSpacing/>
        <w:jc w:val="both"/>
        <w:rPr>
          <w:b/>
          <w:bCs/>
        </w:rPr>
      </w:pPr>
      <w:r>
        <w:rPr>
          <w:b/>
          <w:bCs/>
        </w:rPr>
        <w:t>Таблица 1. Перечень объектов заказчика</w:t>
      </w:r>
    </w:p>
    <w:tbl>
      <w:tblPr>
        <w:tblW w:w="9975" w:type="dxa"/>
        <w:jc w:val="center"/>
        <w:tblInd w:w="0" w:type="dxa"/>
        <w:tblLayout w:type="fixed"/>
        <w:tblCellMar>
          <w:top w:w="0" w:type="dxa"/>
          <w:left w:w="108" w:type="dxa"/>
          <w:bottom w:w="0" w:type="dxa"/>
          <w:right w:w="108" w:type="dxa"/>
        </w:tblCellMar>
      </w:tblPr>
      <w:tblGrid>
        <w:gridCol w:w="615"/>
        <w:gridCol w:w="1809"/>
        <w:gridCol w:w="1992"/>
        <w:gridCol w:w="2150"/>
        <w:gridCol w:w="3409"/>
      </w:tblGrid>
      <w:tr>
        <w:trPr>
          <w:trHeight w:val="20" w:hRule="atLeast"/>
        </w:trPr>
        <w:tc>
          <w:tcPr>
            <w:tcW w:w="6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bCs/>
                <w:sz w:val="22"/>
                <w:szCs w:val="22"/>
              </w:rPr>
              <w:t>№</w:t>
            </w:r>
          </w:p>
          <w:p>
            <w:pPr>
              <w:pStyle w:val="Normal"/>
              <w:widowControl w:val="false"/>
              <w:jc w:val="center"/>
              <w:rPr>
                <w:sz w:val="22"/>
                <w:szCs w:val="22"/>
              </w:rPr>
            </w:pPr>
            <w:r>
              <w:rPr>
                <w:b/>
                <w:bCs/>
                <w:sz w:val="22"/>
                <w:szCs w:val="22"/>
              </w:rPr>
              <w:t>п/п</w:t>
            </w:r>
          </w:p>
        </w:tc>
        <w:tc>
          <w:tcPr>
            <w:tcW w:w="18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bCs/>
                <w:sz w:val="22"/>
                <w:szCs w:val="22"/>
              </w:rPr>
              <w:t>Наименование объекта</w:t>
            </w:r>
          </w:p>
        </w:tc>
        <w:tc>
          <w:tcPr>
            <w:tcW w:w="19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bCs/>
                <w:sz w:val="22"/>
                <w:szCs w:val="22"/>
              </w:rPr>
              <w:t xml:space="preserve">Расположение объекта </w:t>
            </w:r>
            <w:r>
              <w:rPr>
                <w:b/>
                <w:bCs/>
                <w:i/>
                <w:iCs/>
                <w:sz w:val="22"/>
                <w:szCs w:val="22"/>
              </w:rPr>
              <w:t>(место оказания услуг)</w:t>
            </w:r>
          </w:p>
        </w:tc>
        <w:tc>
          <w:tcPr>
            <w:tcW w:w="21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bCs/>
                <w:sz w:val="22"/>
                <w:szCs w:val="22"/>
              </w:rPr>
              <w:t xml:space="preserve">Наименование основного средства </w:t>
              <w:br/>
              <w:t>(в отношении которого оказываются услуги)</w:t>
            </w:r>
          </w:p>
        </w:tc>
        <w:tc>
          <w:tcPr>
            <w:tcW w:w="34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bCs/>
                <w:sz w:val="22"/>
                <w:szCs w:val="22"/>
              </w:rPr>
              <w:t>Примечания</w:t>
            </w:r>
          </w:p>
        </w:tc>
      </w:tr>
      <w:tr>
        <w:trPr>
          <w:trHeight w:val="20" w:hRule="atLeast"/>
        </w:trPr>
        <w:tc>
          <w:tcPr>
            <w:tcW w:w="6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1</w:t>
            </w:r>
          </w:p>
        </w:tc>
        <w:tc>
          <w:tcPr>
            <w:tcW w:w="18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2</w:t>
            </w:r>
          </w:p>
        </w:tc>
        <w:tc>
          <w:tcPr>
            <w:tcW w:w="199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3</w:t>
            </w:r>
          </w:p>
        </w:tc>
        <w:tc>
          <w:tcPr>
            <w:tcW w:w="21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4</w:t>
            </w:r>
          </w:p>
        </w:tc>
        <w:tc>
          <w:tcPr>
            <w:tcW w:w="34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5</w:t>
            </w:r>
          </w:p>
        </w:tc>
      </w:tr>
      <w:tr>
        <w:trPr>
          <w:trHeight w:val="20" w:hRule="atLeast"/>
        </w:trPr>
        <w:tc>
          <w:tcPr>
            <w:tcW w:w="615"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spacing w:before="0" w:after="85"/>
              <w:ind w:left="0" w:right="0" w:hanging="0"/>
              <w:contextualSpacing/>
              <w:jc w:val="center"/>
              <w:rPr>
                <w:sz w:val="22"/>
                <w:szCs w:val="22"/>
              </w:rPr>
            </w:pPr>
            <w:r>
              <w:rPr>
                <w:sz w:val="22"/>
                <w:szCs w:val="22"/>
              </w:rPr>
              <w:t>1</w:t>
            </w:r>
          </w:p>
        </w:tc>
        <w:tc>
          <w:tcPr>
            <w:tcW w:w="18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Офисное здание БЦ «Гидропроект»</w:t>
            </w:r>
          </w:p>
        </w:tc>
        <w:tc>
          <w:tcPr>
            <w:tcW w:w="19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 </w:t>
            </w:r>
            <w:r>
              <w:rPr>
                <w:sz w:val="22"/>
                <w:szCs w:val="22"/>
              </w:rPr>
              <w:t>г. Москва, шоссе Волоколамское, д. 2</w:t>
            </w:r>
          </w:p>
        </w:tc>
        <w:tc>
          <w:tcPr>
            <w:tcW w:w="21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left"/>
              <w:rPr>
                <w:sz w:val="22"/>
                <w:szCs w:val="22"/>
              </w:rPr>
            </w:pPr>
            <w:r>
              <w:rPr>
                <w:sz w:val="22"/>
                <w:szCs w:val="22"/>
              </w:rPr>
              <w:t xml:space="preserve">- Кровля </w:t>
            </w:r>
            <w:r>
              <w:rPr>
                <w:sz w:val="22"/>
                <w:szCs w:val="22"/>
              </w:rPr>
              <w:t xml:space="preserve">стилобата </w:t>
            </w:r>
            <w:r>
              <w:rPr>
                <w:sz w:val="22"/>
                <w:szCs w:val="22"/>
              </w:rPr>
              <w:t>здания</w:t>
            </w:r>
          </w:p>
          <w:p>
            <w:pPr>
              <w:pStyle w:val="Normal"/>
              <w:widowControl w:val="false"/>
              <w:jc w:val="left"/>
              <w:rPr>
                <w:sz w:val="22"/>
                <w:szCs w:val="22"/>
              </w:rPr>
            </w:pPr>
            <w:r>
              <w:rPr>
                <w:sz w:val="22"/>
                <w:szCs w:val="22"/>
              </w:rPr>
              <w:t xml:space="preserve">- Козырек </w:t>
            </w:r>
            <w:r>
              <w:rPr>
                <w:sz w:val="22"/>
                <w:szCs w:val="22"/>
              </w:rPr>
              <w:t>входной группы</w:t>
            </w:r>
          </w:p>
        </w:tc>
        <w:tc>
          <w:tcPr>
            <w:tcW w:w="34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Объект Заказчика является зданием с ограниченным допуском. Проход в здания осуществляется на основании пропусков, оформленных на основании паспортов Российской Федерации.</w:t>
            </w:r>
          </w:p>
        </w:tc>
      </w:tr>
    </w:tbl>
    <w:p>
      <w:pPr>
        <w:pStyle w:val="Normal"/>
        <w:widowControl w:val="false"/>
        <w:tabs>
          <w:tab w:val="clear" w:pos="708"/>
          <w:tab w:val="left" w:pos="426" w:leader="none"/>
        </w:tabs>
        <w:spacing w:before="0" w:after="0"/>
        <w:jc w:val="both"/>
        <w:rPr>
          <w:rStyle w:val="Style8"/>
          <w:rFonts w:eastAsia="Times New Roman" w:cs="Times New Roman"/>
          <w:b w:val="false"/>
          <w:bCs/>
          <w:color w:val="000000"/>
          <w:kern w:val="0"/>
          <w:sz w:val="24"/>
          <w:szCs w:val="24"/>
          <w:shd w:fill="auto" w:val="clear"/>
          <w:lang w:val="ru-RU" w:eastAsia="ru-RU" w:bidi="ar-SA"/>
        </w:rPr>
      </w:pPr>
      <w:r>
        <w:rPr>
          <w:rFonts w:eastAsia="Times New Roman" w:cs="Times New Roman"/>
          <w:b w:val="false"/>
          <w:bCs/>
          <w:color w:val="000000"/>
          <w:kern w:val="0"/>
          <w:sz w:val="24"/>
          <w:szCs w:val="24"/>
          <w:shd w:fill="auto" w:val="clear"/>
          <w:lang w:val="ru-RU" w:eastAsia="ru-RU" w:bidi="ar-SA"/>
        </w:rPr>
      </w:r>
    </w:p>
    <w:p>
      <w:pPr>
        <w:pStyle w:val="Normal"/>
        <w:widowControl w:val="false"/>
        <w:numPr>
          <w:ilvl w:val="1"/>
          <w:numId w:val="3"/>
        </w:numPr>
        <w:tabs>
          <w:tab w:val="clear" w:pos="708"/>
          <w:tab w:val="left" w:pos="426" w:leader="none"/>
        </w:tabs>
        <w:suppressAutoHyphens w:val="true"/>
        <w:overflowPunct w:val="false"/>
        <w:bidi w:val="0"/>
        <w:spacing w:before="0" w:after="0"/>
        <w:ind w:left="0" w:right="0" w:firstLine="680"/>
        <w:jc w:val="both"/>
        <w:rPr/>
      </w:pPr>
      <w:r>
        <w:rPr>
          <w:rStyle w:val="Style8"/>
          <w:rFonts w:eastAsia="Calibri" w:cs="Times New Roman"/>
          <w:b/>
          <w:bCs/>
          <w:i w:val="false"/>
          <w:iCs w:val="false"/>
          <w:color w:val="000000"/>
          <w:kern w:val="0"/>
          <w:sz w:val="24"/>
          <w:szCs w:val="24"/>
          <w:shd w:fill="auto" w:val="clear"/>
          <w:lang w:val="x-none" w:eastAsia="x-none" w:bidi="ar-SA"/>
        </w:rPr>
        <w:t>Информация в отношении исполнения договора, которая должна быть учтена при подготовке заявки (в том числе перечень ресурсов, услуг и документов, предоставляемых заказчиком на этапе исполнения договора)</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pPr>
      <w:r>
        <w:rPr>
          <w:rStyle w:val="Style8"/>
          <w:rFonts w:eastAsia="Times New Roman" w:cs="Times New Roman"/>
          <w:b w:val="false"/>
          <w:bCs/>
          <w:i w:val="false"/>
          <w:iCs w:val="false"/>
          <w:color w:val="000000"/>
          <w:kern w:val="0"/>
          <w:sz w:val="24"/>
          <w:szCs w:val="24"/>
          <w:shd w:fill="auto" w:val="clear"/>
          <w:lang w:val="ru-RU" w:eastAsia="ru-RU" w:bidi="ar-SA"/>
        </w:rPr>
        <w:t>Оказание услуг осуществляется по Заявкам Заказчика, направленной в адрес Исполнителя любым доступным способом связи, обеспечивающим подтверждение факта получения Заявки Исполнителем.</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pPr>
      <w:r>
        <w:rPr>
          <w:rStyle w:val="Style8"/>
          <w:rFonts w:eastAsia="Times New Roman" w:cs="Times New Roman"/>
          <w:b w:val="false"/>
          <w:bCs/>
          <w:i w:val="false"/>
          <w:iCs w:val="false"/>
          <w:color w:val="000000"/>
          <w:kern w:val="0"/>
          <w:sz w:val="24"/>
          <w:szCs w:val="24"/>
          <w:shd w:fill="auto" w:val="clear"/>
          <w:lang w:val="ru-RU" w:eastAsia="ru-RU" w:bidi="ar-SA"/>
        </w:rPr>
        <w:t xml:space="preserve"> </w:t>
      </w:r>
      <w:r>
        <w:rPr>
          <w:rStyle w:val="Style8"/>
          <w:rFonts w:eastAsia="Times New Roman" w:cs="Times New Roman"/>
          <w:b w:val="false"/>
          <w:bCs/>
          <w:i w:val="false"/>
          <w:iCs w:val="false"/>
          <w:color w:val="000000"/>
          <w:kern w:val="0"/>
          <w:sz w:val="24"/>
          <w:szCs w:val="24"/>
          <w:shd w:fill="auto" w:val="clear"/>
          <w:lang w:val="ru-RU" w:eastAsia="ru-RU" w:bidi="ar-SA"/>
        </w:rPr>
        <w:t xml:space="preserve">Оказание услуг по уборке снега и наледи с крыш осуществляется </w:t>
      </w:r>
      <w:r>
        <w:rPr>
          <w:rStyle w:val="Style8"/>
          <w:rFonts w:eastAsia="Times New Roman" w:cs="Times New Roman"/>
          <w:b w:val="false"/>
          <w:bCs w:val="false"/>
          <w:i w:val="false"/>
          <w:iCs w:val="false"/>
          <w:color w:val="000000"/>
          <w:kern w:val="0"/>
          <w:sz w:val="24"/>
          <w:szCs w:val="24"/>
          <w:shd w:fill="auto" w:val="clear"/>
          <w:lang w:val="ru-RU" w:eastAsia="ru-RU" w:bidi="ar-SA"/>
        </w:rPr>
        <w:t>с привлечением</w:t>
      </w:r>
      <w:r>
        <w:rPr>
          <w:rStyle w:val="Style8"/>
          <w:rFonts w:eastAsia="Times New Roman" w:cs="Times New Roman"/>
          <w:b/>
          <w:bCs/>
          <w:i w:val="false"/>
          <w:iCs w:val="false"/>
          <w:color w:val="000000"/>
          <w:kern w:val="0"/>
          <w:sz w:val="24"/>
          <w:szCs w:val="24"/>
          <w:shd w:fill="auto" w:val="clear"/>
          <w:lang w:val="ru-RU" w:eastAsia="ru-RU" w:bidi="ar-SA"/>
        </w:rPr>
        <w:t xml:space="preserve"> промышленных альпинистов, </w:t>
      </w:r>
      <w:r>
        <w:rPr>
          <w:rStyle w:val="Style8"/>
          <w:rFonts w:eastAsia="Times New Roman" w:cs="Times New Roman"/>
          <w:b w:val="false"/>
          <w:bCs w:val="false"/>
          <w:i w:val="false"/>
          <w:iCs w:val="false"/>
          <w:color w:val="000000"/>
          <w:kern w:val="0"/>
          <w:sz w:val="24"/>
          <w:szCs w:val="24"/>
          <w:shd w:fill="auto" w:val="clear"/>
          <w:lang w:val="ru-RU" w:eastAsia="ru-RU" w:bidi="ar-SA"/>
        </w:rPr>
        <w:t>высококвалифицированным персоналом с необходимыми профессиональными знаниями и опытом работы, а также допусками, аттестациями и регулярными повышением квалификации.</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pPr>
      <w:r>
        <w:rPr>
          <w:rStyle w:val="Style8"/>
          <w:rFonts w:eastAsia="Times New Roman" w:cs="Times New Roman"/>
          <w:b w:val="false"/>
          <w:bCs/>
          <w:i w:val="false"/>
          <w:iCs w:val="false"/>
          <w:color w:val="000000"/>
          <w:kern w:val="0"/>
          <w:sz w:val="24"/>
          <w:szCs w:val="24"/>
          <w:shd w:fill="auto" w:val="clear"/>
          <w:lang w:val="ru-RU" w:eastAsia="ru-RU" w:bidi="ar-SA"/>
        </w:rPr>
        <w:t>Исполнитель обязан до начала проведения работ разработать и утвердить у Заказчика Проект производства работ (ППР) на высоте либо Технологическую карту (ТК) на очистку кровли от снега, наледи и сосулек. Документация должна быть разработана в строгом соответствии с требованиями Правил по охране труда при работе на высоте (утв. Приказом Минтруда РФ от 16.11.2020 № 782н).</w:t>
      </w:r>
    </w:p>
    <w:p>
      <w:pPr>
        <w:pStyle w:val="Normal"/>
        <w:numPr>
          <w:ilvl w:val="2"/>
          <w:numId w:val="3"/>
        </w:numPr>
        <w:tabs>
          <w:tab w:val="clear" w:pos="708"/>
          <w:tab w:val="left" w:pos="1134" w:leader="none"/>
        </w:tabs>
        <w:spacing w:before="0" w:after="0"/>
        <w:ind w:left="0" w:right="0" w:firstLine="709"/>
        <w:jc w:val="both"/>
        <w:rPr/>
      </w:pPr>
      <w:r>
        <w:rPr>
          <w:rFonts w:eastAsia="Calibri"/>
          <w:sz w:val="24"/>
          <w:szCs w:val="24"/>
          <w:lang w:val="ru-RU" w:eastAsia="x-none"/>
        </w:rPr>
        <w:t>Исполнитель обязан обеспечить всех сотрудников, привлекаемых к оказанию услуг на Объекте, средствами индивидуальной защиты и другими необходимыми инструментами и оснасткой, согласно установленных норм с учетом конкретных условий производства и сезона выполнения наружных работ. Сотрудник должен выполнять работу на высоте в соответствующей специальной одежде, в защитной строительной каске, с предохранительным поясом с капроновым стропом, в необходимых случаях - с применением верхолазного устройства с вертикальным страховочным канатом и прочим оборудованием в зависимости от вида и способа выполняемых работ.</w:t>
      </w:r>
    </w:p>
    <w:p>
      <w:pPr>
        <w:pStyle w:val="ListParagraph"/>
        <w:numPr>
          <w:ilvl w:val="2"/>
          <w:numId w:val="3"/>
        </w:numPr>
        <w:spacing w:before="0" w:after="0"/>
        <w:ind w:left="0" w:right="0" w:firstLine="709"/>
        <w:contextualSpacing w:val="false"/>
        <w:jc w:val="both"/>
        <w:rPr/>
      </w:pPr>
      <w:r>
        <w:rPr>
          <w:rStyle w:val="Style8"/>
          <w:rFonts w:eastAsia="Times New Roman" w:cs="Times New Roman"/>
          <w:b w:val="false"/>
          <w:bCs/>
          <w:i w:val="false"/>
          <w:iCs w:val="false"/>
          <w:color w:val="000000"/>
          <w:kern w:val="0"/>
          <w:sz w:val="24"/>
          <w:szCs w:val="24"/>
          <w:shd w:fill="auto" w:val="clear"/>
          <w:lang w:val="ru-RU" w:eastAsia="x-none" w:bidi="ar-SA"/>
        </w:rPr>
        <w:t>При работе, выполняемой на высоте, Исполнитель обязан соблюдать правила техники безопасности с оформлением письменного документа на особо опасные работы с указанием фамилий работников и их подписью в наряде-допуске и в журнале техники безопасности с соблюдением положений трудового законодательства. Работы выполняются после инструктажа рабочих ответственным лицом Исполнителя и под его непосредственным контролем, который несет всю ответственность за безопасность при оказании услуг. После заключения Договора Исполнитель предоставляет Заказчику приказ о назначении ответственного лица на весь период действия Договора.</w:t>
      </w:r>
    </w:p>
    <w:p>
      <w:pPr>
        <w:pStyle w:val="Normal"/>
        <w:widowControl w:val="false"/>
        <w:numPr>
          <w:ilvl w:val="0"/>
          <w:numId w:val="0"/>
        </w:numPr>
        <w:tabs>
          <w:tab w:val="clear" w:pos="708"/>
          <w:tab w:val="left" w:pos="426" w:leader="none"/>
        </w:tabs>
        <w:suppressAutoHyphens w:val="true"/>
        <w:overflowPunct w:val="false"/>
        <w:bidi w:val="0"/>
        <w:spacing w:before="0" w:after="0"/>
        <w:ind w:left="0" w:right="0" w:hanging="0"/>
        <w:jc w:val="both"/>
        <w:rPr>
          <w:rFonts w:eastAsia="Times New Roman" w:cs="Times New Roman"/>
          <w:b w:val="false"/>
          <w:bCs/>
          <w:color w:val="000000"/>
          <w:kern w:val="0"/>
          <w:sz w:val="24"/>
          <w:szCs w:val="24"/>
          <w:shd w:fill="auto" w:val="clear"/>
          <w:lang w:val="ru-RU" w:eastAsia="ru-RU" w:bidi="ar-SA"/>
        </w:rPr>
      </w:pPr>
      <w:r>
        <w:rPr>
          <w:rFonts w:eastAsia="Times New Roman" w:cs="Times New Roman"/>
          <w:b w:val="false"/>
          <w:bCs/>
          <w:color w:val="000000"/>
          <w:kern w:val="0"/>
          <w:sz w:val="24"/>
          <w:szCs w:val="24"/>
          <w:shd w:fill="auto" w:val="clear"/>
          <w:lang w:val="ru-RU" w:eastAsia="ru-RU" w:bidi="ar-SA"/>
        </w:rPr>
      </w:r>
    </w:p>
    <w:p>
      <w:pPr>
        <w:pStyle w:val="Normal"/>
        <w:widowControl w:val="false"/>
        <w:numPr>
          <w:ilvl w:val="1"/>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bCs/>
          <w:i w:val="false"/>
          <w:iCs w:val="false"/>
          <w:color w:val="000000"/>
          <w:kern w:val="0"/>
          <w:sz w:val="24"/>
          <w:szCs w:val="24"/>
          <w:shd w:fill="FFFFFF" w:val="clear"/>
          <w:lang w:val="ru-RU" w:eastAsia="ru-RU" w:bidi="ar-SA"/>
        </w:rPr>
        <w:t xml:space="preserve"> </w:t>
      </w:r>
      <w:r>
        <w:rPr>
          <w:rStyle w:val="Style8"/>
          <w:rFonts w:eastAsia="Times New Roman" w:cs="Times New Roman"/>
          <w:b/>
          <w:bCs/>
          <w:i w:val="false"/>
          <w:iCs w:val="false"/>
          <w:color w:val="000000"/>
          <w:kern w:val="0"/>
          <w:sz w:val="24"/>
          <w:szCs w:val="24"/>
          <w:shd w:fill="FFFFFF" w:val="clear"/>
          <w:lang w:val="ru-RU" w:eastAsia="ru-RU" w:bidi="ar-SA"/>
        </w:rPr>
        <w:t>Требования к количественному составу, квалификации персонала</w:t>
      </w:r>
    </w:p>
    <w:p>
      <w:pPr>
        <w:pStyle w:val="Normal"/>
        <w:widowControl w:val="false"/>
        <w:numPr>
          <w:ilvl w:val="2"/>
          <w:numId w:val="3"/>
        </w:numPr>
        <w:tabs>
          <w:tab w:val="clear" w:pos="708"/>
          <w:tab w:val="left" w:pos="426" w:leader="none"/>
          <w:tab w:val="left" w:pos="1125"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 xml:space="preserve">Исполнитель для проведения работ обязуется направить на объект для проведения работ персонал в количественном составе, необходимом для выполнения работ в объеме, указанном в настоящих технических требованиях. До начала проведения работ Исполнитель назначает лиц, ответственных за выполнение работ, с правом  подписи в акте-допуске и правами выдачи нарядов-допусков на выполняемые  работы по предварительному согласованию с представителем Заказчика на объекте (руководитель работ, производитель работ). </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pPr>
      <w:r>
        <w:rPr>
          <w:rStyle w:val="Style8"/>
          <w:rFonts w:eastAsia="Times New Roman" w:cs="Times New Roman"/>
          <w:b w:val="false"/>
          <w:bCs/>
          <w:i w:val="false"/>
          <w:iCs w:val="false"/>
          <w:color w:val="000000"/>
          <w:kern w:val="0"/>
          <w:sz w:val="24"/>
          <w:szCs w:val="24"/>
          <w:shd w:fill="auto" w:val="clear"/>
          <w:lang w:val="ru-RU" w:eastAsia="ru-RU" w:bidi="ar-SA"/>
        </w:rPr>
        <w:t xml:space="preserve">Оказание услуг по уборке снега и наледи с крыш с привлечением промышленных альпинистов, обязательное условие - </w:t>
      </w:r>
      <w:r>
        <w:rPr>
          <w:rStyle w:val="Style8"/>
          <w:rFonts w:eastAsia="Times New Roman" w:cs="Times New Roman"/>
          <w:b/>
          <w:bCs/>
          <w:i w:val="false"/>
          <w:iCs w:val="false"/>
          <w:color w:val="000000"/>
          <w:kern w:val="0"/>
          <w:sz w:val="24"/>
          <w:szCs w:val="24"/>
          <w:shd w:fill="auto" w:val="clear"/>
          <w:lang w:val="ru-RU" w:eastAsia="ru-RU" w:bidi="ar-SA"/>
        </w:rPr>
        <w:t>наличие удостоверения промышленного альпиниста, группа по безопасности работ на высоте. Личная книжка учета работ на высоте в соответствии с Приложением № 4 Приказа Минтруда России от 16.11.2020 N 782н «Об утверждении Правил по охране труда при работе на высоте». Группа по электробезопасности не ниже II.</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pPr>
      <w:r>
        <w:rPr>
          <w:rStyle w:val="Style8"/>
          <w:rFonts w:eastAsia="Times New Roman" w:cs="Times New Roman"/>
          <w:b w:val="false"/>
          <w:bCs/>
          <w:i w:val="false"/>
          <w:iCs w:val="false"/>
          <w:color w:val="000000"/>
          <w:kern w:val="0"/>
          <w:sz w:val="24"/>
          <w:szCs w:val="24"/>
          <w:shd w:fill="auto" w:val="clear"/>
          <w:lang w:val="ru-RU" w:eastAsia="ru-RU" w:bidi="ar-SA"/>
        </w:rPr>
        <w:t>Работы выполняются высококвалифицированным персоналом с необходимыми профессиональными знаниями и опытом работы, а также допусками, аттестациями и регулярными повышением квалификации в соответствии с требованиями следующих документов:</w:t>
      </w:r>
    </w:p>
    <w:p>
      <w:pPr>
        <w:pStyle w:val="Normal"/>
        <w:widowControl w:val="false"/>
        <w:numPr>
          <w:ilvl w:val="0"/>
          <w:numId w:val="6"/>
        </w:numPr>
        <w:tabs>
          <w:tab w:val="clear" w:pos="708"/>
          <w:tab w:val="left" w:pos="426" w:leader="none"/>
        </w:tabs>
        <w:suppressAutoHyphens w:val="true"/>
        <w:bidi w:val="0"/>
        <w:spacing w:before="0" w:after="0"/>
        <w:jc w:val="both"/>
        <w:rPr/>
      </w:pPr>
      <w:r>
        <w:rPr>
          <w:rStyle w:val="Style8"/>
          <w:rFonts w:eastAsia="Times New Roman" w:cs="Times New Roman"/>
          <w:b w:val="false"/>
          <w:bCs/>
          <w:i w:val="false"/>
          <w:iCs w:val="false"/>
          <w:color w:val="000000"/>
          <w:kern w:val="0"/>
          <w:sz w:val="24"/>
          <w:szCs w:val="24"/>
          <w:shd w:fill="auto" w:val="clear"/>
          <w:lang w:val="ru-RU" w:eastAsia="ru-RU" w:bidi="ar-SA"/>
        </w:rPr>
        <w:t>Приказом Минтруда России от 16.11.2020 N 782н. «Об утверждении Правил по охране труда при работе на высоте»;</w:t>
      </w:r>
    </w:p>
    <w:p>
      <w:pPr>
        <w:pStyle w:val="Normal"/>
        <w:widowControl w:val="false"/>
        <w:numPr>
          <w:ilvl w:val="0"/>
          <w:numId w:val="6"/>
        </w:numPr>
        <w:tabs>
          <w:tab w:val="clear" w:pos="708"/>
          <w:tab w:val="left" w:pos="426" w:leader="none"/>
        </w:tabs>
        <w:suppressAutoHyphens w:val="true"/>
        <w:bidi w:val="0"/>
        <w:spacing w:before="0" w:after="0"/>
        <w:jc w:val="both"/>
        <w:rPr/>
      </w:pPr>
      <w:r>
        <w:rPr>
          <w:rStyle w:val="Style8"/>
          <w:rFonts w:eastAsia="Times New Roman" w:cs="Times New Roman"/>
          <w:b w:val="false"/>
          <w:bCs/>
          <w:i w:val="false"/>
          <w:iCs w:val="false"/>
          <w:color w:val="000000"/>
          <w:kern w:val="0"/>
          <w:sz w:val="24"/>
          <w:szCs w:val="24"/>
          <w:shd w:fill="auto" w:val="clear"/>
          <w:lang w:val="ru-RU" w:eastAsia="ru-RU" w:bidi="ar-SA"/>
        </w:rPr>
        <w:t>Приказом Минтруда России N 988н, Минздрава N 1420н от 31.12.2020. «Об утверждении перечня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при поступлении на работу и периодические медицинские осмотры»</w:t>
      </w:r>
    </w:p>
    <w:p>
      <w:pPr>
        <w:pStyle w:val="Normal"/>
        <w:widowControl w:val="false"/>
        <w:numPr>
          <w:ilvl w:val="0"/>
          <w:numId w:val="6"/>
        </w:numPr>
        <w:tabs>
          <w:tab w:val="clear" w:pos="708"/>
          <w:tab w:val="left" w:pos="426" w:leader="none"/>
        </w:tabs>
        <w:suppressAutoHyphens w:val="true"/>
        <w:bidi w:val="0"/>
        <w:spacing w:before="0" w:after="0"/>
        <w:jc w:val="both"/>
        <w:rPr/>
      </w:pPr>
      <w:r>
        <w:rPr>
          <w:rStyle w:val="Style8"/>
          <w:rFonts w:eastAsia="Times New Roman" w:cs="Times New Roman"/>
          <w:b w:val="false"/>
          <w:bCs/>
          <w:i w:val="false"/>
          <w:iCs w:val="false"/>
          <w:color w:val="000000"/>
          <w:kern w:val="0"/>
          <w:sz w:val="24"/>
          <w:szCs w:val="24"/>
          <w:shd w:fill="auto" w:val="clear"/>
          <w:lang w:val="ru-RU" w:eastAsia="ru-RU" w:bidi="ar-SA"/>
        </w:rPr>
        <w:t>Постановление Правительства РФ от 24.12.2021 N 2464 (ред. от 30.06.2026) "О порядке обучения по охране труда и проверки знания требований охраны труда".</w:t>
      </w:r>
    </w:p>
    <w:p>
      <w:pPr>
        <w:pStyle w:val="Normal"/>
        <w:widowControl w:val="false"/>
        <w:numPr>
          <w:ilvl w:val="2"/>
          <w:numId w:val="3"/>
        </w:numPr>
        <w:tabs>
          <w:tab w:val="clear" w:pos="708"/>
          <w:tab w:val="left" w:pos="426" w:leader="none"/>
          <w:tab w:val="left" w:pos="705"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Документы, подтверждающие квалификацию персонала, прохождение обучения, необходимого для оказания услуг, Исполнитель предоставляет после заключения договора до начала предоставления/оказания услуг на объекте представителю Заказчика на Объекте.</w:t>
      </w:r>
    </w:p>
    <w:p>
      <w:pPr>
        <w:pStyle w:val="Normal"/>
        <w:widowControl w:val="false"/>
        <w:tabs>
          <w:tab w:val="clear" w:pos="708"/>
          <w:tab w:val="left" w:pos="426" w:leader="none"/>
          <w:tab w:val="left" w:pos="735" w:leader="none"/>
          <w:tab w:val="left" w:pos="825"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Fonts w:eastAsia="Times New Roman" w:cs="Times New Roman"/>
          <w:b w:val="false"/>
          <w:bCs/>
          <w:color w:val="000000"/>
          <w:kern w:val="0"/>
          <w:sz w:val="24"/>
          <w:szCs w:val="24"/>
          <w:shd w:fill="auto" w:val="clear"/>
          <w:lang w:val="ru-RU" w:eastAsia="ru-RU" w:bidi="ar-SA"/>
        </w:rPr>
      </w:r>
    </w:p>
    <w:p>
      <w:pPr>
        <w:pStyle w:val="Normal"/>
        <w:widowControl w:val="false"/>
        <w:numPr>
          <w:ilvl w:val="1"/>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bCs/>
          <w:i w:val="false"/>
          <w:iCs w:val="false"/>
          <w:color w:val="000000"/>
          <w:kern w:val="0"/>
          <w:sz w:val="24"/>
          <w:szCs w:val="24"/>
          <w:shd w:fill="FFFFFF" w:val="clear"/>
          <w:lang w:val="ru-RU" w:eastAsia="ru-RU" w:bidi="ar-SA"/>
        </w:rPr>
        <w:t>Условия предоставления услуг</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Уборка снега и льда выполняется пластиковыми или деревянными лопатами без применения металлических инструментов (ломы, ледорубы и т.п.). В случае обнаружения у работников Исполнителя при оказании услуг металлических инструментов Заказчик имеет право остановить оказание услуг до их замены.</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Услуги по уборке снега и льда оказывать в мягкой не скользкой обуви.</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При очистке кровель от снега и льда, выполняемой на высоте, Исполнитель обязан соблюдать правила техники безопасности с оформлением письменного документа на особо опасные работы с указанием фамилий работников и их подписью в наряде-допуске и в журнале техники безопасности с соблюдением положений трудового законодательства. Очистка крыш от снега и наледи каждый раз выполняется после инструктажа рабочих ответственным лицом Исполнителя и под его непосредственным контролем, который несет всю ответственность за безопасность при оказании услуг. После заключения Договора Исполнитель предоставляет Заказчику приказ о назначении ответственного лица на весь период действия Договора.</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По окончании оказания услуг по Договору Исполнитель по акту сдает Заказчику кровлю в исправном состоянии. При обнаружении дефектов кровли в акте производится подробное описание обнаруженных дефектов. При отказе Исполнителя от подписания акта Заказчик имеет право составить такой акт самостоятельно.</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 xml:space="preserve">В случае повреждения кровли Исполнитель в течение 10 календарных дней после составления акта, за свой счет производит устранение имеющихся дефектов кровельного покрытия. </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В случае если объекту работ был причинен ущерб либо порча, Исполнитель обязан по выбору Заказчика самостоятельно за свой счет восстановить поврежденный объект, произведя необходимые работы, либо возместить Заказчику расходы, связанные с восстановлением объекта работ силами третьих лиц, либо компенсировать понесенные Заказчиком убытки (реальный ущерб в размере страховой оценки объекта и упущенная выгода). В случае если Объект был уничтожен, утрачен (похищен или утерян) или же причиненные ему повреждения исключают возможность восстановления, Исполнитель обязан возместить Заказчику убытки, вызванные случайной гибелью или случайным повреждением Объекта, произошедшим до момента приемки Заказчиком работ, предусмотренных настоящим договором.</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Не допускаются к работе (отстраняются от работы) персонал в состоянии алкогольного, наркотического или токсического опьянения, а также не допускается перенос и нахождение на территории размещения объектов веществ, вызывающих алкогольное, наркотическое или токсическое опьянение.</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Обеспечение персонала, оказывающего услуги, рабочей (фирменной) одеждой, специальной одеждой, специальной обувью и другими средствами индивидуальной защиты, согласно нормам (Приказ Минтруда и соцзащиты РФ от 09.12.2014 № 997н) является обязанностью Исполнителя.</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Исполнитель самостоятельно организовывает обучение персонала нормами и требованиями промышленной безопасности и охраны труда. Персонал Исполнителя должен иметь удостоверения о проверке знаний норм и требований промышленной безопасности и охраны труда установленной формы.</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После заключения договора в однодневный срок, перед началом фактического оказания услуг, Исполнитель должен документально подтвердить наличие специалистов, прошедших аттестацию и имеющих допуски на проведение высотных работ.</w:t>
      </w:r>
    </w:p>
    <w:p>
      <w:pPr>
        <w:pStyle w:val="Normal"/>
        <w:widowControl w:val="false"/>
        <w:tabs>
          <w:tab w:val="clear" w:pos="708"/>
          <w:tab w:val="left" w:pos="426" w:leader="none"/>
        </w:tabs>
        <w:suppressAutoHyphens w:val="true"/>
        <w:bidi w:val="0"/>
        <w:spacing w:before="0" w:after="0"/>
        <w:ind w:left="0" w:right="0" w:hanging="0"/>
        <w:jc w:val="both"/>
        <w:rPr>
          <w:rStyle w:val="Style8"/>
          <w:rFonts w:eastAsia="Times New Roman" w:cs="Times New Roman"/>
          <w:b w:val="false"/>
          <w:bCs/>
          <w:color w:val="000000"/>
          <w:kern w:val="0"/>
          <w:sz w:val="24"/>
          <w:szCs w:val="24"/>
          <w:shd w:fill="auto" w:val="clear"/>
          <w:lang w:val="ru-RU" w:eastAsia="ru-RU" w:bidi="ar-SA"/>
        </w:rPr>
      </w:pPr>
      <w:r>
        <w:rPr>
          <w:rFonts w:eastAsia="Times New Roman" w:cs="Times New Roman"/>
          <w:b w:val="false"/>
          <w:bCs/>
          <w:color w:val="000000"/>
          <w:kern w:val="0"/>
          <w:sz w:val="24"/>
          <w:szCs w:val="24"/>
          <w:shd w:fill="auto" w:val="clear"/>
          <w:lang w:val="ru-RU" w:eastAsia="ru-RU" w:bidi="ar-SA"/>
        </w:rPr>
      </w:r>
    </w:p>
    <w:p>
      <w:pPr>
        <w:pStyle w:val="Heading1"/>
        <w:keepLines/>
        <w:numPr>
          <w:ilvl w:val="0"/>
          <w:numId w:val="3"/>
        </w:numPr>
        <w:ind w:left="357" w:right="0" w:hanging="357"/>
        <w:jc w:val="center"/>
        <w:rPr>
          <w:iCs/>
          <w:caps/>
          <w:lang w:val="ru-RU"/>
        </w:rPr>
      </w:pPr>
      <w:bookmarkStart w:id="15" w:name="__RefHeading___Toc3375_1975687802"/>
      <w:bookmarkStart w:id="16" w:name="_Toc54646403"/>
      <w:bookmarkStart w:id="17" w:name="_Toc51339693"/>
      <w:bookmarkStart w:id="18" w:name="_Toc50125126"/>
      <w:bookmarkStart w:id="19" w:name="_Toc46743510"/>
      <w:bookmarkEnd w:id="15"/>
      <w:bookmarkEnd w:id="18"/>
      <w:bookmarkEnd w:id="19"/>
      <w:r>
        <w:rPr>
          <w:iCs/>
        </w:rPr>
        <w:t xml:space="preserve">Требования к </w:t>
      </w:r>
      <w:bookmarkEnd w:id="16"/>
      <w:bookmarkEnd w:id="17"/>
      <w:r>
        <w:rPr>
          <w:iCs/>
        </w:rPr>
        <w:t>услугам</w:t>
      </w:r>
    </w:p>
    <w:p>
      <w:pPr>
        <w:pStyle w:val="Heading4"/>
        <w:keepNext w:val="true"/>
        <w:widowControl/>
        <w:numPr>
          <w:ilvl w:val="1"/>
          <w:numId w:val="3"/>
        </w:numPr>
        <w:suppressAutoHyphens w:val="true"/>
        <w:overflowPunct w:val="false"/>
        <w:bidi w:val="0"/>
        <w:spacing w:lineRule="auto" w:line="240" w:before="120" w:after="60"/>
        <w:ind w:left="0" w:right="0" w:firstLine="680"/>
        <w:jc w:val="left"/>
        <w:rPr>
          <w:b/>
          <w:bCs/>
        </w:rPr>
      </w:pPr>
      <w:bookmarkStart w:id="20" w:name="__RefHeading___Toc3377_1975687802"/>
      <w:bookmarkStart w:id="21" w:name="_Toc54646404"/>
      <w:bookmarkEnd w:id="20"/>
      <w:r>
        <w:rPr>
          <w:b/>
          <w:bCs/>
        </w:rPr>
        <w:t xml:space="preserve">Требования к объемам и срокам </w:t>
      </w:r>
      <w:bookmarkEnd w:id="21"/>
      <w:r>
        <w:rPr>
          <w:b/>
          <w:bCs/>
          <w:lang w:val="ru-RU"/>
        </w:rPr>
        <w:t>оказания услуг</w:t>
      </w:r>
    </w:p>
    <w:p>
      <w:pPr>
        <w:pStyle w:val="Heading3"/>
        <w:numPr>
          <w:ilvl w:val="2"/>
          <w:numId w:val="3"/>
        </w:numPr>
        <w:ind w:left="1224" w:right="0" w:hanging="504"/>
        <w:rPr/>
      </w:pPr>
      <w:bookmarkStart w:id="22" w:name="_Toc54646405"/>
      <w:r>
        <w:rPr>
          <w:rFonts w:eastAsia="Calibri" w:cs="Times New Roman"/>
          <w:b/>
          <w:color w:val="auto"/>
          <w:kern w:val="0"/>
          <w:sz w:val="24"/>
          <w:szCs w:val="24"/>
          <w:lang w:val="ru-RU" w:eastAsia="x-none" w:bidi="ar-SA"/>
        </w:rPr>
        <w:t>Требования</w:t>
      </w:r>
      <w:r>
        <w:rPr>
          <w:b/>
          <w:bCs/>
          <w:lang w:val="ru-RU"/>
        </w:rPr>
        <w:t xml:space="preserve"> к перечню и объемам </w:t>
      </w:r>
      <w:bookmarkEnd w:id="22"/>
      <w:r>
        <w:rPr>
          <w:b/>
          <w:bCs/>
          <w:lang w:val="ru-RU"/>
        </w:rPr>
        <w:t>услуг</w:t>
      </w:r>
    </w:p>
    <w:p>
      <w:pPr>
        <w:pStyle w:val="Heading3"/>
        <w:numPr>
          <w:ilvl w:val="0"/>
        </w:numPr>
        <w:ind w:left="0" w:right="0" w:firstLine="680"/>
        <w:rPr/>
      </w:pPr>
      <w:bookmarkStart w:id="23" w:name="_Toc54646406"/>
      <w:bookmarkStart w:id="24" w:name="_Toc51339695"/>
      <w:r>
        <w:rPr>
          <w:b/>
          <w:bCs/>
          <w:sz w:val="24"/>
          <w:szCs w:val="24"/>
        </w:rPr>
        <w:t xml:space="preserve">Таблица </w:t>
      </w:r>
      <w:r>
        <w:rPr>
          <w:b/>
          <w:bCs/>
          <w:sz w:val="24"/>
          <w:szCs w:val="24"/>
          <w:lang w:val="ru-RU"/>
        </w:rPr>
        <w:t>2.</w:t>
      </w:r>
      <w:r>
        <w:rPr>
          <w:b/>
          <w:bCs/>
          <w:sz w:val="24"/>
          <w:szCs w:val="24"/>
        </w:rPr>
        <w:t xml:space="preserve"> </w:t>
      </w:r>
      <w:r>
        <w:rPr>
          <w:rFonts w:eastAsia="Calibri" w:cs="Times New Roman"/>
          <w:b/>
          <w:bCs/>
          <w:color w:val="auto"/>
          <w:kern w:val="0"/>
          <w:sz w:val="24"/>
          <w:szCs w:val="24"/>
          <w:lang w:val="ru-RU" w:eastAsia="x-none" w:bidi="ar-SA"/>
        </w:rPr>
        <w:t>Перечень</w:t>
      </w:r>
      <w:r>
        <w:rPr>
          <w:b/>
          <w:bCs/>
          <w:sz w:val="24"/>
          <w:szCs w:val="24"/>
          <w:lang w:val="ru-RU"/>
        </w:rPr>
        <w:t xml:space="preserve"> </w:t>
      </w:r>
      <w:bookmarkEnd w:id="24"/>
      <w:r>
        <w:rPr>
          <w:b/>
          <w:bCs/>
          <w:sz w:val="24"/>
          <w:szCs w:val="24"/>
          <w:lang w:val="ru-RU"/>
        </w:rPr>
        <w:t xml:space="preserve">и объем </w:t>
      </w:r>
      <w:bookmarkEnd w:id="23"/>
      <w:r>
        <w:rPr>
          <w:b/>
          <w:bCs/>
          <w:sz w:val="24"/>
          <w:szCs w:val="24"/>
          <w:lang w:val="ru-RU"/>
        </w:rPr>
        <w:t>оказываемых услуг</w:t>
      </w:r>
    </w:p>
    <w:tbl>
      <w:tblPr>
        <w:tblW w:w="9810" w:type="dxa"/>
        <w:jc w:val="left"/>
        <w:tblInd w:w="221" w:type="dxa"/>
        <w:tblLayout w:type="fixed"/>
        <w:tblCellMar>
          <w:top w:w="0" w:type="dxa"/>
          <w:left w:w="108" w:type="dxa"/>
          <w:bottom w:w="0" w:type="dxa"/>
          <w:right w:w="108" w:type="dxa"/>
        </w:tblCellMar>
      </w:tblPr>
      <w:tblGrid>
        <w:gridCol w:w="491"/>
        <w:gridCol w:w="2892"/>
        <w:gridCol w:w="1200"/>
        <w:gridCol w:w="1353"/>
        <w:gridCol w:w="2267"/>
        <w:gridCol w:w="1606"/>
      </w:tblGrid>
      <w:tr>
        <w:trPr/>
        <w:tc>
          <w:tcPr>
            <w:tcW w:w="491"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2"/>
                <w:szCs w:val="22"/>
              </w:rPr>
            </w:pPr>
            <w:r>
              <w:rPr>
                <w:b/>
                <w:bCs/>
                <w:sz w:val="22"/>
                <w:szCs w:val="22"/>
              </w:rPr>
              <w:t>№</w:t>
            </w:r>
          </w:p>
          <w:p>
            <w:pPr>
              <w:pStyle w:val="Normal"/>
              <w:keepNext w:val="true"/>
              <w:widowControl w:val="false"/>
              <w:suppressAutoHyphens w:val="true"/>
              <w:jc w:val="center"/>
              <w:rPr>
                <w:sz w:val="22"/>
                <w:szCs w:val="22"/>
              </w:rPr>
            </w:pPr>
            <w:r>
              <w:rPr>
                <w:b/>
                <w:bCs/>
                <w:sz w:val="22"/>
                <w:szCs w:val="22"/>
              </w:rPr>
              <w:t>п/п</w:t>
            </w:r>
          </w:p>
        </w:tc>
        <w:tc>
          <w:tcPr>
            <w:tcW w:w="2892"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b/>
                <w:bCs/>
                <w:sz w:val="22"/>
                <w:szCs w:val="22"/>
              </w:rPr>
            </w:pPr>
            <w:r>
              <w:rPr>
                <w:b/>
                <w:bCs/>
                <w:sz w:val="22"/>
                <w:szCs w:val="22"/>
              </w:rPr>
              <w:t>Наименование услуг / этапа услуг</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b/>
                <w:bCs/>
                <w:sz w:val="22"/>
                <w:szCs w:val="22"/>
              </w:rPr>
            </w:pPr>
            <w:r>
              <w:rPr>
                <w:b/>
                <w:bCs/>
                <w:sz w:val="22"/>
                <w:szCs w:val="22"/>
              </w:rPr>
              <w:t>Единица измерения</w:t>
            </w:r>
          </w:p>
        </w:tc>
        <w:tc>
          <w:tcPr>
            <w:tcW w:w="1353" w:type="dxa"/>
            <w:tcBorders>
              <w:top w:val="single" w:sz="4" w:space="0" w:color="000000"/>
              <w:left w:val="single" w:sz="4" w:space="0" w:color="000000"/>
              <w:bottom w:val="single" w:sz="4" w:space="0" w:color="000000"/>
            </w:tcBorders>
            <w:vAlign w:val="center"/>
          </w:tcPr>
          <w:p>
            <w:pPr>
              <w:pStyle w:val="Normal"/>
              <w:keepNext w:val="true"/>
              <w:widowControl w:val="false"/>
              <w:suppressAutoHyphens w:val="true"/>
              <w:jc w:val="center"/>
              <w:rPr>
                <w:b/>
                <w:bCs/>
                <w:sz w:val="22"/>
                <w:szCs w:val="22"/>
              </w:rPr>
            </w:pPr>
            <w:r>
              <w:rPr>
                <w:b/>
                <w:bCs/>
                <w:sz w:val="22"/>
                <w:szCs w:val="22"/>
              </w:rPr>
              <w:t>Количество</w:t>
            </w:r>
          </w:p>
        </w:tc>
        <w:tc>
          <w:tcPr>
            <w:tcW w:w="2267" w:type="dxa"/>
            <w:tcBorders>
              <w:top w:val="single" w:sz="4" w:space="0" w:color="000000"/>
              <w:left w:val="single" w:sz="4" w:space="0" w:color="000000"/>
              <w:bottom w:val="single" w:sz="4" w:space="0" w:color="000000"/>
            </w:tcBorders>
            <w:vAlign w:val="center"/>
          </w:tcPr>
          <w:p>
            <w:pPr>
              <w:pStyle w:val="Normal"/>
              <w:keepNext w:val="true"/>
              <w:widowControl w:val="false"/>
              <w:suppressAutoHyphens w:val="true"/>
              <w:jc w:val="center"/>
              <w:rPr>
                <w:b/>
                <w:bCs/>
                <w:sz w:val="22"/>
                <w:szCs w:val="22"/>
              </w:rPr>
            </w:pPr>
            <w:r>
              <w:rPr>
                <w:b/>
                <w:bCs/>
                <w:sz w:val="22"/>
                <w:szCs w:val="22"/>
              </w:rPr>
              <w:t>Периодичность</w:t>
            </w:r>
          </w:p>
        </w:tc>
        <w:tc>
          <w:tcPr>
            <w:tcW w:w="160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b/>
                <w:bCs/>
                <w:sz w:val="22"/>
                <w:szCs w:val="22"/>
              </w:rPr>
            </w:pPr>
            <w:r>
              <w:rPr>
                <w:b/>
                <w:bCs/>
                <w:sz w:val="22"/>
                <w:szCs w:val="22"/>
              </w:rPr>
              <w:t>Общий объем, м2*</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sz w:val="22"/>
                <w:szCs w:val="22"/>
              </w:rPr>
            </w:pPr>
            <w:r>
              <w:rPr>
                <w:b/>
                <w:bCs/>
                <w:sz w:val="22"/>
                <w:szCs w:val="22"/>
              </w:rPr>
              <w:t>1</w:t>
            </w:r>
          </w:p>
        </w:tc>
        <w:tc>
          <w:tcPr>
            <w:tcW w:w="289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sz w:val="22"/>
                <w:szCs w:val="22"/>
              </w:rPr>
            </w:pPr>
            <w:r>
              <w:rPr>
                <w:b/>
                <w:bCs/>
                <w:sz w:val="22"/>
                <w:szCs w:val="22"/>
              </w:rPr>
              <w:t>2</w:t>
            </w:r>
          </w:p>
        </w:tc>
        <w:tc>
          <w:tcPr>
            <w:tcW w:w="12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sz w:val="22"/>
                <w:szCs w:val="22"/>
              </w:rPr>
            </w:pPr>
            <w:r>
              <w:rPr>
                <w:b/>
                <w:bCs/>
                <w:sz w:val="22"/>
                <w:szCs w:val="22"/>
              </w:rPr>
              <w:t>3</w:t>
            </w:r>
          </w:p>
        </w:tc>
        <w:tc>
          <w:tcPr>
            <w:tcW w:w="1353" w:type="dxa"/>
            <w:tcBorders>
              <w:top w:val="single" w:sz="4" w:space="0" w:color="000000"/>
              <w:left w:val="single" w:sz="4" w:space="0" w:color="000000"/>
              <w:bottom w:val="single" w:sz="4" w:space="0" w:color="000000"/>
            </w:tcBorders>
          </w:tcPr>
          <w:p>
            <w:pPr>
              <w:pStyle w:val="Normal"/>
              <w:widowControl w:val="false"/>
              <w:suppressAutoHyphens w:val="true"/>
              <w:jc w:val="center"/>
              <w:rPr>
                <w:sz w:val="22"/>
                <w:szCs w:val="22"/>
              </w:rPr>
            </w:pPr>
            <w:r>
              <w:rPr>
                <w:b/>
                <w:bCs/>
                <w:sz w:val="22"/>
                <w:szCs w:val="22"/>
              </w:rPr>
              <w:t>4</w:t>
            </w:r>
          </w:p>
        </w:tc>
        <w:tc>
          <w:tcPr>
            <w:tcW w:w="2267" w:type="dxa"/>
            <w:tcBorders>
              <w:top w:val="single" w:sz="4" w:space="0" w:color="000000"/>
              <w:left w:val="single" w:sz="4" w:space="0" w:color="000000"/>
              <w:bottom w:val="single" w:sz="4" w:space="0" w:color="000000"/>
            </w:tcBorders>
          </w:tcPr>
          <w:p>
            <w:pPr>
              <w:pStyle w:val="Normal"/>
              <w:widowControl w:val="false"/>
              <w:suppressAutoHyphens w:val="true"/>
              <w:jc w:val="center"/>
              <w:rPr>
                <w:b/>
                <w:bCs/>
                <w:sz w:val="22"/>
                <w:szCs w:val="22"/>
              </w:rPr>
            </w:pPr>
            <w:r>
              <w:rPr>
                <w:b/>
                <w:bCs/>
                <w:sz w:val="22"/>
                <w:szCs w:val="22"/>
              </w:rPr>
              <w:t>5</w:t>
            </w:r>
          </w:p>
        </w:tc>
        <w:tc>
          <w:tcPr>
            <w:tcW w:w="160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bCs/>
                <w:sz w:val="22"/>
                <w:szCs w:val="22"/>
              </w:rPr>
            </w:pPr>
            <w:r>
              <w:rPr>
                <w:b/>
                <w:bCs/>
                <w:sz w:val="22"/>
                <w:szCs w:val="22"/>
              </w:rPr>
              <w:t>6</w:t>
            </w:r>
          </w:p>
        </w:tc>
      </w:tr>
      <w:tr>
        <w:trPr>
          <w:trHeight w:val="477" w:hRule="atLeast"/>
        </w:trPr>
        <w:tc>
          <w:tcPr>
            <w:tcW w:w="491" w:type="dxa"/>
            <w:tcBorders>
              <w:left w:val="single" w:sz="4" w:space="0" w:color="000000"/>
              <w:bottom w:val="single" w:sz="4" w:space="0" w:color="000000"/>
              <w:right w:val="single" w:sz="4" w:space="0" w:color="000000"/>
            </w:tcBorders>
            <w:vAlign w:val="center"/>
          </w:tcPr>
          <w:p>
            <w:pPr>
              <w:pStyle w:val="Normal"/>
              <w:widowControl w:val="false"/>
              <w:suppressAutoHyphens w:val="true"/>
              <w:jc w:val="center"/>
              <w:rPr>
                <w:sz w:val="22"/>
                <w:szCs w:val="22"/>
              </w:rPr>
            </w:pPr>
            <w:r>
              <w:rPr>
                <w:sz w:val="22"/>
                <w:szCs w:val="22"/>
              </w:rPr>
              <w:t>1.</w:t>
            </w:r>
          </w:p>
        </w:tc>
        <w:tc>
          <w:tcPr>
            <w:tcW w:w="2892" w:type="dxa"/>
            <w:tcBorders>
              <w:left w:val="single" w:sz="4" w:space="0" w:color="000000"/>
              <w:bottom w:val="single" w:sz="4" w:space="0" w:color="000000"/>
              <w:right w:val="single" w:sz="4" w:space="0" w:color="000000"/>
            </w:tcBorders>
            <w:vAlign w:val="center"/>
          </w:tcPr>
          <w:p>
            <w:pPr>
              <w:pStyle w:val="Normal"/>
              <w:widowControl w:val="false"/>
              <w:bidi w:val="0"/>
              <w:jc w:val="left"/>
              <w:rPr>
                <w:color w:val="000000"/>
              </w:rPr>
            </w:pPr>
            <w:r>
              <w:rPr>
                <w:b w:val="false"/>
                <w:i w:val="false"/>
                <w:strike w:val="false"/>
                <w:dstrike w:val="false"/>
                <w:outline w:val="false"/>
                <w:shadow w:val="false"/>
                <w:color w:val="000000"/>
                <w:sz w:val="21"/>
                <w:szCs w:val="22"/>
                <w:u w:val="none"/>
                <w:em w:val="none"/>
              </w:rPr>
              <w:t xml:space="preserve">Очистка кровли стилобата и козырька от снега и наледи </w:t>
            </w:r>
          </w:p>
        </w:tc>
        <w:tc>
          <w:tcPr>
            <w:tcW w:w="1200"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 w:val="22"/>
                <w:szCs w:val="22"/>
              </w:rPr>
            </w:pPr>
            <w:r>
              <w:rPr>
                <w:sz w:val="22"/>
                <w:szCs w:val="22"/>
              </w:rPr>
              <w:t>м2</w:t>
            </w:r>
          </w:p>
        </w:tc>
        <w:tc>
          <w:tcPr>
            <w:tcW w:w="1353" w:type="dxa"/>
            <w:tcBorders>
              <w:left w:val="single" w:sz="4" w:space="0" w:color="000000"/>
              <w:bottom w:val="single" w:sz="4" w:space="0" w:color="000000"/>
            </w:tcBorders>
            <w:vAlign w:val="center"/>
          </w:tcPr>
          <w:p>
            <w:pPr>
              <w:pStyle w:val="Normal"/>
              <w:widowControl w:val="false"/>
              <w:spacing w:lineRule="auto" w:line="240" w:before="0" w:after="0"/>
              <w:jc w:val="center"/>
              <w:rPr>
                <w:sz w:val="22"/>
                <w:szCs w:val="22"/>
              </w:rPr>
            </w:pPr>
            <w:r>
              <w:rPr>
                <w:sz w:val="22"/>
                <w:szCs w:val="22"/>
              </w:rPr>
              <w:t>388</w:t>
            </w:r>
          </w:p>
        </w:tc>
        <w:tc>
          <w:tcPr>
            <w:tcW w:w="2267" w:type="dxa"/>
            <w:tcBorders>
              <w:left w:val="single" w:sz="4" w:space="0" w:color="000000"/>
              <w:bottom w:val="single" w:sz="4" w:space="0" w:color="000000"/>
            </w:tcBorders>
            <w:vAlign w:val="center"/>
          </w:tcPr>
          <w:p>
            <w:pPr>
              <w:pStyle w:val="Normal"/>
              <w:widowControl w:val="false"/>
              <w:spacing w:lineRule="auto" w:line="240" w:before="0" w:after="0"/>
              <w:jc w:val="center"/>
              <w:rPr>
                <w:sz w:val="22"/>
                <w:szCs w:val="22"/>
              </w:rPr>
            </w:pPr>
            <w:r>
              <w:rPr>
                <w:sz w:val="22"/>
                <w:szCs w:val="22"/>
              </w:rPr>
              <w:t xml:space="preserve">По мере необходимости по заявкам Заказчика в зимний период </w:t>
            </w:r>
            <w:r>
              <w:rPr>
                <w:sz w:val="22"/>
                <w:szCs w:val="22"/>
              </w:rPr>
              <w:t xml:space="preserve">(не </w:t>
            </w:r>
            <w:r>
              <w:rPr>
                <w:sz w:val="22"/>
                <w:szCs w:val="22"/>
              </w:rPr>
              <w:t>реже</w:t>
            </w:r>
            <w:r>
              <w:rPr>
                <w:sz w:val="22"/>
                <w:szCs w:val="22"/>
              </w:rPr>
              <w:t xml:space="preserve"> 1 раза в месяц)</w:t>
            </w:r>
          </w:p>
        </w:tc>
        <w:tc>
          <w:tcPr>
            <w:tcW w:w="1606"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 w:val="22"/>
                <w:szCs w:val="22"/>
              </w:rPr>
            </w:pPr>
            <w:r>
              <w:rPr>
                <w:sz w:val="22"/>
                <w:szCs w:val="22"/>
              </w:rPr>
              <w:t>2 716,00</w:t>
            </w:r>
          </w:p>
        </w:tc>
      </w:tr>
    </w:tbl>
    <w:p>
      <w:pPr>
        <w:pStyle w:val="Heading3"/>
        <w:numPr>
          <w:ilvl w:val="0"/>
        </w:numPr>
        <w:ind w:left="0" w:right="0" w:firstLine="680"/>
        <w:rPr>
          <w:rFonts w:ascii="Times New Roman" w:hAnsi="Times New Roman" w:eastAsia="Calibri" w:cs="Times New Roman"/>
          <w:b w:val="false"/>
          <w:bCs w:val="false"/>
          <w:i w:val="false"/>
          <w:i w:val="false"/>
          <w:iCs w:val="false"/>
          <w:color w:val="auto"/>
          <w:kern w:val="0"/>
          <w:sz w:val="24"/>
          <w:szCs w:val="24"/>
          <w:lang w:val="ru-RU" w:eastAsia="x-none" w:bidi="ar-SA"/>
        </w:rPr>
      </w:pPr>
      <w:r>
        <w:rPr>
          <w:rFonts w:eastAsia="Calibri" w:cs="Times New Roman"/>
          <w:b w:val="false"/>
          <w:bCs w:val="false"/>
          <w:i w:val="false"/>
          <w:iCs w:val="false"/>
          <w:color w:val="auto"/>
          <w:kern w:val="0"/>
          <w:sz w:val="24"/>
          <w:szCs w:val="24"/>
          <w:lang w:val="ru-RU" w:eastAsia="x-none" w:bidi="ar-SA"/>
        </w:rPr>
        <w:t>*</w:t>
      </w:r>
      <w:r>
        <w:rPr>
          <w:rFonts w:eastAsia="Calibri" w:cs="Times New Roman"/>
          <w:b w:val="false"/>
          <w:bCs w:val="false"/>
          <w:i/>
          <w:iCs/>
          <w:color w:val="auto"/>
          <w:kern w:val="0"/>
          <w:sz w:val="22"/>
          <w:szCs w:val="22"/>
          <w:lang w:val="ru-RU" w:eastAsia="x-none" w:bidi="ar-SA"/>
        </w:rPr>
        <w:t>Информация об объеме услуг имеет информационно-справочный характер и приведена исходя из планируемого к приобретению Заказчиком объема услуг. Указание объема услуг не налагает на Заказчика обязательств по приобретению услуг в полном объёме, указанном в настоящих Технических требованиях</w:t>
      </w:r>
      <w:r>
        <w:rPr>
          <w:rFonts w:eastAsia="Calibri" w:cs="Times New Roman"/>
          <w:b w:val="false"/>
          <w:bCs w:val="false"/>
          <w:i w:val="false"/>
          <w:iCs w:val="false"/>
          <w:color w:val="auto"/>
          <w:kern w:val="0"/>
          <w:sz w:val="24"/>
          <w:szCs w:val="24"/>
          <w:lang w:val="ru-RU" w:eastAsia="x-none" w:bidi="ar-SA"/>
        </w:rPr>
        <w:t>.</w:t>
      </w:r>
    </w:p>
    <w:p>
      <w:pPr>
        <w:pStyle w:val="Normal"/>
        <w:ind w:left="0" w:right="0" w:firstLine="680"/>
        <w:rPr>
          <w:rFonts w:ascii="Times New Roman" w:hAnsi="Times New Roman" w:eastAsia="Calibri" w:cs="Times New Roman"/>
          <w:b w:val="false"/>
          <w:bCs w:val="false"/>
          <w:i w:val="false"/>
          <w:i w:val="false"/>
          <w:iCs w:val="false"/>
          <w:color w:val="auto"/>
          <w:kern w:val="0"/>
          <w:sz w:val="24"/>
          <w:szCs w:val="24"/>
          <w:lang w:val="ru-RU" w:eastAsia="x-none" w:bidi="ar-SA"/>
        </w:rPr>
      </w:pPr>
      <w:r>
        <w:rPr/>
      </w:r>
    </w:p>
    <w:p>
      <w:pPr>
        <w:pStyle w:val="Heading3"/>
        <w:keepNext w:val="true"/>
        <w:widowControl/>
        <w:numPr>
          <w:ilvl w:val="2"/>
          <w:numId w:val="3"/>
        </w:numPr>
        <w:suppressAutoHyphens w:val="true"/>
        <w:overflowPunct w:val="false"/>
        <w:bidi w:val="0"/>
        <w:spacing w:lineRule="auto" w:line="240" w:before="120" w:after="60"/>
        <w:ind w:left="0" w:right="0" w:firstLine="680"/>
        <w:jc w:val="left"/>
        <w:rPr>
          <w:rFonts w:ascii="Times New Roman" w:hAnsi="Times New Roman" w:eastAsia="Calibri" w:cs="Times New Roman"/>
          <w:i w:val="false"/>
          <w:i w:val="false"/>
          <w:iCs w:val="false"/>
          <w:color w:val="auto"/>
          <w:kern w:val="0"/>
          <w:sz w:val="24"/>
          <w:szCs w:val="24"/>
          <w:lang w:val="ru-RU" w:eastAsia="x-none" w:bidi="ar-SA"/>
        </w:rPr>
      </w:pPr>
      <w:bookmarkStart w:id="25" w:name="__RefHeading___Toc3383_1975687802"/>
      <w:bookmarkStart w:id="26" w:name="_Toc54646407"/>
      <w:bookmarkStart w:id="27" w:name="_Toc51339696"/>
      <w:bookmarkEnd w:id="25"/>
      <w:r>
        <w:rPr>
          <w:rFonts w:eastAsia="Calibri" w:cs="Times New Roman"/>
          <w:i w:val="false"/>
          <w:iCs w:val="false"/>
          <w:color w:val="auto"/>
          <w:kern w:val="0"/>
          <w:sz w:val="24"/>
          <w:szCs w:val="24"/>
          <w:lang w:val="ru-RU" w:eastAsia="x-none" w:bidi="ar-SA"/>
        </w:rPr>
        <w:t xml:space="preserve">Требования </w:t>
      </w:r>
      <w:bookmarkEnd w:id="27"/>
      <w:r>
        <w:rPr>
          <w:rFonts w:eastAsia="Calibri" w:cs="Times New Roman"/>
          <w:i w:val="false"/>
          <w:iCs w:val="false"/>
          <w:color w:val="auto"/>
          <w:kern w:val="0"/>
          <w:sz w:val="24"/>
          <w:szCs w:val="24"/>
          <w:lang w:val="ru-RU" w:eastAsia="x-none" w:bidi="ar-SA"/>
        </w:rPr>
        <w:t xml:space="preserve">к срокам </w:t>
      </w:r>
      <w:bookmarkEnd w:id="26"/>
      <w:r>
        <w:rPr>
          <w:rFonts w:eastAsia="Calibri" w:cs="Times New Roman"/>
          <w:i w:val="false"/>
          <w:iCs w:val="false"/>
          <w:color w:val="auto"/>
          <w:kern w:val="0"/>
          <w:sz w:val="24"/>
          <w:szCs w:val="24"/>
          <w:lang w:val="ru-RU" w:eastAsia="x-none" w:bidi="ar-SA"/>
        </w:rPr>
        <w:t>оказания услуг</w:t>
      </w:r>
    </w:p>
    <w:p>
      <w:pPr>
        <w:pStyle w:val="Heading1"/>
        <w:keepLines/>
        <w:numPr>
          <w:ilvl w:val="0"/>
          <w:numId w:val="0"/>
        </w:numPr>
        <w:spacing w:before="240" w:after="60"/>
        <w:ind w:left="0" w:right="0" w:hanging="0"/>
        <w:rPr>
          <w:sz w:val="24"/>
          <w:szCs w:val="24"/>
          <w:lang w:val="ru-RU"/>
        </w:rPr>
      </w:pPr>
      <w:bookmarkStart w:id="28" w:name="__RefHeading___Toc3385_1975687802"/>
      <w:bookmarkStart w:id="29" w:name="_Toc54646408"/>
      <w:bookmarkStart w:id="30" w:name="_Toc51339697"/>
      <w:bookmarkStart w:id="31" w:name="_Toc50125127"/>
      <w:bookmarkStart w:id="32" w:name="_Toc50125126_Копия_1"/>
      <w:bookmarkEnd w:id="28"/>
      <w:bookmarkEnd w:id="32"/>
      <w:r>
        <w:rPr>
          <w:sz w:val="24"/>
          <w:szCs w:val="24"/>
        </w:rPr>
        <w:t xml:space="preserve">Таблица </w:t>
      </w:r>
      <w:r>
        <w:rPr>
          <w:sz w:val="24"/>
          <w:szCs w:val="24"/>
          <w:lang w:val="ru-RU"/>
        </w:rPr>
        <w:t>3</w:t>
      </w:r>
      <w:r>
        <w:rPr>
          <w:sz w:val="24"/>
          <w:szCs w:val="24"/>
        </w:rPr>
        <w:t xml:space="preserve">. </w:t>
      </w:r>
      <w:bookmarkStart w:id="33" w:name="_Hlk50465284"/>
      <w:r>
        <w:rPr>
          <w:sz w:val="24"/>
          <w:szCs w:val="24"/>
        </w:rPr>
        <w:t xml:space="preserve">Требования по срокам </w:t>
      </w:r>
      <w:bookmarkEnd w:id="29"/>
      <w:bookmarkEnd w:id="30"/>
      <w:bookmarkEnd w:id="31"/>
      <w:bookmarkEnd w:id="33"/>
      <w:r>
        <w:rPr>
          <w:sz w:val="24"/>
          <w:szCs w:val="24"/>
          <w:lang w:val="ru-RU"/>
        </w:rPr>
        <w:t>оказания услуг</w:t>
      </w:r>
    </w:p>
    <w:tbl>
      <w:tblPr>
        <w:tblW w:w="9918" w:type="dxa"/>
        <w:jc w:val="left"/>
        <w:tblInd w:w="113" w:type="dxa"/>
        <w:tblLayout w:type="fixed"/>
        <w:tblCellMar>
          <w:top w:w="0" w:type="dxa"/>
          <w:left w:w="108" w:type="dxa"/>
          <w:bottom w:w="0" w:type="dxa"/>
          <w:right w:w="108" w:type="dxa"/>
        </w:tblCellMar>
      </w:tblPr>
      <w:tblGrid>
        <w:gridCol w:w="704"/>
        <w:gridCol w:w="4111"/>
        <w:gridCol w:w="2563"/>
        <w:gridCol w:w="2539"/>
      </w:tblGrid>
      <w:tr>
        <w:trPr/>
        <w:tc>
          <w:tcPr>
            <w:tcW w:w="7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bCs/>
                <w:sz w:val="22"/>
                <w:szCs w:val="22"/>
              </w:rPr>
              <w:t xml:space="preserve">№ </w:t>
            </w:r>
            <w:r>
              <w:rPr>
                <w:b/>
                <w:bCs/>
                <w:sz w:val="22"/>
                <w:szCs w:val="22"/>
              </w:rPr>
              <w:t>п/п</w:t>
            </w:r>
          </w:p>
        </w:tc>
        <w:tc>
          <w:tcPr>
            <w:tcW w:w="41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bCs/>
                <w:sz w:val="22"/>
                <w:szCs w:val="22"/>
              </w:rPr>
              <w:t>Наименование услуг/ этапа услуг</w:t>
            </w:r>
          </w:p>
        </w:tc>
        <w:tc>
          <w:tcPr>
            <w:tcW w:w="25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bCs/>
                <w:sz w:val="22"/>
                <w:szCs w:val="22"/>
              </w:rPr>
              <w:t>Требования к началу срока оказания услуг/ этапа услуг</w:t>
            </w:r>
          </w:p>
        </w:tc>
        <w:tc>
          <w:tcPr>
            <w:tcW w:w="25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bCs/>
                <w:sz w:val="22"/>
                <w:szCs w:val="22"/>
              </w:rPr>
              <w:t>Требования к окончанию срока оказания услуг / этапа услуг</w:t>
            </w:r>
          </w:p>
        </w:tc>
      </w:tr>
      <w:tr>
        <w:trPr/>
        <w:tc>
          <w:tcPr>
            <w:tcW w:w="7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bCs/>
                <w:sz w:val="22"/>
                <w:szCs w:val="22"/>
              </w:rPr>
              <w:t>1</w:t>
            </w:r>
          </w:p>
        </w:tc>
        <w:tc>
          <w:tcPr>
            <w:tcW w:w="411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bCs/>
                <w:sz w:val="22"/>
                <w:szCs w:val="22"/>
              </w:rPr>
              <w:t>2</w:t>
            </w:r>
          </w:p>
        </w:tc>
        <w:tc>
          <w:tcPr>
            <w:tcW w:w="2563" w:type="dxa"/>
            <w:tcBorders>
              <w:top w:val="single" w:sz="4" w:space="0" w:color="000000"/>
              <w:left w:val="single" w:sz="4" w:space="0" w:color="000000"/>
              <w:bottom w:val="single" w:sz="4" w:space="0" w:color="000000"/>
              <w:right w:val="single" w:sz="4" w:space="0" w:color="000000"/>
            </w:tcBorders>
          </w:tcPr>
          <w:p>
            <w:pPr>
              <w:pStyle w:val="Style29"/>
              <w:keepNext w:val="false"/>
              <w:widowControl w:val="false"/>
              <w:spacing w:before="0" w:after="0"/>
              <w:ind w:left="0" w:right="0" w:hanging="0"/>
              <w:jc w:val="center"/>
              <w:rPr>
                <w:sz w:val="22"/>
                <w:szCs w:val="22"/>
              </w:rPr>
            </w:pPr>
            <w:r>
              <w:rPr>
                <w:b/>
                <w:bCs/>
                <w:sz w:val="22"/>
                <w:szCs w:val="22"/>
              </w:rPr>
              <w:t>3</w:t>
            </w:r>
          </w:p>
        </w:tc>
        <w:tc>
          <w:tcPr>
            <w:tcW w:w="2539" w:type="dxa"/>
            <w:tcBorders>
              <w:top w:val="single" w:sz="4" w:space="0" w:color="000000"/>
              <w:left w:val="single" w:sz="4" w:space="0" w:color="000000"/>
              <w:bottom w:val="single" w:sz="4" w:space="0" w:color="000000"/>
              <w:right w:val="single" w:sz="4" w:space="0" w:color="000000"/>
            </w:tcBorders>
          </w:tcPr>
          <w:p>
            <w:pPr>
              <w:pStyle w:val="Style29"/>
              <w:keepNext w:val="false"/>
              <w:widowControl w:val="false"/>
              <w:spacing w:before="0" w:after="0"/>
              <w:ind w:left="0" w:right="0" w:hanging="0"/>
              <w:jc w:val="center"/>
              <w:rPr>
                <w:sz w:val="22"/>
                <w:szCs w:val="22"/>
              </w:rPr>
            </w:pPr>
            <w:bookmarkStart w:id="34" w:name="_Toc46743510_Копия_1"/>
            <w:r>
              <w:rPr>
                <w:b/>
                <w:bCs/>
                <w:sz w:val="22"/>
                <w:szCs w:val="22"/>
              </w:rPr>
              <w:t>4</w:t>
            </w:r>
            <w:bookmarkEnd w:id="34"/>
          </w:p>
        </w:tc>
      </w:tr>
      <w:tr>
        <w:trPr/>
        <w:tc>
          <w:tcPr>
            <w:tcW w:w="70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ind w:left="0" w:right="0" w:hanging="0"/>
              <w:jc w:val="center"/>
              <w:rPr/>
            </w:pPr>
            <w:r>
              <w:rPr>
                <w:rStyle w:val="Style8"/>
                <w:rFonts w:eastAsia="Times New Roman" w:cs="Times New Roman"/>
                <w:b w:val="false"/>
                <w:bCs/>
                <w:i w:val="false"/>
                <w:iCs w:val="false"/>
                <w:color w:val="000000"/>
                <w:kern w:val="0"/>
                <w:sz w:val="22"/>
                <w:szCs w:val="22"/>
                <w:shd w:fill="auto" w:val="clear"/>
                <w:lang w:val="ru-RU" w:eastAsia="ru-RU" w:bidi="ar-SA"/>
              </w:rPr>
              <w:t>1</w:t>
            </w:r>
          </w:p>
        </w:tc>
        <w:tc>
          <w:tcPr>
            <w:tcW w:w="41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pPr>
            <w:r>
              <w:rPr>
                <w:rStyle w:val="Style8"/>
                <w:rFonts w:eastAsia="Times New Roman" w:cs="Times New Roman"/>
                <w:b w:val="false"/>
                <w:bCs/>
                <w:i w:val="false"/>
                <w:iCs w:val="false"/>
                <w:color w:val="000000"/>
                <w:kern w:val="0"/>
                <w:sz w:val="22"/>
                <w:szCs w:val="22"/>
                <w:shd w:fill="auto" w:val="clear"/>
                <w:lang w:val="ru-RU" w:eastAsia="ru-RU" w:bidi="ar-SA"/>
              </w:rPr>
              <w:t>ОКПД2 81.22.12.000 Оказание услуг по очистке от снега и наледи кровли стилобата и козырька административно-офисного здания по адресу: г. Москва, ул. Волоколамское шоссе, д.2</w:t>
            </w:r>
          </w:p>
        </w:tc>
        <w:tc>
          <w:tcPr>
            <w:tcW w:w="2563" w:type="dxa"/>
            <w:tcBorders>
              <w:top w:val="single" w:sz="4" w:space="0" w:color="000000"/>
              <w:left w:val="single" w:sz="4" w:space="0" w:color="000000"/>
              <w:bottom w:val="single" w:sz="4" w:space="0" w:color="000000"/>
            </w:tcBorders>
            <w:tcMar>
              <w:top w:w="55" w:type="dxa"/>
              <w:bottom w:w="55" w:type="dxa"/>
            </w:tcMar>
            <w:vAlign w:val="center"/>
          </w:tcPr>
          <w:p>
            <w:pPr>
              <w:pStyle w:val="Normal"/>
              <w:widowControl w:val="false"/>
              <w:ind w:left="0" w:right="0" w:firstLine="284"/>
              <w:jc w:val="center"/>
              <w:rPr>
                <w:sz w:val="22"/>
                <w:szCs w:val="22"/>
              </w:rPr>
            </w:pPr>
            <w:r>
              <w:rPr>
                <w:rFonts w:eastAsia="Times New Roman" w:cs="Times New Roman"/>
                <w:i w:val="false"/>
                <w:iCs w:val="false"/>
                <w:color w:val="000000"/>
                <w:kern w:val="0"/>
                <w:sz w:val="22"/>
                <w:szCs w:val="22"/>
                <w:shd w:fill="FFFFFF" w:val="clear"/>
                <w:lang w:val="ru-RU" w:eastAsia="ru-RU" w:bidi="ar-SA"/>
              </w:rPr>
              <w:t>С даты подписания договора</w:t>
            </w:r>
          </w:p>
        </w:tc>
        <w:tc>
          <w:tcPr>
            <w:tcW w:w="2539"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pPr>
              <w:pStyle w:val="Normal"/>
              <w:widowControl w:val="false"/>
              <w:jc w:val="center"/>
              <w:rPr>
                <w:sz w:val="22"/>
                <w:szCs w:val="22"/>
              </w:rPr>
            </w:pPr>
            <w:r>
              <w:rPr>
                <w:rFonts w:eastAsia="Times New Roman" w:cs="Times New Roman"/>
                <w:i w:val="false"/>
                <w:iCs w:val="false"/>
                <w:color w:val="000000"/>
                <w:kern w:val="0"/>
                <w:sz w:val="22"/>
                <w:szCs w:val="22"/>
                <w:shd w:fill="FFFFFF" w:val="clear"/>
                <w:lang w:val="ru-RU" w:eastAsia="ru-RU" w:bidi="ar-SA"/>
              </w:rPr>
              <w:t>31.</w:t>
            </w:r>
            <w:r>
              <w:rPr>
                <w:rFonts w:eastAsia="Times New Roman" w:cs="Times New Roman"/>
                <w:i w:val="false"/>
                <w:iCs w:val="false"/>
                <w:color w:val="000000"/>
                <w:kern w:val="0"/>
                <w:sz w:val="22"/>
                <w:szCs w:val="22"/>
                <w:shd w:fill="FFFFFF" w:val="clear"/>
                <w:lang w:val="ru-RU" w:eastAsia="ru-RU" w:bidi="ar-SA"/>
              </w:rPr>
              <w:t>12</w:t>
            </w:r>
            <w:r>
              <w:rPr>
                <w:rFonts w:eastAsia="Times New Roman" w:cs="Times New Roman"/>
                <w:i w:val="false"/>
                <w:iCs w:val="false"/>
                <w:color w:val="000000"/>
                <w:kern w:val="0"/>
                <w:sz w:val="22"/>
                <w:szCs w:val="22"/>
                <w:shd w:fill="FFFFFF" w:val="clear"/>
                <w:lang w:val="ru-RU" w:eastAsia="ru-RU" w:bidi="ar-SA"/>
              </w:rPr>
              <w:t>.202</w:t>
            </w:r>
            <w:r>
              <w:rPr>
                <w:rFonts w:eastAsia="Times New Roman" w:cs="Times New Roman"/>
                <w:i w:val="false"/>
                <w:iCs w:val="false"/>
                <w:color w:val="000000"/>
                <w:kern w:val="0"/>
                <w:sz w:val="22"/>
                <w:szCs w:val="22"/>
                <w:shd w:fill="FFFFFF" w:val="clear"/>
                <w:lang w:val="ru-RU" w:eastAsia="ru-RU" w:bidi="ar-SA"/>
              </w:rPr>
              <w:t>7</w:t>
            </w:r>
          </w:p>
        </w:tc>
      </w:tr>
    </w:tbl>
    <w:p>
      <w:pPr>
        <w:sectPr>
          <w:headerReference w:type="default" r:id="rId2"/>
          <w:headerReference w:type="first" r:id="rId3"/>
          <w:type w:val="nextPage"/>
          <w:pgSz w:w="11906" w:h="16838"/>
          <w:pgMar w:left="1134" w:right="851" w:gutter="0" w:header="680" w:top="1134" w:footer="0" w:bottom="992"/>
          <w:pgNumType w:fmt="decimal"/>
          <w:formProt w:val="false"/>
          <w:titlePg/>
          <w:textDirection w:val="lrTb"/>
          <w:docGrid w:type="default" w:linePitch="360" w:charSpace="0"/>
        </w:sectPr>
      </w:pPr>
    </w:p>
    <w:p>
      <w:pPr>
        <w:pStyle w:val="Normal"/>
        <w:ind w:left="0" w:right="0" w:hanging="0"/>
        <w:rPr/>
      </w:pPr>
      <w:r>
        <w:rPr/>
      </w:r>
    </w:p>
    <w:p>
      <w:pPr>
        <w:pStyle w:val="Heading4"/>
        <w:numPr>
          <w:ilvl w:val="1"/>
          <w:numId w:val="3"/>
        </w:numPr>
        <w:ind w:left="709" w:right="0" w:hanging="709"/>
        <w:rPr/>
      </w:pPr>
      <w:bookmarkStart w:id="35" w:name="_Toc54646410"/>
      <w:bookmarkStart w:id="36" w:name="_Toc51339698"/>
      <w:r>
        <w:rPr/>
        <w:t xml:space="preserve">Требования к </w:t>
      </w:r>
      <w:r>
        <w:rPr>
          <w:lang w:val="ru-RU"/>
        </w:rPr>
        <w:t>качеству услуг</w:t>
      </w:r>
    </w:p>
    <w:p>
      <w:pPr>
        <w:pStyle w:val="Heading4"/>
        <w:numPr>
          <w:ilvl w:val="0"/>
          <w:numId w:val="0"/>
        </w:numPr>
        <w:ind w:left="0" w:right="0" w:hanging="0"/>
        <w:rPr/>
      </w:pPr>
      <w:r>
        <w:rPr>
          <w:sz w:val="24"/>
          <w:szCs w:val="24"/>
        </w:rPr>
        <w:t>Таблица </w:t>
      </w:r>
      <w:r>
        <w:rPr>
          <w:sz w:val="24"/>
          <w:szCs w:val="24"/>
          <w:lang w:val="ru-RU"/>
        </w:rPr>
        <w:t>4</w:t>
      </w:r>
      <w:r>
        <w:rPr>
          <w:sz w:val="24"/>
          <w:szCs w:val="24"/>
        </w:rPr>
        <w:t xml:space="preserve">. Требования к </w:t>
      </w:r>
      <w:bookmarkEnd w:id="36"/>
      <w:r>
        <w:rPr>
          <w:sz w:val="24"/>
          <w:szCs w:val="24"/>
          <w:lang w:val="ru-RU"/>
        </w:rPr>
        <w:t xml:space="preserve">качеству </w:t>
      </w:r>
      <w:bookmarkEnd w:id="35"/>
      <w:r>
        <w:rPr>
          <w:sz w:val="24"/>
          <w:szCs w:val="24"/>
          <w:lang w:val="ru-RU"/>
        </w:rPr>
        <w:t>услуг</w:t>
      </w:r>
    </w:p>
    <w:p>
      <w:pPr>
        <w:pStyle w:val="Normal"/>
        <w:rPr>
          <w:b w:val="false"/>
        </w:rPr>
      </w:pPr>
      <w:r>
        <w:rPr>
          <w:b/>
          <w:bCs/>
          <w:sz w:val="24"/>
          <w:szCs w:val="24"/>
        </w:rPr>
        <w:t xml:space="preserve">Наименование услуг/этапа услуг: </w:t>
      </w:r>
      <w:r>
        <w:rPr>
          <w:rStyle w:val="Style8"/>
          <w:b w:val="false"/>
          <w:bCs/>
          <w:i w:val="false"/>
          <w:iCs w:val="false"/>
          <w:sz w:val="24"/>
          <w:szCs w:val="24"/>
          <w:shd w:fill="FFFFFF" w:val="clear"/>
        </w:rPr>
        <w:t>ОКПД2 81.22.12.000 Оказание услуг по очистке кровли от снега и наледи офисного здания по адресу: г. Москва, ул. Волоколамское шоссе, д.2.</w:t>
      </w:r>
    </w:p>
    <w:tbl>
      <w:tblPr>
        <w:tblW w:w="14280" w:type="dxa"/>
        <w:jc w:val="left"/>
        <w:tblInd w:w="108" w:type="dxa"/>
        <w:tblLayout w:type="fixed"/>
        <w:tblCellMar>
          <w:top w:w="0" w:type="dxa"/>
          <w:left w:w="108" w:type="dxa"/>
          <w:bottom w:w="0" w:type="dxa"/>
          <w:right w:w="108" w:type="dxa"/>
        </w:tblCellMar>
      </w:tblPr>
      <w:tblGrid>
        <w:gridCol w:w="779"/>
        <w:gridCol w:w="3016"/>
        <w:gridCol w:w="3838"/>
        <w:gridCol w:w="2221"/>
        <w:gridCol w:w="2445"/>
        <w:gridCol w:w="1980"/>
      </w:tblGrid>
      <w:tr>
        <w:trPr>
          <w:trHeight w:val="20" w:hRule="atLeast"/>
        </w:trPr>
        <w:tc>
          <w:tcPr>
            <w:tcW w:w="77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 xml:space="preserve">№ </w:t>
            </w:r>
            <w:r>
              <w:rPr>
                <w:rFonts w:eastAsia="Times New Roman" w:cs="Times New Roman"/>
                <w:b/>
                <w:bCs/>
                <w:kern w:val="0"/>
                <w:sz w:val="20"/>
                <w:szCs w:val="20"/>
                <w:lang w:val="ru-RU" w:eastAsia="ru-RU" w:bidi="ar-SA"/>
              </w:rPr>
              <w:t>п/п</w:t>
            </w:r>
          </w:p>
        </w:tc>
        <w:tc>
          <w:tcPr>
            <w:tcW w:w="301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Наименование параметра</w:t>
            </w:r>
          </w:p>
        </w:tc>
        <w:tc>
          <w:tcPr>
            <w:tcW w:w="383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Требование заказчика</w:t>
            </w:r>
          </w:p>
        </w:tc>
        <w:tc>
          <w:tcPr>
            <w:tcW w:w="4666" w:type="dxa"/>
            <w:gridSpan w:val="2"/>
            <w:tcBorders>
              <w:top w:val="single" w:sz="4" w:space="0" w:color="000000"/>
              <w:left w:val="single" w:sz="4" w:space="0" w:color="000000"/>
              <w:bottom w:val="single" w:sz="4" w:space="0" w:color="000000"/>
            </w:tcBorders>
            <w:vAlign w:val="center"/>
          </w:tcPr>
          <w:p>
            <w:pPr>
              <w:pStyle w:val="Normal"/>
              <w:widowControl w:val="false"/>
              <w:suppressAutoHyphens w:val="true"/>
              <w:spacing w:before="0" w:after="0"/>
              <w:jc w:val="center"/>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Способ подтверждения участником соответствия требованиям</w:t>
            </w:r>
          </w:p>
        </w:tc>
        <w:tc>
          <w:tcPr>
            <w:tcW w:w="198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Предложение Участника</w:t>
            </w:r>
          </w:p>
        </w:tc>
      </w:tr>
      <w:tr>
        <w:trPr>
          <w:trHeight w:val="20" w:hRule="atLeast"/>
        </w:trPr>
        <w:tc>
          <w:tcPr>
            <w:tcW w:w="77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301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383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22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Согласие с требованием/ указание характеристик</w:t>
            </w:r>
          </w:p>
        </w:tc>
        <w:tc>
          <w:tcPr>
            <w:tcW w:w="2445" w:type="dxa"/>
            <w:tcBorders>
              <w:top w:val="single" w:sz="4" w:space="0" w:color="000000"/>
              <w:left w:val="single" w:sz="4" w:space="0" w:color="000000"/>
              <w:bottom w:val="single" w:sz="4" w:space="0" w:color="000000"/>
            </w:tcBorders>
            <w:vAlign w:val="center"/>
          </w:tcPr>
          <w:p>
            <w:pPr>
              <w:pStyle w:val="Normal"/>
              <w:widowControl w:val="false"/>
              <w:suppressAutoHyphens w:val="true"/>
              <w:spacing w:before="0" w:after="0"/>
              <w:jc w:val="center"/>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Предоставление подтверждающего документа или иной способ подтверждения</w:t>
            </w:r>
          </w:p>
        </w:tc>
        <w:tc>
          <w:tcPr>
            <w:tcW w:w="19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1</w:t>
            </w:r>
          </w:p>
        </w:tc>
        <w:tc>
          <w:tcPr>
            <w:tcW w:w="30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2</w:t>
            </w:r>
          </w:p>
        </w:tc>
        <w:tc>
          <w:tcPr>
            <w:tcW w:w="38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3</w:t>
            </w:r>
          </w:p>
        </w:tc>
        <w:tc>
          <w:tcPr>
            <w:tcW w:w="22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4</w:t>
            </w:r>
          </w:p>
        </w:tc>
        <w:tc>
          <w:tcPr>
            <w:tcW w:w="2445" w:type="dxa"/>
            <w:tcBorders>
              <w:top w:val="single" w:sz="4" w:space="0" w:color="000000"/>
              <w:left w:val="single" w:sz="4" w:space="0" w:color="000000"/>
              <w:bottom w:val="single" w:sz="4" w:space="0" w:color="000000"/>
            </w:tcBorders>
            <w:vAlign w:val="center"/>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5</w:t>
            </w:r>
          </w:p>
        </w:tc>
        <w:tc>
          <w:tcPr>
            <w:tcW w:w="19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6</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4"/>
              </w:numPr>
              <w:ind w:left="1134" w:right="0" w:hanging="1134"/>
              <w:rPr>
                <w:b/>
                <w:bCs/>
                <w:sz w:val="20"/>
                <w:szCs w:val="20"/>
              </w:rPr>
            </w:pPr>
            <w:r>
              <w:rPr>
                <w:b/>
                <w:bCs/>
                <w:sz w:val="20"/>
                <w:szCs w:val="20"/>
              </w:rPr>
            </w:r>
          </w:p>
        </w:tc>
        <w:tc>
          <w:tcPr>
            <w:tcW w:w="685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Требования к оказанию услуг</w:t>
            </w:r>
          </w:p>
        </w:tc>
        <w:tc>
          <w:tcPr>
            <w:tcW w:w="222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4"/>
              </w:numPr>
              <w:ind w:left="1134" w:right="0" w:hanging="1134"/>
              <w:rPr>
                <w:b/>
                <w:bCs/>
                <w:sz w:val="20"/>
                <w:szCs w:val="20"/>
              </w:rPr>
            </w:pPr>
            <w:r>
              <w:rPr>
                <w:b/>
                <w:bCs/>
                <w:sz w:val="20"/>
                <w:szCs w:val="20"/>
              </w:rPr>
            </w:r>
          </w:p>
        </w:tc>
        <w:tc>
          <w:tcPr>
            <w:tcW w:w="685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Общие требования к оказанию услуг</w:t>
            </w:r>
          </w:p>
        </w:tc>
        <w:tc>
          <w:tcPr>
            <w:tcW w:w="222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b/>
                <w:bCs/>
                <w:sz w:val="20"/>
                <w:szCs w:val="20"/>
              </w:rPr>
            </w:pPr>
            <w:r>
              <w:rPr>
                <w:b/>
                <w:bCs/>
                <w:sz w:val="20"/>
                <w:szCs w:val="20"/>
              </w:rPr>
            </w:r>
          </w:p>
        </w:tc>
        <w:tc>
          <w:tcPr>
            <w:tcW w:w="6854"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val="false"/>
                <w:bCs w:val="false"/>
                <w:kern w:val="0"/>
                <w:sz w:val="20"/>
                <w:szCs w:val="20"/>
                <w:lang w:val="ru-RU" w:eastAsia="ru-RU" w:bidi="ar-SA"/>
              </w:rPr>
            </w:pPr>
            <w:r>
              <w:rPr>
                <w:rFonts w:eastAsia="Times New Roman" w:cs="Times New Roman"/>
                <w:b w:val="false"/>
                <w:bCs w:val="false"/>
                <w:kern w:val="0"/>
                <w:sz w:val="20"/>
                <w:szCs w:val="20"/>
                <w:lang w:val="ru-RU" w:eastAsia="ru-RU" w:bidi="ar-SA"/>
              </w:rPr>
              <w:t>Исполнитель обязан оказывать услуги в соответствии с действующим законодательством Российской Федерации с обязательным соблюдением норм и правил охраны труда, пожарной безопасности и техники безопасности, экологической безопасности и производственной санитарии, учитывая специфику действующего учреждения, в том числе соблюдение норм, законов и правил нормативно-технических документов:</w:t>
            </w:r>
          </w:p>
          <w:p>
            <w:pPr>
              <w:pStyle w:val="Normal"/>
              <w:widowControl w:val="false"/>
              <w:suppressAutoHyphens w:val="true"/>
              <w:spacing w:before="0" w:after="0"/>
              <w:jc w:val="left"/>
              <w:rPr>
                <w:rFonts w:eastAsia="Times New Roman" w:cs="Times New Roman"/>
                <w:b w:val="false"/>
                <w:bCs w:val="false"/>
                <w:kern w:val="0"/>
                <w:sz w:val="20"/>
                <w:szCs w:val="20"/>
                <w:lang w:val="ru-RU" w:eastAsia="ru-RU" w:bidi="ar-SA"/>
              </w:rPr>
            </w:pPr>
            <w:r>
              <w:rPr>
                <w:rFonts w:eastAsia="Times New Roman" w:cs="Times New Roman"/>
                <w:b w:val="false"/>
                <w:bCs w:val="false"/>
                <w:kern w:val="0"/>
                <w:sz w:val="20"/>
                <w:szCs w:val="20"/>
                <w:lang w:val="ru-RU" w:eastAsia="ru-RU" w:bidi="ar-SA"/>
              </w:rPr>
              <w:t xml:space="preserve">    • </w:t>
            </w:r>
            <w:r>
              <w:rPr>
                <w:rFonts w:eastAsia="Times New Roman" w:cs="Times New Roman"/>
                <w:b w:val="false"/>
                <w:bCs w:val="false"/>
                <w:kern w:val="0"/>
                <w:sz w:val="20"/>
                <w:szCs w:val="20"/>
                <w:lang w:val="ru-RU" w:eastAsia="ru-RU" w:bidi="ar-SA"/>
              </w:rPr>
              <w:t>Федеральный закон РФ от 22.07.2008 № 123-ФЗ «Технический регламент о требованиях пожарной безопасности»;</w:t>
            </w:r>
          </w:p>
          <w:p>
            <w:pPr>
              <w:pStyle w:val="Normal"/>
              <w:widowControl w:val="false"/>
              <w:suppressAutoHyphens w:val="true"/>
              <w:spacing w:before="0" w:after="0"/>
              <w:jc w:val="left"/>
              <w:rPr>
                <w:rFonts w:eastAsia="Times New Roman" w:cs="Times New Roman"/>
                <w:b w:val="false"/>
                <w:bCs w:val="false"/>
                <w:kern w:val="0"/>
                <w:sz w:val="20"/>
                <w:szCs w:val="20"/>
                <w:lang w:val="ru-RU" w:eastAsia="ru-RU" w:bidi="ar-SA"/>
              </w:rPr>
            </w:pPr>
            <w:r>
              <w:rPr>
                <w:rFonts w:eastAsia="Times New Roman" w:cs="Times New Roman"/>
                <w:b w:val="false"/>
                <w:bCs w:val="false"/>
                <w:kern w:val="0"/>
                <w:sz w:val="20"/>
                <w:szCs w:val="20"/>
                <w:lang w:val="ru-RU" w:eastAsia="ru-RU" w:bidi="ar-SA"/>
              </w:rPr>
              <w:t xml:space="preserve">    • </w:t>
            </w:r>
            <w:r>
              <w:rPr>
                <w:rFonts w:eastAsia="Times New Roman" w:cs="Times New Roman"/>
                <w:b w:val="false"/>
                <w:bCs w:val="false"/>
                <w:kern w:val="0"/>
                <w:sz w:val="20"/>
                <w:szCs w:val="20"/>
                <w:lang w:val="ru-RU" w:eastAsia="ru-RU" w:bidi="ar-SA"/>
              </w:rPr>
              <w:t>Федеральный закон РФ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Normal"/>
              <w:widowControl w:val="false"/>
              <w:suppressAutoHyphens w:val="true"/>
              <w:spacing w:before="0" w:after="0"/>
              <w:jc w:val="left"/>
              <w:rPr>
                <w:rFonts w:eastAsia="Times New Roman" w:cs="Times New Roman"/>
                <w:b w:val="false"/>
                <w:bCs w:val="false"/>
                <w:kern w:val="0"/>
                <w:sz w:val="20"/>
                <w:szCs w:val="20"/>
                <w:lang w:val="ru-RU" w:eastAsia="ru-RU" w:bidi="ar-SA"/>
              </w:rPr>
            </w:pPr>
            <w:r>
              <w:rPr>
                <w:rFonts w:eastAsia="Times New Roman" w:cs="Times New Roman"/>
                <w:b w:val="false"/>
                <w:bCs w:val="false"/>
                <w:kern w:val="0"/>
                <w:sz w:val="20"/>
                <w:szCs w:val="20"/>
                <w:lang w:val="ru-RU" w:eastAsia="ru-RU" w:bidi="ar-SA"/>
              </w:rPr>
              <w:t xml:space="preserve">    • </w:t>
            </w:r>
            <w:r>
              <w:rPr>
                <w:rFonts w:eastAsia="Times New Roman" w:cs="Times New Roman"/>
                <w:b w:val="false"/>
                <w:bCs w:val="false"/>
                <w:kern w:val="0"/>
                <w:sz w:val="20"/>
                <w:szCs w:val="20"/>
                <w:lang w:val="ru-RU" w:eastAsia="ru-RU" w:bidi="ar-SA"/>
              </w:rPr>
              <w:t>Федеральный закон РФ от 10.01.2002 № 7-ФЗ «Об охране окружающей среды»;</w:t>
            </w:r>
          </w:p>
          <w:p>
            <w:pPr>
              <w:pStyle w:val="Normal"/>
              <w:widowControl w:val="false"/>
              <w:suppressAutoHyphens w:val="true"/>
              <w:spacing w:before="0" w:after="0"/>
              <w:jc w:val="left"/>
              <w:rPr>
                <w:rFonts w:eastAsia="Times New Roman" w:cs="Times New Roman"/>
                <w:b w:val="false"/>
                <w:bCs w:val="false"/>
                <w:kern w:val="0"/>
                <w:sz w:val="20"/>
                <w:szCs w:val="20"/>
                <w:lang w:val="ru-RU" w:eastAsia="ru-RU" w:bidi="ar-SA"/>
              </w:rPr>
            </w:pPr>
            <w:r>
              <w:rPr>
                <w:rFonts w:eastAsia="Times New Roman" w:cs="Times New Roman"/>
                <w:b w:val="false"/>
                <w:bCs w:val="false"/>
                <w:kern w:val="0"/>
                <w:sz w:val="20"/>
                <w:szCs w:val="20"/>
                <w:lang w:val="ru-RU" w:eastAsia="ru-RU" w:bidi="ar-SA"/>
              </w:rPr>
              <w:t xml:space="preserve">    • </w:t>
            </w:r>
            <w:r>
              <w:rPr>
                <w:rFonts w:eastAsia="Times New Roman" w:cs="Times New Roman"/>
                <w:b w:val="false"/>
                <w:bCs w:val="false"/>
                <w:kern w:val="0"/>
                <w:sz w:val="20"/>
                <w:szCs w:val="20"/>
                <w:lang w:val="ru-RU" w:eastAsia="ru-RU" w:bidi="ar-SA"/>
              </w:rPr>
              <w:t>Федеральный закон РФ от 30.03.1999 № 52-ФЗ «О санитарно-эпидемиологическом благополучии населения»;</w:t>
            </w:r>
          </w:p>
          <w:p>
            <w:pPr>
              <w:pStyle w:val="Normal"/>
              <w:widowControl w:val="false"/>
              <w:suppressAutoHyphens w:val="true"/>
              <w:spacing w:before="0" w:after="0"/>
              <w:jc w:val="left"/>
              <w:rPr>
                <w:rFonts w:eastAsia="Times New Roman" w:cs="Times New Roman"/>
                <w:b w:val="false"/>
                <w:bCs w:val="false"/>
                <w:kern w:val="0"/>
                <w:sz w:val="20"/>
                <w:szCs w:val="20"/>
                <w:lang w:val="ru-RU" w:eastAsia="ru-RU" w:bidi="ar-SA"/>
              </w:rPr>
            </w:pPr>
            <w:r>
              <w:rPr>
                <w:rFonts w:eastAsia="Times New Roman" w:cs="Times New Roman"/>
                <w:b w:val="false"/>
                <w:bCs w:val="false"/>
                <w:kern w:val="0"/>
                <w:sz w:val="20"/>
                <w:szCs w:val="20"/>
                <w:lang w:val="ru-RU" w:eastAsia="ru-RU" w:bidi="ar-SA"/>
              </w:rPr>
              <w:t xml:space="preserve">    • </w:t>
            </w:r>
            <w:r>
              <w:rPr>
                <w:rFonts w:eastAsia="Times New Roman" w:cs="Times New Roman"/>
                <w:b w:val="false"/>
                <w:bCs w:val="false"/>
                <w:kern w:val="0"/>
                <w:sz w:val="20"/>
                <w:szCs w:val="20"/>
                <w:lang w:val="ru-RU" w:eastAsia="ru-RU" w:bidi="ar-SA"/>
              </w:rPr>
              <w:t>Федеральный закон РФ от 24.06.1998 № 89-ФЗ «Об отходах производства и потребления»;</w:t>
            </w:r>
          </w:p>
          <w:p>
            <w:pPr>
              <w:pStyle w:val="Normal"/>
              <w:widowControl w:val="false"/>
              <w:suppressAutoHyphens w:val="true"/>
              <w:overflowPunct w:val="false"/>
              <w:bidi w:val="0"/>
              <w:spacing w:before="0" w:after="0"/>
              <w:ind w:left="57" w:right="0" w:firstLine="227"/>
              <w:jc w:val="left"/>
              <w:rPr>
                <w:rFonts w:eastAsia="Times New Roman" w:cs="Times New Roman"/>
                <w:b w:val="false"/>
                <w:bCs w:val="false"/>
                <w:kern w:val="0"/>
                <w:sz w:val="20"/>
                <w:szCs w:val="20"/>
                <w:lang w:val="ru-RU" w:eastAsia="ru-RU" w:bidi="ar-SA"/>
              </w:rPr>
            </w:pPr>
            <w:r>
              <w:rPr>
                <w:rFonts w:eastAsia="Times New Roman" w:cs="Times New Roman"/>
                <w:b w:val="false"/>
                <w:bCs w:val="false"/>
                <w:kern w:val="0"/>
                <w:sz w:val="20"/>
                <w:szCs w:val="20"/>
                <w:lang w:val="ru-RU" w:eastAsia="ru-RU" w:bidi="ar-SA"/>
              </w:rPr>
              <w:t xml:space="preserve">• </w:t>
            </w:r>
            <w:r>
              <w:rPr>
                <w:rFonts w:eastAsia="Times New Roman" w:cs="Times New Roman"/>
                <w:b w:val="false"/>
                <w:bCs w:val="false"/>
                <w:kern w:val="0"/>
                <w:sz w:val="20"/>
                <w:szCs w:val="20"/>
                <w:lang w:val="ru-RU" w:eastAsia="ru-RU" w:bidi="ar-SA"/>
              </w:rPr>
              <w:t>Приказ министерства  труда и социальной защиты  Российской Федерации от 16.11.2020 г. N 782н Об утверждении правил по  охране труда при работе на высоте.</w:t>
            </w:r>
          </w:p>
        </w:tc>
        <w:tc>
          <w:tcPr>
            <w:tcW w:w="2221"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r>
          </w:p>
        </w:tc>
        <w:tc>
          <w:tcPr>
            <w:tcW w:w="198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4"/>
              </w:numPr>
              <w:ind w:left="1134" w:right="0" w:hanging="1134"/>
              <w:rPr>
                <w:b/>
                <w:bCs/>
                <w:sz w:val="20"/>
                <w:szCs w:val="20"/>
              </w:rPr>
            </w:pPr>
            <w:r>
              <w:rPr>
                <w:b/>
                <w:bCs/>
                <w:sz w:val="20"/>
                <w:szCs w:val="20"/>
              </w:rPr>
            </w:r>
          </w:p>
        </w:tc>
        <w:tc>
          <w:tcPr>
            <w:tcW w:w="685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Требования к способам оказания услуг</w:t>
            </w:r>
          </w:p>
        </w:tc>
        <w:tc>
          <w:tcPr>
            <w:tcW w:w="222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642" w:hRule="atLeast"/>
        </w:trPr>
        <w:tc>
          <w:tcPr>
            <w:tcW w:w="779" w:type="dxa"/>
            <w:tcBorders>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854" w:type="dxa"/>
            <w:gridSpan w:val="2"/>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left"/>
              <w:rPr>
                <w:rFonts w:eastAsia="Times New Roman" w:cs="Times New Roman"/>
                <w:color w:val="auto"/>
                <w:kern w:val="0"/>
                <w:sz w:val="20"/>
                <w:szCs w:val="20"/>
                <w:lang w:val="ru-RU" w:eastAsia="ru-RU" w:bidi="ar-SA"/>
              </w:rPr>
            </w:pPr>
            <w:r>
              <w:rPr>
                <w:rFonts w:eastAsia="Times New Roman" w:cs="Times New Roman"/>
                <w:color w:val="auto"/>
                <w:kern w:val="0"/>
                <w:sz w:val="20"/>
                <w:szCs w:val="20"/>
                <w:lang w:val="ru-RU" w:eastAsia="ru-RU" w:bidi="ar-SA"/>
              </w:rPr>
              <w:t>Исполнитель должен руководствоваться Приказом Минтруда России от 16.11.2020 N 782н «Об утверждении Правил по охране труда при работе на высоте»</w:t>
            </w:r>
          </w:p>
        </w:tc>
        <w:tc>
          <w:tcPr>
            <w:tcW w:w="2221" w:type="dxa"/>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b w:val="false"/>
                <w:kern w:val="0"/>
                <w:sz w:val="20"/>
                <w:szCs w:val="20"/>
                <w:lang w:val="ru-RU" w:eastAsia="ru-RU" w:bidi="ar-SA"/>
              </w:rPr>
            </w:pPr>
            <w:r>
              <w:rPr>
                <w:rFonts w:eastAsia="Times New Roman" w:cs="Times New Roman"/>
                <w:b w:val="false"/>
                <w:kern w:val="0"/>
                <w:sz w:val="20"/>
                <w:szCs w:val="20"/>
                <w:lang w:val="ru-RU" w:eastAsia="ru-RU" w:bidi="ar-SA"/>
              </w:rPr>
            </w:r>
          </w:p>
        </w:tc>
        <w:tc>
          <w:tcPr>
            <w:tcW w:w="1980" w:type="dxa"/>
            <w:tcBorders>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b w:val="false"/>
                <w:kern w:val="0"/>
                <w:sz w:val="20"/>
                <w:szCs w:val="20"/>
                <w:lang w:val="ru-RU" w:eastAsia="ru-RU" w:bidi="ar-SA"/>
              </w:rPr>
            </w:pPr>
            <w:r>
              <w:rPr>
                <w:rFonts w:eastAsia="Times New Roman" w:cs="Times New Roman"/>
                <w:b w:val="false"/>
                <w:kern w:val="0"/>
                <w:sz w:val="20"/>
                <w:szCs w:val="20"/>
                <w:lang w:val="ru-RU" w:eastAsia="ru-RU" w:bidi="ar-SA"/>
              </w:rPr>
            </w:r>
          </w:p>
        </w:tc>
      </w:tr>
      <w:tr>
        <w:trPr>
          <w:trHeight w:val="295" w:hRule="atLeast"/>
        </w:trPr>
        <w:tc>
          <w:tcPr>
            <w:tcW w:w="779" w:type="dxa"/>
            <w:tcBorders>
              <w:left w:val="single" w:sz="4" w:space="0" w:color="000000"/>
              <w:bottom w:val="single" w:sz="4" w:space="0" w:color="000000"/>
              <w:right w:val="single" w:sz="4" w:space="0" w:color="000000"/>
            </w:tcBorders>
            <w:vAlign w:val="center"/>
          </w:tcPr>
          <w:p>
            <w:pPr>
              <w:pStyle w:val="ListParagraph"/>
              <w:widowControl w:val="false"/>
              <w:numPr>
                <w:ilvl w:val="1"/>
                <w:numId w:val="4"/>
              </w:numPr>
              <w:ind w:left="1134" w:right="0" w:hanging="1134"/>
              <w:rPr>
                <w:sz w:val="20"/>
                <w:szCs w:val="20"/>
              </w:rPr>
            </w:pPr>
            <w:r>
              <w:rPr>
                <w:sz w:val="20"/>
                <w:szCs w:val="20"/>
              </w:rPr>
            </w:r>
          </w:p>
        </w:tc>
        <w:tc>
          <w:tcPr>
            <w:tcW w:w="6854" w:type="dxa"/>
            <w:gridSpan w:val="2"/>
            <w:tcBorders>
              <w:left w:val="single" w:sz="4" w:space="0" w:color="000000"/>
              <w:bottom w:val="single" w:sz="4" w:space="0" w:color="000000"/>
              <w:right w:val="single" w:sz="4" w:space="0" w:color="000000"/>
            </w:tcBorders>
          </w:tcPr>
          <w:p>
            <w:pPr>
              <w:pStyle w:val="Normal"/>
              <w:widowControl w:val="false"/>
              <w:rPr>
                <w:b/>
                <w:sz w:val="20"/>
                <w:szCs w:val="20"/>
              </w:rPr>
            </w:pPr>
            <w:r>
              <w:rPr>
                <w:b/>
                <w:sz w:val="20"/>
                <w:szCs w:val="20"/>
              </w:rPr>
              <w:t>Требования к организации услуг</w:t>
            </w:r>
          </w:p>
        </w:tc>
        <w:tc>
          <w:tcPr>
            <w:tcW w:w="2221"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642" w:hRule="atLeast"/>
        </w:trPr>
        <w:tc>
          <w:tcPr>
            <w:tcW w:w="779" w:type="dxa"/>
            <w:tcBorders>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854" w:type="dxa"/>
            <w:gridSpan w:val="2"/>
            <w:tcBorders>
              <w:left w:val="single" w:sz="4" w:space="0" w:color="000000"/>
              <w:bottom w:val="single" w:sz="4" w:space="0" w:color="000000"/>
              <w:right w:val="single" w:sz="4" w:space="0" w:color="000000"/>
            </w:tcBorders>
          </w:tcPr>
          <w:p>
            <w:pPr>
              <w:pStyle w:val="Normal"/>
              <w:widowControl w:val="false"/>
              <w:jc w:val="both"/>
              <w:rPr>
                <w:sz w:val="20"/>
                <w:szCs w:val="20"/>
              </w:rPr>
            </w:pPr>
            <w:r>
              <w:rPr>
                <w:sz w:val="20"/>
                <w:szCs w:val="20"/>
              </w:rPr>
              <w:t>Ответственность за нарушение техники безопасности, пожарной безопасности при оказании услуг, в размере возмещения реального ущерба, определенного силами экспертной организации, привлеченной Заказчиком, лежит на Исполнителе</w:t>
            </w:r>
          </w:p>
        </w:tc>
        <w:tc>
          <w:tcPr>
            <w:tcW w:w="2221" w:type="dxa"/>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center"/>
              <w:rPr>
                <w:sz w:val="20"/>
                <w:szCs w:val="20"/>
              </w:rPr>
            </w:pPr>
            <w:r>
              <w:rPr>
                <w:sz w:val="20"/>
                <w:szCs w:val="20"/>
              </w:rPr>
              <w:t>Согласие с требованиями</w:t>
            </w:r>
          </w:p>
        </w:tc>
        <w:tc>
          <w:tcPr>
            <w:tcW w:w="2445" w:type="dxa"/>
            <w:tcBorders>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b w:val="false"/>
                <w:kern w:val="0"/>
                <w:sz w:val="20"/>
                <w:szCs w:val="20"/>
                <w:lang w:val="ru-RU" w:eastAsia="ru-RU" w:bidi="ar-SA"/>
              </w:rPr>
            </w:pPr>
            <w:r>
              <w:rPr>
                <w:rFonts w:eastAsia="Times New Roman" w:cs="Times New Roman"/>
                <w:b w:val="false"/>
                <w:kern w:val="0"/>
                <w:sz w:val="20"/>
                <w:szCs w:val="20"/>
                <w:lang w:val="ru-RU" w:eastAsia="ru-RU" w:bidi="ar-SA"/>
              </w:rPr>
            </w:r>
          </w:p>
        </w:tc>
        <w:tc>
          <w:tcPr>
            <w:tcW w:w="1980" w:type="dxa"/>
            <w:tcBorders>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b w:val="false"/>
                <w:kern w:val="0"/>
                <w:sz w:val="20"/>
                <w:szCs w:val="20"/>
                <w:lang w:val="ru-RU" w:eastAsia="ru-RU" w:bidi="ar-SA"/>
              </w:rPr>
            </w:pPr>
            <w:r>
              <w:rPr>
                <w:rFonts w:eastAsia="Times New Roman" w:cs="Times New Roman"/>
                <w:b w:val="false"/>
                <w:kern w:val="0"/>
                <w:sz w:val="20"/>
                <w:szCs w:val="20"/>
                <w:lang w:val="ru-RU" w:eastAsia="ru-RU" w:bidi="ar-SA"/>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4"/>
              </w:numPr>
              <w:ind w:left="1134" w:right="0" w:hanging="1134"/>
              <w:rPr>
                <w:sz w:val="20"/>
                <w:szCs w:val="20"/>
              </w:rPr>
            </w:pPr>
            <w:r>
              <w:rPr>
                <w:sz w:val="20"/>
                <w:szCs w:val="20"/>
              </w:rPr>
            </w:r>
          </w:p>
        </w:tc>
        <w:tc>
          <w:tcPr>
            <w:tcW w:w="685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Требования к персоналу исполнителя</w:t>
            </w:r>
          </w:p>
        </w:tc>
        <w:tc>
          <w:tcPr>
            <w:tcW w:w="222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301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left"/>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Квалификация персонала исполнителя, привлекаемого к работам</w:t>
            </w:r>
          </w:p>
        </w:tc>
        <w:tc>
          <w:tcPr>
            <w:tcW w:w="383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-Наличие у персонала Исполнителя удостоверения промышленного альпиниста, группа по безопасности работ на высоте. Личная книжка учета работ на высоте. Группа по электробезопасности не ниже II.</w:t>
            </w:r>
          </w:p>
        </w:tc>
        <w:tc>
          <w:tcPr>
            <w:tcW w:w="222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top w:val="single" w:sz="4" w:space="0" w:color="000000"/>
              <w:left w:val="single" w:sz="4" w:space="0" w:color="000000"/>
              <w:bottom w:val="single" w:sz="4" w:space="0" w:color="000000"/>
            </w:tcBorders>
          </w:tcPr>
          <w:p>
            <w:pPr>
              <w:pStyle w:val="Normal"/>
              <w:widowControl w:val="false"/>
              <w:tabs>
                <w:tab w:val="clear" w:pos="708"/>
                <w:tab w:val="left" w:pos="426" w:leader="none"/>
              </w:tabs>
              <w:suppressAutoHyphens w:val="true"/>
              <w:spacing w:before="0" w:after="0"/>
              <w:jc w:val="center"/>
              <w:rPr>
                <w:b/>
                <w:sz w:val="20"/>
                <w:szCs w:val="20"/>
              </w:rPr>
            </w:pPr>
            <w:r>
              <w:rPr>
                <w:b/>
                <w:sz w:val="20"/>
                <w:szCs w:val="20"/>
              </w:rPr>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left"/>
              <w:rPr>
                <w:b/>
                <w:sz w:val="20"/>
                <w:szCs w:val="20"/>
              </w:rPr>
            </w:pPr>
            <w:r>
              <w:rPr>
                <w:b/>
                <w:sz w:val="20"/>
                <w:szCs w:val="20"/>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4"/>
              </w:numPr>
              <w:ind w:left="1134" w:right="0" w:hanging="1134"/>
              <w:rPr>
                <w:sz w:val="20"/>
                <w:szCs w:val="20"/>
              </w:rPr>
            </w:pPr>
            <w:r>
              <w:rPr>
                <w:sz w:val="20"/>
                <w:szCs w:val="20"/>
              </w:rPr>
            </w:r>
          </w:p>
        </w:tc>
        <w:tc>
          <w:tcPr>
            <w:tcW w:w="685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Требования к результатам услуг</w:t>
            </w:r>
          </w:p>
        </w:tc>
        <w:tc>
          <w:tcPr>
            <w:tcW w:w="222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4"/>
              </w:numPr>
              <w:ind w:left="1134" w:right="0" w:hanging="1134"/>
              <w:rPr>
                <w:sz w:val="20"/>
                <w:szCs w:val="20"/>
              </w:rPr>
            </w:pPr>
            <w:r>
              <w:rPr>
                <w:sz w:val="20"/>
                <w:szCs w:val="20"/>
              </w:rPr>
            </w:r>
          </w:p>
        </w:tc>
        <w:tc>
          <w:tcPr>
            <w:tcW w:w="685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Общие требования к результатам услуг</w:t>
            </w:r>
          </w:p>
        </w:tc>
        <w:tc>
          <w:tcPr>
            <w:tcW w:w="222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85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Кровля очищена от снега, отсутствие наледи и сосулек по периметру крыши.</w:t>
            </w:r>
          </w:p>
        </w:tc>
        <w:tc>
          <w:tcPr>
            <w:tcW w:w="222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top w:val="single" w:sz="4" w:space="0" w:color="000000"/>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b w:val="false"/>
                <w:kern w:val="0"/>
                <w:sz w:val="20"/>
                <w:szCs w:val="20"/>
                <w:lang w:val="ru-RU" w:eastAsia="ru-RU" w:bidi="ar-SA"/>
              </w:rPr>
            </w:pPr>
            <w:r>
              <w:rPr>
                <w:rFonts w:eastAsia="Times New Roman" w:cs="Times New Roman"/>
                <w:b w:val="false"/>
                <w:kern w:val="0"/>
                <w:sz w:val="20"/>
                <w:szCs w:val="20"/>
                <w:lang w:val="ru-RU" w:eastAsia="ru-RU" w:bidi="ar-SA"/>
              </w:rPr>
            </w:r>
          </w:p>
        </w:tc>
        <w:tc>
          <w:tcPr>
            <w:tcW w:w="1980"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b w:val="false"/>
                <w:kern w:val="0"/>
                <w:sz w:val="20"/>
                <w:szCs w:val="20"/>
                <w:lang w:val="ru-RU" w:eastAsia="ru-RU" w:bidi="ar-SA"/>
              </w:rPr>
            </w:pPr>
            <w:r>
              <w:rPr>
                <w:rFonts w:eastAsia="Times New Roman" w:cs="Times New Roman"/>
                <w:b w:val="false"/>
                <w:kern w:val="0"/>
                <w:sz w:val="20"/>
                <w:szCs w:val="20"/>
                <w:lang w:val="ru-RU" w:eastAsia="ru-RU" w:bidi="ar-SA"/>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4"/>
              </w:numPr>
              <w:ind w:left="1134" w:right="0" w:hanging="1134"/>
              <w:rPr>
                <w:sz w:val="20"/>
                <w:szCs w:val="20"/>
              </w:rPr>
            </w:pPr>
            <w:r>
              <w:rPr>
                <w:sz w:val="20"/>
                <w:szCs w:val="20"/>
              </w:rPr>
            </w:r>
          </w:p>
        </w:tc>
        <w:tc>
          <w:tcPr>
            <w:tcW w:w="685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Требования к приемке результата оказания услуг</w:t>
            </w:r>
          </w:p>
        </w:tc>
        <w:tc>
          <w:tcPr>
            <w:tcW w:w="222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85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По результатам оказанных услуг ответственный сотрудник проводит визуальный осмотр. При наличии замечаний оформляется «Ведомость замечаний» и направляется исполнителю</w:t>
            </w:r>
          </w:p>
        </w:tc>
        <w:tc>
          <w:tcPr>
            <w:tcW w:w="222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top w:val="single" w:sz="4" w:space="0" w:color="000000"/>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b w:val="false"/>
                <w:bCs/>
                <w:kern w:val="0"/>
                <w:sz w:val="20"/>
                <w:szCs w:val="20"/>
                <w:lang w:val="ru-RU" w:eastAsia="ru-RU" w:bidi="ar-SA"/>
              </w:rPr>
            </w:pPr>
            <w:r>
              <w:rPr>
                <w:rFonts w:eastAsia="Times New Roman" w:cs="Times New Roman"/>
                <w:b w:val="false"/>
                <w:bCs/>
                <w:kern w:val="0"/>
                <w:sz w:val="20"/>
                <w:szCs w:val="20"/>
                <w:lang w:val="ru-RU" w:eastAsia="ru-RU" w:bidi="ar-SA"/>
              </w:rPr>
            </w:r>
          </w:p>
        </w:tc>
        <w:tc>
          <w:tcPr>
            <w:tcW w:w="1980"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b w:val="false"/>
                <w:bCs/>
                <w:kern w:val="0"/>
                <w:sz w:val="20"/>
                <w:szCs w:val="20"/>
                <w:lang w:val="ru-RU" w:eastAsia="ru-RU" w:bidi="ar-SA"/>
              </w:rPr>
            </w:pPr>
            <w:r>
              <w:rPr>
                <w:rFonts w:eastAsia="Times New Roman" w:cs="Times New Roman"/>
                <w:b w:val="false"/>
                <w:bCs/>
                <w:kern w:val="0"/>
                <w:sz w:val="20"/>
                <w:szCs w:val="20"/>
                <w:lang w:val="ru-RU" w:eastAsia="ru-RU" w:bidi="ar-SA"/>
              </w:rPr>
            </w:r>
          </w:p>
        </w:tc>
      </w:tr>
      <w:tr>
        <w:trPr>
          <w:trHeight w:val="20" w:hRule="atLeast"/>
        </w:trPr>
        <w:tc>
          <w:tcPr>
            <w:tcW w:w="779" w:type="dxa"/>
            <w:tcBorders>
              <w:left w:val="single" w:sz="4" w:space="0" w:color="000000"/>
              <w:bottom w:val="single" w:sz="4" w:space="0" w:color="000000"/>
              <w:right w:val="single" w:sz="4" w:space="0" w:color="000000"/>
            </w:tcBorders>
            <w:vAlign w:val="center"/>
          </w:tcPr>
          <w:p>
            <w:pPr>
              <w:pStyle w:val="ListParagraph"/>
              <w:widowControl w:val="false"/>
              <w:numPr>
                <w:ilvl w:val="1"/>
                <w:numId w:val="4"/>
              </w:numPr>
              <w:ind w:left="1134" w:right="0" w:hanging="1134"/>
              <w:rPr>
                <w:sz w:val="20"/>
                <w:szCs w:val="20"/>
              </w:rPr>
            </w:pPr>
            <w:r>
              <w:rPr>
                <w:sz w:val="20"/>
                <w:szCs w:val="20"/>
              </w:rPr>
            </w:r>
          </w:p>
        </w:tc>
        <w:tc>
          <w:tcPr>
            <w:tcW w:w="6854" w:type="dxa"/>
            <w:gridSpan w:val="2"/>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b/>
                <w:bCs/>
                <w:sz w:val="20"/>
                <w:szCs w:val="20"/>
              </w:rPr>
            </w:pPr>
            <w:r>
              <w:rPr>
                <w:b/>
                <w:bCs/>
                <w:sz w:val="20"/>
                <w:szCs w:val="20"/>
              </w:rPr>
              <w:t>Требования к документации, описывающей результат оказания услуг</w:t>
            </w:r>
          </w:p>
        </w:tc>
        <w:tc>
          <w:tcPr>
            <w:tcW w:w="2221"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854" w:type="dxa"/>
            <w:gridSpan w:val="2"/>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b w:val="false"/>
                <w:bCs w:val="false"/>
                <w:sz w:val="20"/>
                <w:szCs w:val="20"/>
              </w:rPr>
            </w:pPr>
            <w:r>
              <w:rPr>
                <w:b w:val="false"/>
                <w:bCs w:val="false"/>
                <w:sz w:val="20"/>
                <w:szCs w:val="20"/>
              </w:rPr>
              <w:t>По окончании оказания Услуг Исполнитель в течение 2 (двух) рабочих дней предоставляет Заказчику подписанные со своей стороны в 2 (двух) экземплярах УПД с приложением Отчета об оказании Услуг и иных отчетных документов.</w:t>
            </w:r>
          </w:p>
        </w:tc>
        <w:tc>
          <w:tcPr>
            <w:tcW w:w="2221"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b w:val="false"/>
                <w:bCs w:val="false"/>
                <w:sz w:val="20"/>
                <w:szCs w:val="20"/>
              </w:rPr>
            </w:pPr>
            <w:r>
              <w:rPr>
                <w:b w:val="false"/>
                <w:bCs w:val="false"/>
                <w:sz w:val="20"/>
                <w:szCs w:val="20"/>
              </w:rPr>
              <w:t>Согласие с требованиями</w:t>
            </w:r>
          </w:p>
        </w:tc>
        <w:tc>
          <w:tcPr>
            <w:tcW w:w="2445" w:type="dxa"/>
            <w:tcBorders>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b w:val="false"/>
                <w:bCs/>
                <w:kern w:val="0"/>
                <w:sz w:val="20"/>
                <w:szCs w:val="20"/>
                <w:lang w:val="ru-RU" w:eastAsia="ru-RU" w:bidi="ar-SA"/>
              </w:rPr>
            </w:pPr>
            <w:r>
              <w:rPr>
                <w:rFonts w:eastAsia="Times New Roman" w:cs="Times New Roman"/>
                <w:b w:val="false"/>
                <w:bCs/>
                <w:kern w:val="0"/>
                <w:sz w:val="20"/>
                <w:szCs w:val="20"/>
                <w:lang w:val="ru-RU" w:eastAsia="ru-RU" w:bidi="ar-SA"/>
              </w:rPr>
            </w:r>
          </w:p>
        </w:tc>
        <w:tc>
          <w:tcPr>
            <w:tcW w:w="1980" w:type="dxa"/>
            <w:tcBorders>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b w:val="false"/>
                <w:bCs/>
                <w:kern w:val="0"/>
                <w:sz w:val="20"/>
                <w:szCs w:val="20"/>
                <w:lang w:val="ru-RU" w:eastAsia="ru-RU" w:bidi="ar-SA"/>
              </w:rPr>
            </w:pPr>
            <w:r>
              <w:rPr>
                <w:rFonts w:eastAsia="Times New Roman" w:cs="Times New Roman"/>
                <w:b w:val="false"/>
                <w:bCs/>
                <w:kern w:val="0"/>
                <w:sz w:val="20"/>
                <w:szCs w:val="20"/>
                <w:lang w:val="ru-RU" w:eastAsia="ru-RU" w:bidi="ar-SA"/>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4"/>
              </w:numPr>
              <w:ind w:left="1134" w:right="0" w:hanging="1134"/>
              <w:rPr>
                <w:sz w:val="20"/>
                <w:szCs w:val="20"/>
              </w:rPr>
            </w:pPr>
            <w:r>
              <w:rPr>
                <w:sz w:val="20"/>
                <w:szCs w:val="20"/>
              </w:rPr>
            </w:r>
          </w:p>
        </w:tc>
        <w:tc>
          <w:tcPr>
            <w:tcW w:w="685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Требования к ответственности и гарантиям исполнителя</w:t>
            </w:r>
          </w:p>
        </w:tc>
        <w:tc>
          <w:tcPr>
            <w:tcW w:w="222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85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bookmarkStart w:id="37" w:name="__RefHeading___Toc3391_1975687802"/>
            <w:bookmarkEnd w:id="37"/>
            <w:r>
              <w:rPr>
                <w:sz w:val="20"/>
                <w:szCs w:val="20"/>
              </w:rPr>
              <w:t>Исполнитель гарантирует качество выполняемых работ. В случае если услуги оказаны некачественно, Подрядчик обязан в течение 3 (трех) календарных дней после получения претензии Заказчика за свой счет устранить выявленные недостатки.</w:t>
            </w:r>
          </w:p>
        </w:tc>
        <w:tc>
          <w:tcPr>
            <w:tcW w:w="222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top w:val="single" w:sz="4" w:space="0" w:color="000000"/>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1980"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r>
    </w:tbl>
    <w:p>
      <w:pPr>
        <w:sectPr>
          <w:headerReference w:type="default" r:id="rId4"/>
          <w:headerReference w:type="first" r:id="rId5"/>
          <w:type w:val="nextPage"/>
          <w:pgSz w:orient="landscape" w:w="16838" w:h="11906"/>
          <w:pgMar w:left="1134" w:right="1134" w:gutter="0" w:header="0" w:top="1134" w:footer="0" w:bottom="1134"/>
          <w:pgNumType w:fmt="decimal"/>
          <w:formProt w:val="false"/>
          <w:textDirection w:val="lrTb"/>
          <w:docGrid w:type="default" w:linePitch="600" w:charSpace="24576"/>
        </w:sectPr>
      </w:pPr>
    </w:p>
    <w:p>
      <w:pPr>
        <w:pStyle w:val="Heading1"/>
        <w:keepLines/>
        <w:numPr>
          <w:ilvl w:val="0"/>
          <w:numId w:val="3"/>
        </w:numPr>
        <w:ind w:left="357" w:right="0" w:hanging="357"/>
        <w:jc w:val="center"/>
        <w:rPr>
          <w:lang w:val="ru-RU"/>
        </w:rPr>
      </w:pPr>
      <w:bookmarkStart w:id="38" w:name="__RefHeading___Toc3397_1975687802"/>
      <w:bookmarkStart w:id="39" w:name="_Toc54646411"/>
      <w:bookmarkStart w:id="40" w:name="_Toc53393312"/>
      <w:bookmarkEnd w:id="38"/>
      <w:r>
        <w:rPr>
          <w:lang w:val="ru-RU"/>
        </w:rPr>
        <w:t>Требования к документации по ценообразованию</w:t>
      </w:r>
      <w:bookmarkEnd w:id="40"/>
      <w:r>
        <w:rPr>
          <w:lang w:val="ru-RU"/>
        </w:rPr>
        <w:t xml:space="preserve"> на этапе закупки</w:t>
      </w:r>
      <w:bookmarkEnd w:id="39"/>
    </w:p>
    <w:p>
      <w:pPr>
        <w:pStyle w:val="Normal"/>
        <w:widowControl w:val="false"/>
        <w:numPr>
          <w:ilvl w:val="1"/>
          <w:numId w:val="3"/>
        </w:numPr>
        <w:tabs>
          <w:tab w:val="clear" w:pos="708"/>
          <w:tab w:val="left" w:pos="426" w:leader="none"/>
        </w:tabs>
        <w:suppressAutoHyphens w:val="true"/>
        <w:overflowPunct w:val="false"/>
        <w:bidi w:val="0"/>
        <w:spacing w:before="60" w:after="0"/>
        <w:ind w:left="0" w:right="0" w:firstLine="680"/>
        <w:jc w:val="both"/>
        <w:rPr/>
      </w:pPr>
      <w:r>
        <w:rPr>
          <w:rStyle w:val="Style8"/>
          <w:b w:val="false"/>
          <w:bCs/>
          <w:i w:val="false"/>
          <w:iCs w:val="false"/>
          <w:sz w:val="24"/>
          <w:szCs w:val="24"/>
          <w:shd w:fill="auto" w:val="clear"/>
        </w:rPr>
        <w:t>В обоснование стоимости своей заявки Участник должен предоставить Коммерческое предложение по форме (с учетом прилагаемой к ней инструкции по заполнению), приведенной в Документации о закупке.</w:t>
      </w:r>
    </w:p>
    <w:p>
      <w:pPr>
        <w:pStyle w:val="Normal"/>
        <w:widowControl w:val="false"/>
        <w:numPr>
          <w:ilvl w:val="1"/>
          <w:numId w:val="3"/>
        </w:numPr>
        <w:tabs>
          <w:tab w:val="clear" w:pos="708"/>
          <w:tab w:val="left" w:pos="426" w:leader="none"/>
        </w:tabs>
        <w:suppressAutoHyphens w:val="true"/>
        <w:overflowPunct w:val="false"/>
        <w:bidi w:val="0"/>
        <w:spacing w:before="60" w:after="0"/>
        <w:ind w:left="0" w:right="0" w:firstLine="680"/>
        <w:jc w:val="both"/>
        <w:rPr/>
      </w:pPr>
      <w:r>
        <w:rPr>
          <w:rStyle w:val="Style8"/>
          <w:b w:val="false"/>
          <w:bCs/>
          <w:i w:val="false"/>
          <w:iCs w:val="false"/>
          <w:sz w:val="24"/>
          <w:szCs w:val="24"/>
          <w:shd w:fill="auto" w:val="clear"/>
        </w:rPr>
        <w:t>Стоимость за единицу продукции (услуги) должна включать в себя налоги, сборы, пошлины и другие обязательные платежи, стоимость расходных материалов, используемых при оказании услуг, расходы на содержание, эксплуатацию, перебазировку спецоборудования и инструментов, и прочие расходы, связанные с оказанием услуг, предусмотренные Проектом договора.</w:t>
      </w:r>
    </w:p>
    <w:p>
      <w:pPr>
        <w:pStyle w:val="Heading1"/>
        <w:keepLines/>
        <w:numPr>
          <w:ilvl w:val="0"/>
          <w:numId w:val="0"/>
        </w:numPr>
        <w:ind w:left="357" w:right="0" w:hanging="0"/>
        <w:rPr>
          <w:iCs/>
        </w:rPr>
      </w:pPr>
      <w:r>
        <w:rPr>
          <w:iCs/>
        </w:rPr>
      </w:r>
    </w:p>
    <w:p>
      <w:pPr>
        <w:pStyle w:val="Heading1"/>
        <w:keepLines/>
        <w:numPr>
          <w:ilvl w:val="0"/>
          <w:numId w:val="3"/>
        </w:numPr>
        <w:ind w:left="357" w:right="0" w:hanging="357"/>
        <w:jc w:val="center"/>
        <w:rPr>
          <w:lang w:val="ru-RU"/>
        </w:rPr>
      </w:pPr>
      <w:bookmarkStart w:id="41" w:name="__RefHeading___Toc3399_1975687802"/>
      <w:bookmarkStart w:id="42" w:name="_Toc54646412"/>
      <w:bookmarkEnd w:id="41"/>
      <w:r>
        <w:rPr>
          <w:lang w:val="ru-RU"/>
        </w:rPr>
        <w:t>Требования к документации по ценообразованию на этапе заключения (исполнения) договора</w:t>
      </w:r>
      <w:bookmarkEnd w:id="42"/>
    </w:p>
    <w:p>
      <w:pPr>
        <w:pStyle w:val="Normal"/>
        <w:widowControl w:val="false"/>
        <w:numPr>
          <w:ilvl w:val="1"/>
          <w:numId w:val="3"/>
        </w:numPr>
        <w:tabs>
          <w:tab w:val="clear" w:pos="708"/>
          <w:tab w:val="left" w:pos="426" w:leader="none"/>
        </w:tabs>
        <w:suppressAutoHyphens w:val="true"/>
        <w:overflowPunct w:val="false"/>
        <w:bidi w:val="0"/>
        <w:spacing w:before="60" w:after="0"/>
        <w:ind w:left="0" w:right="0" w:firstLine="680"/>
        <w:jc w:val="both"/>
        <w:rPr/>
      </w:pPr>
      <w:r>
        <w:rPr>
          <w:rStyle w:val="Style8"/>
          <w:b w:val="false"/>
          <w:bCs/>
          <w:i w:val="false"/>
          <w:iCs w:val="false"/>
          <w:sz w:val="24"/>
          <w:szCs w:val="24"/>
          <w:shd w:fill="auto" w:val="clear"/>
        </w:rPr>
        <w:t>По результатам настоящей закупки заключается договор с предельной ценой, предложенной Участником закупки, заявка которого соответствовала требованиям ТТ и содержала наиболее низкую цену.</w:t>
      </w:r>
    </w:p>
    <w:p>
      <w:pPr>
        <w:pStyle w:val="Normal"/>
        <w:widowControl w:val="false"/>
        <w:numPr>
          <w:ilvl w:val="0"/>
          <w:numId w:val="0"/>
        </w:numPr>
        <w:tabs>
          <w:tab w:val="clear" w:pos="708"/>
          <w:tab w:val="left" w:pos="426" w:leader="none"/>
        </w:tabs>
        <w:spacing w:before="60" w:after="0"/>
        <w:ind w:left="432" w:hanging="0"/>
        <w:jc w:val="both"/>
        <w:rPr>
          <w:rStyle w:val="Style8"/>
          <w:i w:val="false"/>
          <w:i w:val="false"/>
          <w:iCs w:val="false"/>
        </w:rPr>
      </w:pPr>
      <w:r>
        <w:rPr>
          <w:i w:val="false"/>
          <w:iCs w:val="false"/>
        </w:rPr>
      </w:r>
      <w:bookmarkStart w:id="43" w:name="__RefHeading___Toc3401_1975687802"/>
      <w:bookmarkStart w:id="44" w:name="__RefHeading___Toc3401_1975687802"/>
      <w:bookmarkEnd w:id="44"/>
    </w:p>
    <w:p>
      <w:pPr>
        <w:pStyle w:val="Normal"/>
        <w:widowControl w:val="false"/>
        <w:tabs>
          <w:tab w:val="clear" w:pos="708"/>
          <w:tab w:val="left" w:pos="426" w:leader="none"/>
        </w:tabs>
        <w:spacing w:before="60" w:after="0"/>
        <w:jc w:val="both"/>
        <w:rPr>
          <w:rStyle w:val="Style8"/>
          <w:b w:val="false"/>
          <w:bCs/>
          <w:iCs/>
          <w:sz w:val="24"/>
          <w:szCs w:val="24"/>
        </w:rPr>
      </w:pPr>
      <w:r>
        <w:rPr>
          <w:b w:val="false"/>
          <w:bCs/>
          <w:iCs/>
          <w:sz w:val="24"/>
          <w:szCs w:val="24"/>
        </w:rPr>
      </w:r>
    </w:p>
    <w:p>
      <w:pPr>
        <w:pStyle w:val="Normal"/>
        <w:widowControl w:val="false"/>
        <w:tabs>
          <w:tab w:val="clear" w:pos="708"/>
          <w:tab w:val="left" w:pos="426" w:leader="none"/>
        </w:tabs>
        <w:spacing w:before="60" w:after="0"/>
        <w:jc w:val="both"/>
        <w:rPr>
          <w:rStyle w:val="Style8"/>
          <w:b w:val="false"/>
          <w:bCs/>
          <w:iCs/>
          <w:sz w:val="24"/>
          <w:szCs w:val="24"/>
        </w:rPr>
      </w:pPr>
      <w:r>
        <w:rPr>
          <w:b w:val="false"/>
          <w:bCs/>
          <w:iCs/>
          <w:sz w:val="24"/>
          <w:szCs w:val="24"/>
        </w:rPr>
      </w:r>
    </w:p>
    <w:p>
      <w:pPr>
        <w:pStyle w:val="Normal"/>
        <w:widowControl w:val="false"/>
        <w:tabs>
          <w:tab w:val="clear" w:pos="708"/>
          <w:tab w:val="left" w:pos="426" w:leader="none"/>
        </w:tabs>
        <w:spacing w:before="120" w:after="120"/>
        <w:jc w:val="both"/>
        <w:rPr>
          <w:rStyle w:val="Style8"/>
          <w:b w:val="false"/>
          <w:bCs/>
          <w:iCs/>
          <w:sz w:val="24"/>
          <w:szCs w:val="24"/>
        </w:rPr>
      </w:pPr>
      <w:r>
        <w:rPr>
          <w:b w:val="false"/>
          <w:bCs/>
          <w:iCs/>
          <w:sz w:val="24"/>
          <w:szCs w:val="24"/>
        </w:rPr>
      </w:r>
    </w:p>
    <w:p>
      <w:pPr>
        <w:pStyle w:val="Normal"/>
        <w:spacing w:before="0" w:after="120"/>
        <w:rPr/>
      </w:pPr>
      <w:r>
        <w:rPr/>
      </w:r>
    </w:p>
    <w:sectPr>
      <w:headerReference w:type="default" r:id="rId6"/>
      <w:headerReference w:type="first" r:id="rId7"/>
      <w:type w:val="nextPage"/>
      <w:pgSz w:w="11906" w:h="16838"/>
      <w:pgMar w:left="1134" w:right="851" w:gutter="0" w:header="680" w:top="1134" w:footer="0"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 w:name="OpenSymbol">
    <w:altName w:val="Arial Unicode MS"/>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5</w:t>
    </w:r>
    <w:r>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9</w:t>
    </w:r>
    <w:r>
      <w:rPr/>
      <w:fldChar w:fldCharType="end"/>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1"/>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rPr>
    </w:lvl>
    <w:lvl w:ilvl="1">
      <w:start w:val="1"/>
      <w:numFmt w:val="decimal"/>
      <w:lvlText w:val="%1.%2."/>
      <w:lvlJc w:val="left"/>
      <w:pPr>
        <w:tabs>
          <w:tab w:val="num" w:pos="0"/>
        </w:tabs>
        <w:ind w:left="709" w:hanging="709"/>
      </w:pPr>
      <w:rPr>
        <w:sz w:val="24"/>
        <w:i w:val="false"/>
        <w:b/>
        <w:szCs w:val="24"/>
        <w:iCs/>
        <w:bCs/>
      </w:rPr>
    </w:lvl>
    <w:lvl w:ilvl="2">
      <w:start w:val="1"/>
      <w:numFmt w:val="decimal"/>
      <w:lvlText w:val="%1.%2.%3."/>
      <w:lvlJc w:val="left"/>
      <w:pPr>
        <w:tabs>
          <w:tab w:val="num" w:pos="0"/>
        </w:tabs>
        <w:ind w:left="1224" w:hanging="504"/>
      </w:pPr>
      <w:rPr>
        <w:sz w:val="24"/>
        <w:b w:val="false"/>
        <w:szCs w:val="24"/>
        <w:bCs w:val="false"/>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b/>
        <w:bCs/>
      </w:rPr>
    </w:lvl>
    <w:lvl w:ilvl="1">
      <w:start w:val="1"/>
      <w:numFmt w:val="decimal"/>
      <w:lvlText w:val="%1.%2."/>
      <w:lvlJc w:val="left"/>
      <w:pPr>
        <w:tabs>
          <w:tab w:val="num" w:pos="0"/>
        </w:tabs>
        <w:ind w:left="1134" w:hanging="1134"/>
      </w:pPr>
      <w:rPr>
        <w:b/>
        <w:bCs/>
      </w:rPr>
    </w:lvl>
    <w:lvl w:ilvl="2">
      <w:start w:val="1"/>
      <w:numFmt w:val="decimal"/>
      <w:lvlText w:val="%1.%2.%3."/>
      <w:lvlJc w:val="left"/>
      <w:pPr>
        <w:tabs>
          <w:tab w:val="num" w:pos="0"/>
        </w:tabs>
        <w:ind w:left="1134" w:hanging="1134"/>
      </w:pPr>
      <w:rPr>
        <w:b w:val="false"/>
        <w:bCs w:val="false"/>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9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qFormat/>
    <w:pPr>
      <w:numPr>
        <w:ilvl w:val="0"/>
        <w:numId w:val="3"/>
      </w:numPr>
      <w:outlineLvl w:val="0"/>
    </w:pPr>
    <w:rPr>
      <w:sz w:val="28"/>
      <w:szCs w:val="28"/>
    </w:rPr>
  </w:style>
  <w:style w:type="paragraph" w:styleId="Heading2">
    <w:name w:val="Heading 2"/>
    <w:basedOn w:val="Heading4"/>
    <w:next w:val="Normal"/>
    <w:link w:val="2"/>
    <w:qFormat/>
    <w:pPr>
      <w:outlineLvl w:val="1"/>
    </w:pPr>
    <w:rPr/>
  </w:style>
  <w:style w:type="paragraph" w:styleId="Heading3">
    <w:name w:val="Heading 3"/>
    <w:basedOn w:val="Normal"/>
    <w:next w:val="Normal"/>
    <w:link w:val="3"/>
    <w:autoRedefine/>
    <w:qFormat/>
    <w:pPr>
      <w:keepNext w:val="true"/>
      <w:widowControl/>
      <w:numPr>
        <w:ilvl w:val="0"/>
        <w:numId w:val="0"/>
      </w:numPr>
      <w:suppressAutoHyphens w:val="true"/>
      <w:overflowPunct w:val="false"/>
      <w:bidi w:val="0"/>
      <w:spacing w:lineRule="auto" w:line="240" w:before="120" w:after="60"/>
      <w:ind w:left="0" w:right="0" w:firstLine="680"/>
      <w:jc w:val="left"/>
      <w:outlineLvl w:val="2"/>
    </w:pPr>
    <w:rPr>
      <w:rFonts w:eastAsia="Calibri"/>
      <w:b/>
      <w:bCs/>
      <w:i w:val="false"/>
      <w:iCs w:val="false"/>
      <w:sz w:val="24"/>
      <w:szCs w:val="24"/>
      <w:lang w:val="x-none" w:eastAsia="x-none"/>
    </w:rPr>
  </w:style>
  <w:style w:type="paragraph" w:styleId="Heading4">
    <w:name w:val="Heading 4"/>
    <w:basedOn w:val="Heading3"/>
    <w:next w:val="Normal"/>
    <w:link w:val="4"/>
    <w:qFormat/>
    <w:pPr>
      <w:numPr>
        <w:ilvl w:val="1"/>
        <w:numId w:val="3"/>
      </w:numPr>
      <w:outlineLvl w:val="3"/>
    </w:pPr>
    <w:rPr>
      <w:bCs/>
    </w:rPr>
  </w:style>
  <w:style w:type="paragraph" w:styleId="Heading5">
    <w:name w:val="Heading 5"/>
    <w:basedOn w:val="Normal"/>
    <w:next w:val="Normal"/>
    <w:link w:val="5"/>
    <w:qFormat/>
    <w:pPr>
      <w:numPr>
        <w:ilvl w:val="0"/>
        <w:numId w:val="0"/>
      </w:numPr>
      <w:spacing w:before="240" w:after="60"/>
      <w:outlineLvl w:val="4"/>
    </w:pPr>
    <w:rPr>
      <w:b/>
      <w:bCs/>
      <w:i/>
      <w:iCs/>
      <w:sz w:val="26"/>
      <w:szCs w:val="26"/>
      <w:lang w:val="x-none" w:eastAsia="x-none"/>
    </w:rPr>
  </w:style>
  <w:style w:type="paragraph" w:styleId="Heading6">
    <w:name w:val="Heading 6"/>
    <w:basedOn w:val="Normal"/>
    <w:next w:val="Normal"/>
    <w:link w:val="6"/>
    <w:qFormat/>
    <w:pPr>
      <w:keepNext w:val="true"/>
      <w:keepLines/>
      <w:numPr>
        <w:ilvl w:val="0"/>
        <w:numId w:val="0"/>
      </w:numPr>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qFormat/>
    <w:pPr>
      <w:keepNext w:val="true"/>
      <w:keepLines/>
      <w:numPr>
        <w:ilvl w:val="0"/>
        <w:numId w:val="0"/>
      </w:numPr>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qFormat/>
    <w:pPr>
      <w:keepNext w:val="true"/>
      <w:keepLines/>
      <w:numPr>
        <w:ilvl w:val="0"/>
        <w:numId w:val="0"/>
      </w:numPr>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qFormat/>
    <w:pPr>
      <w:numPr>
        <w:ilvl w:val="0"/>
        <w:numId w:val="0"/>
      </w:numPr>
      <w:spacing w:before="240" w:after="60"/>
      <w:outlineLvl w:val="8"/>
    </w:pPr>
    <w:rPr>
      <w:rFonts w:ascii="Arial" w:hAnsi="Arial"/>
      <w:sz w:val="22"/>
      <w:szCs w:val="22"/>
      <w:lang w:val="x-none" w:eastAsia="x-none"/>
    </w:rPr>
  </w:style>
  <w:style w:type="character" w:styleId="DefaultParagraphFont">
    <w:name w:val="Default Paragraph Font"/>
    <w:qFormat/>
    <w:rPr/>
  </w:style>
  <w:style w:type="character" w:styleId="Style">
    <w:name w:val="Символ сноски"/>
    <w:qFormat/>
    <w:rPr>
      <w:vertAlign w:val="superscript"/>
    </w:rPr>
  </w:style>
  <w:style w:type="character" w:styleId="FootnoteReference">
    <w:name w:val="Footnote Reference"/>
    <w:rPr>
      <w:vertAlign w:val="superscript"/>
    </w:rPr>
  </w:style>
  <w:style w:type="character" w:styleId="Pagenumber">
    <w:name w:val="page number"/>
    <w:basedOn w:val="DefaultParagraphFont"/>
    <w:qFormat/>
    <w:rPr/>
  </w:style>
  <w:style w:type="character" w:styleId="Hyperlink">
    <w:name w:val="Hyperlink"/>
    <w:rPr>
      <w:color w:val="0000FF"/>
      <w:u w:val="single"/>
    </w:rPr>
  </w:style>
  <w:style w:type="character" w:styleId="Annotationreference">
    <w:name w:val="annotation reference"/>
    <w:qFormat/>
    <w:rPr>
      <w:sz w:val="16"/>
      <w:szCs w:val="16"/>
    </w:rPr>
  </w:style>
  <w:style w:type="character" w:styleId="Strong">
    <w:name w:val="Strong"/>
    <w:qFormat/>
    <w:rPr>
      <w:b/>
      <w:bCs/>
    </w:rPr>
  </w:style>
  <w:style w:type="character" w:styleId="6">
    <w:name w:val="Заголовок 6 Знак"/>
    <w:qFormat/>
    <w:rPr>
      <w:rFonts w:ascii="Cambria" w:hAnsi="Cambria"/>
      <w:i/>
      <w:iCs/>
      <w:color w:val="243F60"/>
      <w:lang w:val="x-none" w:eastAsia="x-none"/>
    </w:rPr>
  </w:style>
  <w:style w:type="character" w:styleId="7">
    <w:name w:val="Заголовок 7 Знак"/>
    <w:qFormat/>
    <w:rPr>
      <w:rFonts w:ascii="Cambria" w:hAnsi="Cambria"/>
      <w:i/>
      <w:iCs/>
      <w:color w:val="404040"/>
      <w:lang w:val="x-none" w:eastAsia="x-none"/>
    </w:rPr>
  </w:style>
  <w:style w:type="character" w:styleId="8">
    <w:name w:val="Заголовок 8 Знак"/>
    <w:qFormat/>
    <w:rPr>
      <w:rFonts w:ascii="Cambria" w:hAnsi="Cambria"/>
      <w:color w:val="4F81BD"/>
      <w:lang w:val="x-none" w:eastAsia="x-none"/>
    </w:rPr>
  </w:style>
  <w:style w:type="character" w:styleId="1">
    <w:name w:val="Заголовок 1 Знак"/>
    <w:qFormat/>
    <w:rPr>
      <w:rFonts w:eastAsia="Calibri"/>
      <w:b/>
      <w:sz w:val="28"/>
      <w:szCs w:val="28"/>
      <w:lang w:val="x-none" w:eastAsia="x-none"/>
    </w:rPr>
  </w:style>
  <w:style w:type="character" w:styleId="2">
    <w:name w:val="Заголовок 2 Знак"/>
    <w:qFormat/>
    <w:rPr>
      <w:rFonts w:eastAsia="Calibri"/>
      <w:b/>
      <w:bCs/>
      <w:sz w:val="24"/>
      <w:szCs w:val="24"/>
      <w:lang w:val="x-none" w:eastAsia="x-none"/>
    </w:rPr>
  </w:style>
  <w:style w:type="character" w:styleId="3">
    <w:name w:val="Заголовок 3 Знак"/>
    <w:qFormat/>
    <w:rPr>
      <w:rFonts w:eastAsia="Calibri"/>
      <w:b/>
      <w:sz w:val="24"/>
      <w:szCs w:val="24"/>
      <w:lang w:val="x-none" w:eastAsia="x-none"/>
    </w:rPr>
  </w:style>
  <w:style w:type="character" w:styleId="4">
    <w:name w:val="Заголовок 4 Знак"/>
    <w:qFormat/>
    <w:rPr>
      <w:rFonts w:eastAsia="Calibri"/>
      <w:b/>
      <w:bCs/>
      <w:sz w:val="24"/>
      <w:szCs w:val="24"/>
      <w:lang w:val="x-none" w:eastAsia="x-none"/>
    </w:rPr>
  </w:style>
  <w:style w:type="character" w:styleId="5">
    <w:name w:val="Заголовок 5 Знак"/>
    <w:qFormat/>
    <w:rPr>
      <w:b/>
      <w:bCs/>
      <w:i/>
      <w:iCs/>
      <w:sz w:val="26"/>
      <w:szCs w:val="26"/>
    </w:rPr>
  </w:style>
  <w:style w:type="character" w:styleId="9">
    <w:name w:val="Заголовок 9 Знак"/>
    <w:qFormat/>
    <w:rPr>
      <w:rFonts w:ascii="Arial" w:hAnsi="Arial" w:cs="Arial"/>
      <w:sz w:val="22"/>
      <w:szCs w:val="22"/>
    </w:rPr>
  </w:style>
  <w:style w:type="character" w:styleId="Style1">
    <w:name w:val="Название Знак"/>
    <w:link w:val="15"/>
    <w:qFormat/>
    <w:rPr>
      <w:sz w:val="28"/>
    </w:rPr>
  </w:style>
  <w:style w:type="character" w:styleId="Style2">
    <w:name w:val="Подзаголовок Знак"/>
    <w:qFormat/>
    <w:rPr>
      <w:rFonts w:ascii="Cambria" w:hAnsi="Cambria"/>
      <w:i/>
      <w:iCs/>
      <w:color w:val="4F81BD"/>
      <w:spacing w:val="15"/>
      <w:sz w:val="24"/>
      <w:szCs w:val="24"/>
      <w:lang w:val="x-none" w:eastAsia="x-none"/>
    </w:rPr>
  </w:style>
  <w:style w:type="character" w:styleId="Emphasis">
    <w:name w:val="Emphasis"/>
    <w:qFormat/>
    <w:rPr>
      <w:i/>
      <w:iCs/>
    </w:rPr>
  </w:style>
  <w:style w:type="character" w:styleId="21">
    <w:name w:val="Цитата 2 Знак"/>
    <w:link w:val="Quote"/>
    <w:qFormat/>
    <w:rPr>
      <w:rFonts w:ascii="Calibri" w:hAnsi="Calibri" w:eastAsia="Calibri"/>
      <w:i/>
      <w:iCs/>
      <w:color w:val="000000"/>
      <w:lang w:val="x-none" w:eastAsia="x-none"/>
    </w:rPr>
  </w:style>
  <w:style w:type="character" w:styleId="Style3">
    <w:name w:val="Выделенная цитата Знак"/>
    <w:link w:val="IntenseQuote"/>
    <w:qFormat/>
    <w:rPr>
      <w:rFonts w:ascii="Calibri" w:hAnsi="Calibri" w:eastAsia="Calibri"/>
      <w:b/>
      <w:bCs/>
      <w:i/>
      <w:iCs/>
      <w:color w:val="4F81BD"/>
      <w:lang w:val="x-none" w:eastAsia="x-none"/>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Style4">
    <w:name w:val="Электронная подпись Знак"/>
    <w:link w:val="E-mailSignature"/>
    <w:qFormat/>
    <w:rPr>
      <w:rFonts w:eastAsia="Calibri"/>
      <w:sz w:val="24"/>
      <w:szCs w:val="24"/>
    </w:rPr>
  </w:style>
  <w:style w:type="character" w:styleId="11">
    <w:name w:val="Подпункт Знак1"/>
    <w:link w:val="Style22"/>
    <w:qFormat/>
    <w:rPr>
      <w:sz w:val="28"/>
    </w:rPr>
  </w:style>
  <w:style w:type="character" w:styleId="Style5">
    <w:name w:val="Текст сноски Знак"/>
    <w:qFormat/>
    <w:rPr/>
  </w:style>
  <w:style w:type="character" w:styleId="Style6">
    <w:name w:val="Основной текст Знак"/>
    <w:qFormat/>
    <w:rPr>
      <w:sz w:val="28"/>
      <w:szCs w:val="28"/>
    </w:rPr>
  </w:style>
  <w:style w:type="character" w:styleId="Blk">
    <w:name w:val="blk"/>
    <w:qFormat/>
    <w:rPr/>
  </w:style>
  <w:style w:type="character" w:styleId="Style7">
    <w:name w:val="Абзац списка Знак"/>
    <w:link w:val="ListParagraph"/>
    <w:qFormat/>
    <w:rPr>
      <w:rFonts w:eastAsia="Calibri"/>
      <w:sz w:val="24"/>
      <w:szCs w:val="24"/>
    </w:rPr>
  </w:style>
  <w:style w:type="character" w:styleId="Style8">
    <w:name w:val="комментарий"/>
    <w:qFormat/>
    <w:rPr>
      <w:b/>
      <w:i/>
      <w:shd w:fill="FFFF99" w:val="clear"/>
    </w:rPr>
  </w:style>
  <w:style w:type="character" w:styleId="Style9">
    <w:name w:val="Подподпункт Знак"/>
    <w:link w:val="Style30"/>
    <w:qFormat/>
    <w:rPr>
      <w:sz w:val="26"/>
      <w:szCs w:val="26"/>
    </w:rPr>
  </w:style>
  <w:style w:type="character" w:styleId="31">
    <w:name w:val="УРОВЕНЬ_Абзац_тип3 Знак"/>
    <w:link w:val="36"/>
    <w:qFormat/>
    <w:rPr>
      <w:rFonts w:eastAsia="Calibri"/>
      <w:sz w:val="26"/>
      <w:szCs w:val="28"/>
      <w:lang w:eastAsia="en-US"/>
    </w:rPr>
  </w:style>
  <w:style w:type="character" w:styleId="Style10">
    <w:name w:val="Верхний колонтитул Знак"/>
    <w:qFormat/>
    <w:rPr>
      <w:sz w:val="24"/>
      <w:szCs w:val="24"/>
    </w:rPr>
  </w:style>
  <w:style w:type="character" w:styleId="Style11">
    <w:name w:val="Текст примечания Знак"/>
    <w:link w:val="Annotationtext"/>
    <w:qFormat/>
    <w:rPr/>
  </w:style>
  <w:style w:type="character" w:styleId="Style12">
    <w:name w:val="Текст концевой сноски Знак"/>
    <w:basedOn w:val="DefaultParagraphFont"/>
    <w:qFormat/>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character" w:styleId="22">
    <w:name w:val="Пункт2 Знак"/>
    <w:link w:val="24"/>
    <w:qFormat/>
    <w:rPr>
      <w:b/>
      <w:sz w:val="28"/>
    </w:rPr>
  </w:style>
  <w:style w:type="character" w:styleId="12">
    <w:name w:val="УРОВЕНЬ_1. Знак"/>
    <w:link w:val="19"/>
    <w:qFormat/>
    <w:rPr>
      <w:rFonts w:eastAsia="Calibri"/>
      <w:caps/>
      <w:sz w:val="28"/>
      <w:szCs w:val="28"/>
      <w:lang w:eastAsia="en-US"/>
    </w:rPr>
  </w:style>
  <w:style w:type="character" w:styleId="13">
    <w:name w:val="Неразрешенное упоминание1"/>
    <w:basedOn w:val="DefaultParagraphFont"/>
    <w:qFormat/>
    <w:rPr>
      <w:color w:val="605E5C"/>
      <w:shd w:fill="E1DFDD" w:val="clear"/>
    </w:rPr>
  </w:style>
  <w:style w:type="character" w:styleId="32">
    <w:name w:val="Основной текст с отступом 3 Знак"/>
    <w:link w:val="BodyTextIndent3"/>
    <w:qFormat/>
    <w:rPr>
      <w:sz w:val="16"/>
      <w:szCs w:val="16"/>
    </w:rPr>
  </w:style>
  <w:style w:type="character" w:styleId="Style14">
    <w:name w:val="Ссылка указателя"/>
    <w:qFormat/>
    <w:rPr/>
  </w:style>
  <w:style w:type="character" w:styleId="Style15">
    <w:name w:val="Маркеры"/>
    <w:qFormat/>
    <w:rPr>
      <w:rFonts w:ascii="OpenSymbol" w:hAnsi="OpenSymbol" w:eastAsia="OpenSymbol" w:cs="OpenSymbol"/>
    </w:rPr>
  </w:style>
  <w:style w:type="paragraph" w:styleId="Style16">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6"/>
    <w:pPr>
      <w:spacing w:before="0" w:after="12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7">
    <w:name w:val="Указатель"/>
    <w:basedOn w:val="Normal"/>
    <w:qFormat/>
    <w:pPr>
      <w:suppressLineNumbers/>
    </w:pPr>
    <w:rPr>
      <w:rFonts w:cs="Arial Unicode MS"/>
    </w:rPr>
  </w:style>
  <w:style w:type="paragraph" w:styleId="Style18">
    <w:name w:val="Название раздела инструкции"/>
    <w:basedOn w:val="Normal"/>
    <w:autoRedefine/>
    <w:qFormat/>
    <w:pPr>
      <w:jc w:val="center"/>
    </w:pPr>
    <w:rPr>
      <w:b/>
    </w:rPr>
  </w:style>
  <w:style w:type="paragraph" w:styleId="Style19">
    <w:name w:val="Раздел положения"/>
    <w:basedOn w:val="Normal"/>
    <w:autoRedefine/>
    <w:qFormat/>
    <w:pPr>
      <w:numPr>
        <w:ilvl w:val="0"/>
        <w:numId w:val="1"/>
      </w:numPr>
      <w:spacing w:before="80" w:after="80"/>
      <w:jc w:val="center"/>
    </w:pPr>
    <w:rPr>
      <w:b/>
      <w:sz w:val="32"/>
      <w:szCs w:val="32"/>
    </w:rPr>
  </w:style>
  <w:style w:type="paragraph" w:styleId="Style20">
    <w:name w:val="Подраздел раздела положения"/>
    <w:basedOn w:val="Normal"/>
    <w:autoRedefine/>
    <w:qFormat/>
    <w:pPr>
      <w:numPr>
        <w:ilvl w:val="1"/>
        <w:numId w:val="1"/>
      </w:numPr>
      <w:spacing w:before="80" w:after="80"/>
      <w:jc w:val="both"/>
    </w:pPr>
    <w:rPr/>
  </w:style>
  <w:style w:type="paragraph" w:styleId="FootnoteText">
    <w:name w:val="Footnote Text"/>
    <w:basedOn w:val="Normal"/>
    <w:link w:val="Style5"/>
    <w:pPr/>
    <w:rPr>
      <w:sz w:val="20"/>
      <w:szCs w:val="20"/>
    </w:rPr>
  </w:style>
  <w:style w:type="paragraph" w:styleId="14">
    <w:name w:val="Шапка 1"/>
    <w:basedOn w:val="Normal"/>
    <w:qFormat/>
    <w:pPr>
      <w:pBdr>
        <w:bottom w:val="thickThinSmallGap" w:sz="24" w:space="1" w:color="000000"/>
      </w:pBdr>
      <w:spacing w:before="0" w:after="240"/>
      <w:jc w:val="center"/>
    </w:pPr>
    <w:rPr>
      <w:sz w:val="22"/>
      <w:szCs w:val="22"/>
    </w:rPr>
  </w:style>
  <w:style w:type="paragraph" w:styleId="23">
    <w:name w:val="Шапка 2"/>
    <w:basedOn w:val="Normal"/>
    <w:qFormat/>
    <w:pPr>
      <w:pBdr>
        <w:bottom w:val="thickThinSmallGap" w:sz="24" w:space="1" w:color="000000"/>
      </w:pBdr>
      <w:spacing w:before="0" w:after="120"/>
      <w:jc w:val="center"/>
    </w:pPr>
    <w:rPr>
      <w:b/>
      <w:sz w:val="22"/>
      <w:szCs w:val="22"/>
    </w:rPr>
  </w:style>
  <w:style w:type="paragraph" w:styleId="33">
    <w:name w:val="Шапка 3"/>
    <w:basedOn w:val="Normal"/>
    <w:qFormat/>
    <w:pPr>
      <w:pBdr>
        <w:bottom w:val="thickThinSmallGap" w:sz="24" w:space="1" w:color="000000"/>
      </w:pBdr>
      <w:spacing w:before="240" w:after="360"/>
      <w:jc w:val="center"/>
    </w:pPr>
    <w:rPr>
      <w:b/>
      <w:sz w:val="24"/>
      <w:szCs w:val="24"/>
    </w:rPr>
  </w:style>
  <w:style w:type="paragraph" w:styleId="15">
    <w:name w:val="Название1"/>
    <w:basedOn w:val="Normal"/>
    <w:link w:val="Style1"/>
    <w:qFormat/>
    <w:pPr>
      <w:jc w:val="center"/>
    </w:pPr>
    <w:rPr>
      <w:szCs w:val="20"/>
      <w:lang w:val="x-none" w:eastAsia="x-none"/>
    </w:rPr>
  </w:style>
  <w:style w:type="paragraph" w:styleId="Style21">
    <w:name w:val="Колонтитул"/>
    <w:basedOn w:val="Normal"/>
    <w:qFormat/>
    <w:pPr/>
    <w:rPr/>
  </w:style>
  <w:style w:type="paragraph" w:styleId="Header">
    <w:name w:val="Header"/>
    <w:basedOn w:val="Normal"/>
    <w:link w:val="Style10"/>
    <w:pPr>
      <w:tabs>
        <w:tab w:val="clear" w:pos="708"/>
        <w:tab w:val="center" w:pos="4677" w:leader="none"/>
        <w:tab w:val="right" w:pos="9355" w:leader="none"/>
      </w:tabs>
    </w:pPr>
    <w:rPr>
      <w:sz w:val="24"/>
      <w:szCs w:val="24"/>
    </w:rPr>
  </w:style>
  <w:style w:type="paragraph" w:styleId="BodyTextIndent">
    <w:name w:val="Body Text Indent"/>
    <w:basedOn w:val="Normal"/>
    <w:pPr>
      <w:ind w:left="360" w:right="0" w:hanging="0"/>
    </w:pPr>
    <w:rPr>
      <w:sz w:val="24"/>
      <w:szCs w:val="24"/>
    </w:rPr>
  </w:style>
  <w:style w:type="paragraph" w:styleId="Footer">
    <w:name w:val="Footer"/>
    <w:basedOn w:val="Normal"/>
    <w:pPr>
      <w:tabs>
        <w:tab w:val="clear" w:pos="708"/>
        <w:tab w:val="center" w:pos="4677" w:leader="none"/>
        <w:tab w:val="right" w:pos="9355" w:leader="none"/>
      </w:tabs>
    </w:pPr>
    <w:rPr/>
  </w:style>
  <w:style w:type="paragraph" w:styleId="BodyTextIndent2">
    <w:name w:val="Body Text Indent 2"/>
    <w:basedOn w:val="Normal"/>
    <w:qFormat/>
    <w:pPr>
      <w:spacing w:lineRule="auto" w:line="480" w:before="0" w:after="120"/>
      <w:ind w:left="283" w:right="0" w:hanging="0"/>
    </w:pPr>
    <w:rPr/>
  </w:style>
  <w:style w:type="paragraph" w:styleId="BodyText3">
    <w:name w:val="Body Text 3"/>
    <w:basedOn w:val="Normal"/>
    <w:qFormat/>
    <w:pPr>
      <w:spacing w:before="0" w:after="120"/>
    </w:pPr>
    <w:rPr>
      <w:sz w:val="16"/>
      <w:szCs w:val="16"/>
    </w:rPr>
  </w:style>
  <w:style w:type="paragraph" w:styleId="BodyTextIndent3">
    <w:name w:val="Body Text Indent 3"/>
    <w:basedOn w:val="Normal"/>
    <w:link w:val="32"/>
    <w:qFormat/>
    <w:pPr>
      <w:spacing w:before="0" w:after="120"/>
      <w:ind w:left="283" w:right="0" w:hanging="0"/>
    </w:pPr>
    <w:rPr>
      <w:sz w:val="16"/>
      <w:szCs w:val="16"/>
    </w:rPr>
  </w:style>
  <w:style w:type="paragraph" w:styleId="BodyText2">
    <w:name w:val="Body Text 2"/>
    <w:basedOn w:val="Normal"/>
    <w:qFormat/>
    <w:pPr>
      <w:spacing w:lineRule="auto" w:line="480" w:before="0" w:after="120"/>
    </w:pPr>
    <w:rPr/>
  </w:style>
  <w:style w:type="paragraph" w:styleId="BlockText">
    <w:name w:val="Block Text"/>
    <w:basedOn w:val="Normal"/>
    <w:qFormat/>
    <w:pPr>
      <w:ind w:left="-567" w:right="-766" w:hanging="0"/>
      <w:jc w:val="center"/>
    </w:pPr>
    <w:rPr>
      <w:b/>
      <w:bCs/>
      <w:sz w:val="24"/>
      <w:szCs w:val="20"/>
    </w:rPr>
  </w:style>
  <w:style w:type="paragraph" w:styleId="Style22">
    <w:name w:val="Подпункт"/>
    <w:basedOn w:val="Normal"/>
    <w:link w:val="11"/>
    <w:qFormat/>
    <w:pPr>
      <w:tabs>
        <w:tab w:val="clear" w:pos="708"/>
        <w:tab w:val="left" w:pos="1134" w:leader="none"/>
      </w:tabs>
      <w:snapToGrid w:val="false"/>
      <w:spacing w:lineRule="auto" w:line="360"/>
      <w:ind w:left="1134" w:right="0" w:hanging="1134"/>
      <w:jc w:val="both"/>
    </w:pPr>
    <w:rPr>
      <w:szCs w:val="20"/>
      <w:lang w:val="x-none" w:eastAsia="x-none"/>
    </w:rPr>
  </w:style>
  <w:style w:type="paragraph" w:styleId="24">
    <w:name w:val="Пункт2"/>
    <w:basedOn w:val="Normal"/>
    <w:link w:val="22"/>
    <w:qFormat/>
    <w:pPr>
      <w:keepNext w:val="true"/>
      <w:numPr>
        <w:ilvl w:val="0"/>
        <w:numId w:val="0"/>
      </w:numPr>
      <w:tabs>
        <w:tab w:val="clear" w:pos="708"/>
        <w:tab w:val="left" w:pos="1134" w:leader="none"/>
      </w:tabs>
      <w:suppressAutoHyphens w:val="true"/>
      <w:snapToGrid w:val="false"/>
      <w:spacing w:before="240" w:after="120"/>
      <w:ind w:left="1134" w:right="0" w:hanging="1134"/>
      <w:outlineLvl w:val="2"/>
    </w:pPr>
    <w:rPr>
      <w:b/>
      <w:szCs w:val="20"/>
    </w:rPr>
  </w:style>
  <w:style w:type="paragraph" w:styleId="TOC1">
    <w:name w:val="TOC 1"/>
    <w:basedOn w:val="Normal"/>
    <w:next w:val="Normal"/>
    <w:autoRedefine/>
    <w:pPr>
      <w:spacing w:before="120" w:after="0"/>
    </w:pPr>
    <w:rPr>
      <w:rFonts w:cs="Calibri Light (Заголовки)"/>
      <w:b/>
      <w:bCs/>
      <w:sz w:val="24"/>
      <w:szCs w:val="24"/>
    </w:rPr>
  </w:style>
  <w:style w:type="paragraph" w:styleId="TOC3">
    <w:name w:val="TOC 3"/>
    <w:basedOn w:val="Normal"/>
    <w:next w:val="Normal"/>
    <w:autoRedefine/>
    <w:pPr>
      <w:ind w:left="280" w:right="0" w:hanging="0"/>
    </w:pPr>
    <w:rPr>
      <w:rFonts w:cs="Calibri"/>
      <w:sz w:val="20"/>
      <w:szCs w:val="20"/>
    </w:rPr>
  </w:style>
  <w:style w:type="paragraph" w:styleId="Style23">
    <w:name w:val="Раздел регламента"/>
    <w:basedOn w:val="Normal"/>
    <w:qFormat/>
    <w:pPr/>
    <w:rPr/>
  </w:style>
  <w:style w:type="paragraph" w:styleId="Style24">
    <w:name w:val="Приложение к регламенту"/>
    <w:basedOn w:val="Normal"/>
    <w:qFormat/>
    <w:pPr>
      <w:jc w:val="right"/>
    </w:pPr>
    <w:rPr/>
  </w:style>
  <w:style w:type="paragraph" w:styleId="TOC2">
    <w:name w:val="TOC 2"/>
    <w:basedOn w:val="Normal"/>
    <w:next w:val="Normal"/>
    <w:autoRedefine/>
    <w:pPr>
      <w:spacing w:before="240" w:after="0"/>
    </w:pPr>
    <w:rPr>
      <w:rFonts w:cs="Calibri"/>
      <w:b/>
      <w:bCs/>
      <w:sz w:val="20"/>
      <w:szCs w:val="20"/>
    </w:rPr>
  </w:style>
  <w:style w:type="paragraph" w:styleId="BalloonText">
    <w:name w:val="Balloon Text"/>
    <w:basedOn w:val="Normal"/>
    <w:qFormat/>
    <w:pPr/>
    <w:rPr>
      <w:rFonts w:ascii="Tahoma" w:hAnsi="Tahoma" w:cs="Tahoma"/>
      <w:sz w:val="16"/>
      <w:szCs w:val="16"/>
    </w:rPr>
  </w:style>
  <w:style w:type="paragraph" w:styleId="Annotationtext">
    <w:name w:val="annotation text"/>
    <w:basedOn w:val="Normal"/>
    <w:link w:val="Style11"/>
    <w:qFormat/>
    <w:pPr/>
    <w:rPr>
      <w:sz w:val="20"/>
      <w:szCs w:val="20"/>
    </w:rPr>
  </w:style>
  <w:style w:type="paragraph" w:styleId="Annotationsubject">
    <w:name w:val="annotation subject"/>
    <w:basedOn w:val="Annotationtext"/>
    <w:next w:val="Annotationtext"/>
    <w:qFormat/>
    <w:pPr/>
    <w:rPr>
      <w:b/>
      <w:bCs/>
    </w:rPr>
  </w:style>
  <w:style w:type="paragraph" w:styleId="16">
    <w:name w:val="Обычный (веб)1"/>
    <w:basedOn w:val="Normal"/>
    <w:qFormat/>
    <w:pPr>
      <w:spacing w:before="280" w:after="280"/>
    </w:pPr>
    <w:rPr>
      <w:rFonts w:ascii="Arial Unicode MS" w:hAnsi="Arial Unicode MS" w:eastAsia="Arial Unicode MS" w:cs="Arial Unicode MS"/>
      <w:sz w:val="24"/>
      <w:szCs w:val="24"/>
    </w:rPr>
  </w:style>
  <w:style w:type="paragraph" w:styleId="TOC9">
    <w:name w:val="TOC 9"/>
    <w:basedOn w:val="Normal"/>
    <w:next w:val="Normal"/>
    <w:autoRedefine/>
    <w:pPr>
      <w:ind w:left="1960" w:right="0" w:hanging="0"/>
    </w:pPr>
    <w:rPr>
      <w:rFonts w:ascii="Calibri" w:hAnsi="Calibri" w:cs="Calibri"/>
      <w:sz w:val="20"/>
      <w:szCs w:val="20"/>
    </w:rPr>
  </w:style>
  <w:style w:type="paragraph" w:styleId="TOC5">
    <w:name w:val="TOC 5"/>
    <w:basedOn w:val="Normal"/>
    <w:next w:val="Normal"/>
    <w:autoRedefine/>
    <w:pPr>
      <w:ind w:left="840" w:right="0" w:hanging="0"/>
    </w:pPr>
    <w:rPr>
      <w:rFonts w:ascii="Calibri" w:hAnsi="Calibri" w:cs="Calibri"/>
      <w:sz w:val="20"/>
      <w:szCs w:val="20"/>
    </w:rPr>
  </w:style>
  <w:style w:type="paragraph" w:styleId="TOC4">
    <w:name w:val="TOC 4"/>
    <w:basedOn w:val="Normal"/>
    <w:next w:val="Normal"/>
    <w:autoRedefine/>
    <w:pPr>
      <w:ind w:left="560" w:right="0" w:hanging="0"/>
    </w:pPr>
    <w:rPr>
      <w:rFonts w:cs="Calibri"/>
      <w:sz w:val="20"/>
      <w:szCs w:val="20"/>
    </w:rPr>
  </w:style>
  <w:style w:type="paragraph" w:styleId="25">
    <w:name w:val="Раздел положения 2"/>
    <w:basedOn w:val="Normal"/>
    <w:qFormat/>
    <w:pPr>
      <w:pageBreakBefore/>
      <w:numPr>
        <w:ilvl w:val="0"/>
        <w:numId w:val="0"/>
      </w:numPr>
      <w:jc w:val="both"/>
      <w:outlineLvl w:val="0"/>
    </w:pPr>
    <w:rPr>
      <w:b/>
    </w:rPr>
  </w:style>
  <w:style w:type="paragraph" w:styleId="Style25">
    <w:name w:val="Знак Знак Знак Знак Знак Знак Знак Знак Знак"/>
    <w:basedOn w:val="Normal"/>
    <w:qFormat/>
    <w:pPr>
      <w:spacing w:lineRule="exact" w:line="240" w:before="0" w:after="160"/>
      <w:jc w:val="both"/>
    </w:pPr>
    <w:rPr>
      <w:rFonts w:ascii="Verdana" w:hAnsi="Verdana" w:cs="Verdana"/>
      <w:sz w:val="22"/>
      <w:szCs w:val="22"/>
      <w:lang w:val="en-US" w:eastAsia="en-US"/>
    </w:rPr>
  </w:style>
  <w:style w:type="paragraph" w:styleId="NoSpacing">
    <w:name w:val="No Spacing"/>
    <w:basedOn w:val="Normal"/>
    <w:qFormat/>
    <w:pPr>
      <w:spacing w:lineRule="auto" w:line="360"/>
    </w:pPr>
    <w:rPr>
      <w:rFonts w:eastAsia="Calibri"/>
      <w:sz w:val="24"/>
      <w:szCs w:val="24"/>
    </w:rPr>
  </w:style>
  <w:style w:type="paragraph" w:styleId="Caption1">
    <w:name w:val="caption1"/>
    <w:basedOn w:val="Normal"/>
    <w:next w:val="Normal"/>
    <w:qFormat/>
    <w:pPr/>
    <w:rPr>
      <w:rFonts w:eastAsia="Calibri"/>
      <w:b/>
      <w:bCs/>
      <w:color w:val="4F81BD"/>
      <w:sz w:val="18"/>
      <w:szCs w:val="18"/>
    </w:rPr>
  </w:style>
  <w:style w:type="paragraph" w:styleId="Subtitle">
    <w:name w:val="Subtitle"/>
    <w:basedOn w:val="Normal"/>
    <w:next w:val="Normal"/>
    <w:link w:val="Style2"/>
    <w:qFormat/>
    <w:pPr>
      <w:numPr>
        <w:ilvl w:val="0"/>
        <w:numId w:val="0"/>
      </w:numPr>
      <w:ind w:left="1066" w:right="0" w:firstLine="709"/>
    </w:pPr>
    <w:rPr>
      <w:rFonts w:ascii="Cambria" w:hAnsi="Cambria"/>
      <w:i/>
      <w:iCs/>
      <w:color w:val="4F81BD"/>
      <w:spacing w:val="15"/>
      <w:sz w:val="24"/>
      <w:szCs w:val="24"/>
      <w:lang w:val="x-none" w:eastAsia="x-none"/>
    </w:rPr>
  </w:style>
  <w:style w:type="paragraph" w:styleId="ListParagraph">
    <w:name w:val="List Paragraph"/>
    <w:basedOn w:val="Normal"/>
    <w:link w:val="Style7"/>
    <w:qFormat/>
    <w:pPr>
      <w:spacing w:before="0" w:after="0"/>
      <w:ind w:left="720" w:right="0" w:hanging="0"/>
      <w:contextualSpacing/>
    </w:pPr>
    <w:rPr>
      <w:rFonts w:eastAsia="Calibri"/>
      <w:sz w:val="24"/>
      <w:szCs w:val="24"/>
    </w:rPr>
  </w:style>
  <w:style w:type="paragraph" w:styleId="Quote">
    <w:name w:val="Quote"/>
    <w:basedOn w:val="Normal"/>
    <w:next w:val="Normal"/>
    <w:link w:val="21"/>
    <w:qFormat/>
    <w:pPr/>
    <w:rPr>
      <w:rFonts w:ascii="Calibri" w:hAnsi="Calibri" w:eastAsia="Calibri"/>
      <w:i/>
      <w:iCs/>
      <w:color w:val="000000"/>
      <w:sz w:val="20"/>
      <w:szCs w:val="20"/>
      <w:lang w:val="x-none" w:eastAsia="x-none"/>
    </w:rPr>
  </w:style>
  <w:style w:type="paragraph" w:styleId="IntenseQuote">
    <w:name w:val="Intense Quote"/>
    <w:basedOn w:val="Normal"/>
    <w:next w:val="Normal"/>
    <w:link w:val="Style3"/>
    <w:qFormat/>
    <w:pPr>
      <w:pBdr>
        <w:bottom w:val="single" w:sz="4" w:space="4" w:color="4F81BD"/>
      </w:pBdr>
      <w:spacing w:before="200" w:after="280"/>
      <w:ind w:left="936" w:right="936" w:hanging="0"/>
    </w:pPr>
    <w:rPr>
      <w:rFonts w:ascii="Calibri" w:hAnsi="Calibri" w:eastAsia="Calibri"/>
      <w:b/>
      <w:bCs/>
      <w:i/>
      <w:iCs/>
      <w:color w:val="4F81BD"/>
      <w:sz w:val="20"/>
      <w:szCs w:val="20"/>
      <w:lang w:val="x-none" w:eastAsia="x-none"/>
    </w:rPr>
  </w:style>
  <w:style w:type="paragraph" w:styleId="IndexHeading">
    <w:name w:val="Index Heading"/>
    <w:basedOn w:val="Style16"/>
    <w:pPr/>
    <w:rPr/>
  </w:style>
  <w:style w:type="paragraph" w:styleId="TOCHeading">
    <w:name w:val="TOC Heading"/>
    <w:basedOn w:val="Heading1"/>
    <w:next w:val="Normal"/>
    <w:qFormat/>
    <w:pPr>
      <w:keepLines/>
      <w:spacing w:before="480" w:after="60"/>
      <w:outlineLvl w:val="9"/>
    </w:pPr>
    <w:rPr>
      <w:rFonts w:ascii="Cambria" w:hAnsi="Cambria"/>
      <w:bCs/>
      <w:color w:val="365F91"/>
    </w:rPr>
  </w:style>
  <w:style w:type="paragraph" w:styleId="E-mailSignature">
    <w:name w:val="E-mail Signature"/>
    <w:basedOn w:val="Normal"/>
    <w:link w:val="Style4"/>
    <w:qFormat/>
    <w:pPr/>
    <w:rPr>
      <w:rFonts w:eastAsia="Calibri"/>
      <w:sz w:val="24"/>
      <w:szCs w:val="24"/>
      <w:lang w:val="x-none" w:eastAsia="x-none"/>
    </w:rPr>
  </w:style>
  <w:style w:type="paragraph" w:styleId="Style26">
    <w:name w:val="Знак"/>
    <w:basedOn w:val="Normal"/>
    <w:qFormat/>
    <w:pPr>
      <w:spacing w:lineRule="exact" w:line="240" w:before="0" w:after="160"/>
    </w:pPr>
    <w:rPr>
      <w:rFonts w:ascii="Verdana" w:hAnsi="Verdana" w:cs="Verdana"/>
      <w:sz w:val="20"/>
      <w:szCs w:val="20"/>
      <w:lang w:val="en-US" w:eastAsia="en-US"/>
    </w:rPr>
  </w:style>
  <w:style w:type="paragraph" w:styleId="34">
    <w:name w:val="Нумерованный список ур3"/>
    <w:basedOn w:val="Normal"/>
    <w:qFormat/>
    <w:pPr>
      <w:numPr>
        <w:ilvl w:val="2"/>
        <w:numId w:val="2"/>
      </w:numPr>
      <w:jc w:val="both"/>
    </w:pPr>
    <w:rPr>
      <w:rFonts w:ascii="Garamond" w:hAnsi="Garamond"/>
      <w:sz w:val="24"/>
      <w:szCs w:val="20"/>
    </w:rPr>
  </w:style>
  <w:style w:type="paragraph" w:styleId="ListBullet4">
    <w:name w:val="List Bullet 4"/>
    <w:basedOn w:val="Normal"/>
    <w:qFormat/>
    <w:pPr>
      <w:numPr>
        <w:ilvl w:val="0"/>
        <w:numId w:val="2"/>
      </w:numPr>
      <w:spacing w:before="120" w:after="0"/>
      <w:jc w:val="both"/>
    </w:pPr>
    <w:rPr>
      <w:rFonts w:ascii="Garamond" w:hAnsi="Garamond"/>
      <w:sz w:val="24"/>
      <w:szCs w:val="20"/>
    </w:rPr>
  </w:style>
  <w:style w:type="paragraph" w:styleId="26">
    <w:name w:val="Нумерованный список ур2"/>
    <w:basedOn w:val="Normal"/>
    <w:qFormat/>
    <w:pPr>
      <w:numPr>
        <w:ilvl w:val="1"/>
        <w:numId w:val="2"/>
      </w:numPr>
      <w:spacing w:before="120" w:after="0"/>
      <w:jc w:val="both"/>
    </w:pPr>
    <w:rPr>
      <w:rFonts w:ascii="Garamond" w:hAnsi="Garamond"/>
      <w:sz w:val="24"/>
      <w:szCs w:val="20"/>
    </w:rPr>
  </w:style>
  <w:style w:type="paragraph" w:styleId="Revision">
    <w:name w:val="Revision"/>
    <w:qFormat/>
    <w:pPr>
      <w:widowControl/>
      <w:suppressAutoHyphens w:val="true"/>
      <w:overflowPunct w:val="fals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name w:val="ConsPlusNormal"/>
    <w:qFormat/>
    <w:pPr>
      <w:widowControl w:val="false"/>
      <w:suppressAutoHyphens w:val="true"/>
      <w:overflowPunct w:val="false"/>
      <w:bidi w:val="0"/>
      <w:spacing w:before="0" w:after="0"/>
      <w:ind w:left="0" w:right="0" w:firstLine="720"/>
      <w:jc w:val="left"/>
    </w:pPr>
    <w:rPr>
      <w:rFonts w:ascii="Arial" w:hAnsi="Arial" w:eastAsia="Times New Roman" w:cs="Arial"/>
      <w:color w:val="auto"/>
      <w:kern w:val="0"/>
      <w:sz w:val="20"/>
      <w:szCs w:val="20"/>
      <w:lang w:val="ru-RU" w:eastAsia="ru-RU" w:bidi="ar-SA"/>
    </w:rPr>
  </w:style>
  <w:style w:type="paragraph" w:styleId="35">
    <w:name w:val="Знак Знак3 Знак Знак"/>
    <w:basedOn w:val="Normal"/>
    <w:qFormat/>
    <w:pPr>
      <w:spacing w:lineRule="exact" w:line="240" w:before="0" w:after="160"/>
      <w:jc w:val="both"/>
    </w:pPr>
    <w:rPr>
      <w:rFonts w:ascii="Verdana" w:hAnsi="Verdana" w:cs="Verdana"/>
      <w:sz w:val="22"/>
      <w:szCs w:val="22"/>
      <w:lang w:val="en-US" w:eastAsia="en-US"/>
    </w:rPr>
  </w:style>
  <w:style w:type="paragraph" w:styleId="Style27">
    <w:name w:val="Пункт"/>
    <w:basedOn w:val="Normal"/>
    <w:qFormat/>
    <w:pPr>
      <w:widowControl w:val="false"/>
      <w:tabs>
        <w:tab w:val="clear" w:pos="708"/>
        <w:tab w:val="left" w:pos="1134" w:leader="none"/>
      </w:tabs>
      <w:spacing w:lineRule="auto" w:line="360" w:before="120" w:after="0"/>
      <w:ind w:left="1134" w:right="800" w:hanging="1134"/>
      <w:jc w:val="both"/>
    </w:pPr>
    <w:rPr>
      <w:rFonts w:ascii="Arial" w:hAnsi="Arial"/>
      <w:b/>
      <w:i/>
      <w:szCs w:val="20"/>
    </w:rPr>
  </w:style>
  <w:style w:type="paragraph" w:styleId="17">
    <w:name w:val="Абзац списка1"/>
    <w:basedOn w:val="Normal"/>
    <w:qFormat/>
    <w:pPr>
      <w:spacing w:lineRule="auto" w:line="276" w:before="0" w:after="200"/>
      <w:ind w:left="720" w:right="0" w:hanging="0"/>
      <w:contextualSpacing/>
    </w:pPr>
    <w:rPr>
      <w:rFonts w:ascii="Calibri" w:hAnsi="Calibri"/>
      <w:sz w:val="22"/>
      <w:szCs w:val="22"/>
      <w:lang w:eastAsia="en-US"/>
    </w:rPr>
  </w:style>
  <w:style w:type="paragraph" w:styleId="Style28">
    <w:name w:val="Таблица"/>
    <w:basedOn w:val="Normal"/>
    <w:qFormat/>
    <w:pPr>
      <w:keepNext w:val="true"/>
      <w:spacing w:before="60" w:after="60"/>
      <w:jc w:val="center"/>
    </w:pPr>
    <w:rPr>
      <w:rFonts w:eastAsia="Calibri"/>
      <w:b/>
      <w:sz w:val="24"/>
      <w:szCs w:val="24"/>
      <w:lang w:val="x-none" w:eastAsia="x-none"/>
    </w:rPr>
  </w:style>
  <w:style w:type="paragraph" w:styleId="Style29">
    <w:name w:val="Таблица шапка"/>
    <w:basedOn w:val="Normal"/>
    <w:qFormat/>
    <w:pPr>
      <w:keepNext w:val="true"/>
      <w:spacing w:before="40" w:after="40"/>
      <w:ind w:left="57" w:right="57" w:hanging="0"/>
    </w:pPr>
    <w:rPr>
      <w:sz w:val="22"/>
      <w:szCs w:val="26"/>
    </w:rPr>
  </w:style>
  <w:style w:type="paragraph" w:styleId="Style30">
    <w:name w:val="Подподпункт"/>
    <w:basedOn w:val="Style22"/>
    <w:link w:val="Style9"/>
    <w:qFormat/>
    <w:pPr>
      <w:tabs>
        <w:tab w:val="clear" w:pos="1134"/>
        <w:tab w:val="left" w:pos="5104" w:leader="none"/>
      </w:tabs>
      <w:snapToGrid w:val="true"/>
      <w:spacing w:lineRule="auto" w:line="240" w:before="120" w:after="0"/>
      <w:ind w:left="5104" w:right="0" w:hanging="567"/>
    </w:pPr>
    <w:rPr>
      <w:sz w:val="26"/>
      <w:szCs w:val="26"/>
      <w:lang w:val="ru-RU" w:eastAsia="ru-RU"/>
    </w:rPr>
  </w:style>
  <w:style w:type="paragraph" w:styleId="Style31">
    <w:name w:val="УРОВЕНЬ_(а)"/>
    <w:basedOn w:val="ListParagraph"/>
    <w:qFormat/>
    <w:pPr>
      <w:numPr>
        <w:ilvl w:val="3"/>
        <w:numId w:val="4"/>
      </w:numPr>
      <w:spacing w:lineRule="exact" w:line="360" w:before="120" w:after="0"/>
      <w:contextualSpacing w:val="false"/>
      <w:jc w:val="both"/>
      <w:outlineLvl w:val="3"/>
    </w:pPr>
    <w:rPr>
      <w:sz w:val="26"/>
      <w:szCs w:val="28"/>
      <w:lang w:eastAsia="en-US"/>
    </w:rPr>
  </w:style>
  <w:style w:type="paragraph" w:styleId="-">
    <w:name w:val="УРОВЕНЬ_-"/>
    <w:basedOn w:val="ListParagraph"/>
    <w:qFormat/>
    <w:pPr>
      <w:numPr>
        <w:ilvl w:val="4"/>
        <w:numId w:val="4"/>
      </w:numPr>
      <w:spacing w:lineRule="exact" w:line="360" w:before="120" w:after="0"/>
      <w:contextualSpacing w:val="false"/>
      <w:jc w:val="both"/>
      <w:outlineLvl w:val="4"/>
    </w:pPr>
    <w:rPr>
      <w:sz w:val="26"/>
      <w:szCs w:val="28"/>
      <w:lang w:eastAsia="en-US"/>
    </w:rPr>
  </w:style>
  <w:style w:type="paragraph" w:styleId="27">
    <w:name w:val="УРОВЕНЬ_Абзац_тип2"/>
    <w:basedOn w:val="ListParagraph"/>
    <w:qFormat/>
    <w:pPr>
      <w:numPr>
        <w:ilvl w:val="6"/>
        <w:numId w:val="4"/>
      </w:numPr>
      <w:spacing w:lineRule="exact" w:line="360" w:before="120" w:after="0"/>
      <w:contextualSpacing w:val="false"/>
      <w:jc w:val="both"/>
    </w:pPr>
    <w:rPr>
      <w:sz w:val="26"/>
      <w:szCs w:val="28"/>
      <w:lang w:eastAsia="en-US"/>
    </w:rPr>
  </w:style>
  <w:style w:type="paragraph" w:styleId="36">
    <w:name w:val="УРОВЕНЬ_Абзац_тип3"/>
    <w:basedOn w:val="ListParagraph"/>
    <w:link w:val="31"/>
    <w:qFormat/>
    <w:pPr>
      <w:numPr>
        <w:ilvl w:val="7"/>
        <w:numId w:val="4"/>
      </w:numPr>
      <w:spacing w:lineRule="exact" w:line="360" w:before="120" w:after="0"/>
      <w:contextualSpacing w:val="false"/>
      <w:jc w:val="both"/>
    </w:pPr>
    <w:rPr>
      <w:sz w:val="26"/>
      <w:szCs w:val="28"/>
      <w:lang w:eastAsia="en-US"/>
    </w:rPr>
  </w:style>
  <w:style w:type="paragraph" w:styleId="Style32">
    <w:name w:val="УРОВЕНЬ_Подпись"/>
    <w:basedOn w:val="ListParagraph"/>
    <w:qFormat/>
    <w:pPr>
      <w:keepNext w:val="true"/>
      <w:numPr>
        <w:ilvl w:val="5"/>
        <w:numId w:val="4"/>
      </w:numPr>
      <w:spacing w:lineRule="exact" w:line="360" w:before="120" w:after="120"/>
      <w:contextualSpacing w:val="false"/>
      <w:jc w:val="right"/>
      <w:outlineLvl w:val="3"/>
    </w:pPr>
    <w:rPr>
      <w:sz w:val="26"/>
      <w:szCs w:val="28"/>
      <w:lang w:eastAsia="en-US"/>
    </w:rPr>
  </w:style>
  <w:style w:type="paragraph" w:styleId="18">
    <w:name w:val="Стиль Заголовок 1 + по ширине"/>
    <w:basedOn w:val="Heading1"/>
    <w:qFormat/>
    <w:pPr>
      <w:keepLines/>
      <w:numPr>
        <w:ilvl w:val="0"/>
        <w:numId w:val="0"/>
      </w:numPr>
      <w:tabs>
        <w:tab w:val="clear" w:pos="708"/>
        <w:tab w:val="left" w:pos="567" w:leader="none"/>
      </w:tabs>
      <w:suppressAutoHyphens w:val="true"/>
      <w:spacing w:before="480" w:after="240"/>
      <w:ind w:left="567" w:right="0" w:hanging="567"/>
      <w:jc w:val="both"/>
    </w:pPr>
    <w:rPr>
      <w:rFonts w:ascii="Arial" w:hAnsi="Arial" w:eastAsia="Times New Roman"/>
      <w:bCs/>
      <w:kern w:val="2"/>
      <w:sz w:val="40"/>
      <w:szCs w:val="20"/>
      <w:lang w:val="ru-RU" w:eastAsia="ru-RU"/>
    </w:rPr>
  </w:style>
  <w:style w:type="paragraph" w:styleId="EndnoteText">
    <w:name w:val="Endnote Text"/>
    <w:basedOn w:val="Normal"/>
    <w:link w:val="Style12"/>
    <w:pPr/>
    <w:rPr>
      <w:sz w:val="20"/>
      <w:szCs w:val="20"/>
    </w:rPr>
  </w:style>
  <w:style w:type="paragraph" w:styleId="28">
    <w:name w:val="Заголовок 2 КВВ"/>
    <w:basedOn w:val="Normal"/>
    <w:qFormat/>
    <w:pPr>
      <w:keepNext w:val="true"/>
      <w:numPr>
        <w:ilvl w:val="0"/>
        <w:numId w:val="5"/>
      </w:numPr>
      <w:suppressAutoHyphens w:val="true"/>
      <w:spacing w:before="120" w:after="120"/>
      <w:jc w:val="both"/>
      <w:outlineLvl w:val="0"/>
    </w:pPr>
    <w:rPr>
      <w:b/>
      <w:kern w:val="2"/>
      <w:sz w:val="24"/>
      <w:szCs w:val="20"/>
      <w:lang w:eastAsia="x-none"/>
    </w:rPr>
  </w:style>
  <w:style w:type="paragraph" w:styleId="Style33">
    <w:name w:val="Таблица текст"/>
    <w:basedOn w:val="Normal"/>
    <w:qFormat/>
    <w:pPr>
      <w:spacing w:before="40" w:after="40"/>
      <w:ind w:left="57" w:right="57" w:hanging="0"/>
    </w:pPr>
    <w:rPr>
      <w:sz w:val="24"/>
      <w:szCs w:val="26"/>
    </w:rPr>
  </w:style>
  <w:style w:type="paragraph" w:styleId="NormalWeb">
    <w:name w:val="Normal (Web)"/>
    <w:basedOn w:val="Normal"/>
    <w:qFormat/>
    <w:pPr>
      <w:spacing w:before="280" w:after="280"/>
    </w:pPr>
    <w:rPr>
      <w:sz w:val="24"/>
      <w:szCs w:val="24"/>
    </w:rPr>
  </w:style>
  <w:style w:type="paragraph" w:styleId="19">
    <w:name w:val="УРОВЕНЬ_1."/>
    <w:basedOn w:val="ListParagraph"/>
    <w:link w:val="12"/>
    <w:qFormat/>
    <w:pPr>
      <w:keepNext w:val="true"/>
      <w:keepLines/>
      <w:numPr>
        <w:ilvl w:val="0"/>
        <w:numId w:val="0"/>
      </w:numPr>
      <w:spacing w:lineRule="auto" w:line="276" w:before="240" w:after="120"/>
      <w:ind w:left="0" w:right="0" w:hanging="0"/>
      <w:contextualSpacing w:val="false"/>
      <w:jc w:val="both"/>
      <w:outlineLvl w:val="0"/>
    </w:pPr>
    <w:rPr>
      <w:caps/>
      <w:sz w:val="28"/>
      <w:szCs w:val="28"/>
      <w:lang w:eastAsia="en-US"/>
    </w:rPr>
  </w:style>
  <w:style w:type="paragraph" w:styleId="TOC6">
    <w:name w:val="TOC 6"/>
    <w:basedOn w:val="Normal"/>
    <w:next w:val="Normal"/>
    <w:autoRedefine/>
    <w:pPr>
      <w:ind w:left="1120" w:right="0" w:hanging="0"/>
    </w:pPr>
    <w:rPr>
      <w:rFonts w:ascii="Calibri" w:hAnsi="Calibri" w:cs="Calibri"/>
      <w:sz w:val="20"/>
      <w:szCs w:val="20"/>
    </w:rPr>
  </w:style>
  <w:style w:type="paragraph" w:styleId="TOC7">
    <w:name w:val="TOC 7"/>
    <w:basedOn w:val="Normal"/>
    <w:next w:val="Normal"/>
    <w:autoRedefine/>
    <w:pPr>
      <w:ind w:left="1400" w:right="0" w:hanging="0"/>
    </w:pPr>
    <w:rPr>
      <w:rFonts w:ascii="Calibri" w:hAnsi="Calibri" w:cs="Calibri"/>
      <w:sz w:val="20"/>
      <w:szCs w:val="20"/>
    </w:rPr>
  </w:style>
  <w:style w:type="paragraph" w:styleId="TOC8">
    <w:name w:val="TOC 8"/>
    <w:basedOn w:val="Normal"/>
    <w:next w:val="Normal"/>
    <w:autoRedefine/>
    <w:pPr>
      <w:ind w:left="1680" w:right="0" w:hanging="0"/>
    </w:pPr>
    <w:rPr>
      <w:rFonts w:ascii="Calibri" w:hAnsi="Calibri" w:cs="Calibri"/>
      <w:sz w:val="20"/>
      <w:szCs w:val="20"/>
    </w:rPr>
  </w:style>
  <w:style w:type="paragraph" w:styleId="Style34">
    <w:name w:val="Содержимое врезки"/>
    <w:basedOn w:val="Normal"/>
    <w:qFormat/>
    <w:pPr/>
    <w:rPr/>
  </w:style>
  <w:style w:type="paragraph" w:styleId="Style35">
    <w:name w:val="Содержимое таблицы"/>
    <w:basedOn w:val="Normal"/>
    <w:qFormat/>
    <w:pPr>
      <w:widowControl w:val="false"/>
      <w:suppressLineNumbers/>
    </w:pPr>
    <w:rPr/>
  </w:style>
  <w:style w:type="paragraph" w:styleId="Style36">
    <w:name w:val="Заголовок таблицы"/>
    <w:basedOn w:val="Style35"/>
    <w:qFormat/>
    <w:pPr>
      <w:suppressLineNumbers/>
      <w:jc w:val="center"/>
    </w:pPr>
    <w:rPr>
      <w:b/>
      <w:bCs/>
    </w:rPr>
  </w:style>
  <w:style w:type="numbering" w:styleId="110">
    <w:name w:val="Стиль1"/>
    <w:qFormat/>
  </w:style>
  <w:style w:type="numbering" w:styleId="29">
    <w:name w:val="Стиль2"/>
    <w:qFormat/>
  </w:style>
  <w:style w:type="numbering" w:styleId="21627633561">
    <w:name w:val="21627633561"/>
    <w:qFormat/>
  </w:style>
  <w:style w:type="numbering" w:styleId="10876066911">
    <w:name w:val="10876066911"/>
    <w:qFormat/>
  </w:style>
  <w:style w:type="numbering" w:styleId="18379640481">
    <w:name w:val="1837964048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736</TotalTime>
  <Application>AlterOffice/3.4.0.9$Linux_X86_64 LibreOffice_project/b8daf9e823b1a5463a2f48435ddc2e8696e7d4fc</Application>
  <AppVersion>15.0000</AppVersion>
  <Pages>8</Pages>
  <Words>2094</Words>
  <Characters>14006</Characters>
  <CharactersWithSpaces>15890</CharactersWithSpaces>
  <Paragraphs>215</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2021-04-04T09:36:00Z</dcterms:created>
  <dc:creator>Быстров Олег Геннадьевич</dc:creator>
  <dc:description/>
  <dc:language>ru-RU</dc:language>
  <cp:lastModifiedBy>streletsva@corp.gidroogk.com</cp:lastModifiedBy>
  <cp:lastPrinted>2026-01-27T10:26:44Z</cp:lastPrinted>
  <dcterms:modified xsi:type="dcterms:W3CDTF">2026-10-30T11:43:35Z</dcterms:modified>
  <cp:revision>75</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