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ind w:firstLine="708"/>
        <w:jc w:val="right"/>
        <w:rPr>
          <w:rFonts w:eastAsia="Calibri"/>
          <w:b/>
        </w:rPr>
      </w:pPr>
      <w:r>
        <w:rPr>
          <w:rFonts w:eastAsia="Calibri"/>
          <w:b/>
        </w:rPr>
        <w:t>«УТВЕРЖДАЮ»</w:t>
      </w:r>
    </w:p>
    <w:p>
      <w:pPr>
        <w:pStyle w:val="Normal"/>
        <w:keepNext w:val="true"/>
        <w:keepLines/>
        <w:jc w:val="right"/>
        <w:rPr>
          <w:rFonts w:eastAsia="Calibri"/>
          <w:b/>
        </w:rPr>
      </w:pPr>
      <w:r>
        <w:rPr>
          <w:rFonts w:eastAsia="Calibri"/>
          <w:b/>
        </w:rPr>
        <w:t>Главный инженер ЦЭС</w:t>
      </w:r>
    </w:p>
    <w:p>
      <w:pPr>
        <w:pStyle w:val="Normal"/>
        <w:keepNext w:val="true"/>
        <w:keepLines/>
        <w:jc w:val="right"/>
        <w:rPr>
          <w:rFonts w:eastAsia="Calibri"/>
          <w:b/>
        </w:rPr>
      </w:pPr>
      <w:r>
        <w:rPr>
          <w:rFonts w:eastAsia="Calibri"/>
          <w:b/>
        </w:rPr>
        <w:t>ПАО «Якутскэнерго»</w:t>
      </w:r>
    </w:p>
    <w:p>
      <w:pPr>
        <w:pStyle w:val="Normal"/>
        <w:keepNext w:val="true"/>
        <w:keepLines/>
        <w:jc w:val="right"/>
        <w:rPr>
          <w:rFonts w:eastAsia="Calibri"/>
          <w:b/>
        </w:rPr>
      </w:pPr>
      <w:r>
        <w:rPr>
          <w:rFonts w:eastAsia="Calibri"/>
          <w:b/>
        </w:rPr>
        <w:t>_______________М.В. Варейкис</w:t>
      </w:r>
    </w:p>
    <w:p>
      <w:pPr>
        <w:pStyle w:val="Normal"/>
        <w:keepNext w:val="true"/>
        <w:keepLines/>
        <w:jc w:val="right"/>
        <w:rPr>
          <w:rFonts w:eastAsia="Calibri"/>
          <w:b/>
        </w:rPr>
      </w:pPr>
      <w:r>
        <w:rPr>
          <w:rFonts w:eastAsia="Calibri"/>
          <w:b/>
        </w:rPr>
        <w:t>«_____» ____________2026г.</w:t>
      </w:r>
    </w:p>
    <w:p>
      <w:pPr>
        <w:pStyle w:val="Normal"/>
        <w:keepNext w:val="true"/>
        <w:keepLines/>
        <w:ind w:firstLine="708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rFonts w:eastAsia="Calibri"/>
          <w:b/>
        </w:rPr>
        <w:t xml:space="preserve">«ОКПД2 </w:t>
      </w:r>
      <w:r>
        <w:rPr>
          <w:b/>
          <w:bCs/>
          <w:szCs w:val="24"/>
        </w:rPr>
        <w:t>26.</w:t>
      </w:r>
      <w:r>
        <w:rPr>
          <w:b/>
          <w:bCs/>
          <w:szCs w:val="24"/>
        </w:rPr>
        <w:t>51</w:t>
      </w:r>
      <w:r>
        <w:rPr>
          <w:b/>
          <w:bCs/>
          <w:szCs w:val="24"/>
        </w:rPr>
        <w:t>.</w:t>
      </w:r>
      <w:r>
        <w:rPr>
          <w:b/>
          <w:bCs/>
          <w:szCs w:val="24"/>
        </w:rPr>
        <w:t>66</w:t>
      </w:r>
      <w:r>
        <w:rPr>
          <w:b/>
          <w:bCs/>
          <w:szCs w:val="24"/>
        </w:rPr>
        <w:t>.1</w:t>
      </w:r>
      <w:r>
        <w:rPr>
          <w:b/>
          <w:bCs/>
          <w:szCs w:val="24"/>
        </w:rPr>
        <w:t>21</w:t>
      </w:r>
      <w:r>
        <w:rPr>
          <w:b/>
          <w:bCs/>
          <w:szCs w:val="24"/>
        </w:rPr>
        <w:t xml:space="preserve"> </w:t>
      </w:r>
      <w:r>
        <w:rPr>
          <w:rFonts w:eastAsia="Calibri"/>
          <w:b/>
          <w:bCs/>
          <w:szCs w:val="24"/>
        </w:rPr>
        <w:t xml:space="preserve">Поставка визуально-акустической камеры </w:t>
      </w:r>
      <w:r>
        <w:rPr>
          <w:rFonts w:eastAsia="Calibri"/>
          <w:b/>
        </w:rPr>
        <w:t>в рамках инвестиционного проекта Q_508-9336»</w:t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br w:type="page"/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</w:rPr>
            <w:instrText xml:space="preserve"> TOC \z \o "1-4" \u \h</w:instrText>
          </w:r>
          <w:r>
            <w:rPr>
              <w:webHidden/>
              <w:rStyle w:val="Style14"/>
            </w:rPr>
            <w:fldChar w:fldCharType="separate"/>
          </w:r>
          <w:hyperlink w:anchor="_Toc231222916">
            <w:r>
              <w:rPr>
                <w:webHidden/>
                <w:rStyle w:val="Style1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1222917">
            <w:r>
              <w:rPr>
                <w:webHidden/>
                <w:rStyle w:val="Style14"/>
                <w:iCs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1222918">
            <w:r>
              <w:rPr>
                <w:webHidden/>
                <w:rStyle w:val="Style14"/>
                <w:iCs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1222919">
            <w:r>
              <w:rPr>
                <w:webHidden/>
                <w:rStyle w:val="Style14"/>
                <w:iCs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1222920">
            <w:r>
              <w:rPr>
                <w:webHidden/>
                <w:rStyle w:val="Style1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1222921">
            <w:r>
              <w:rPr>
                <w:webHidden/>
                <w:rStyle w:val="Style14"/>
                <w:iCs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1222922">
            <w:r>
              <w:rPr>
                <w:webHidden/>
                <w:rStyle w:val="Style1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1222923">
            <w:r>
              <w:rPr>
                <w:webHidden/>
                <w:rStyle w:val="Style14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1222924">
            <w:r>
              <w:rPr>
                <w:webHidden/>
                <w:rStyle w:val="Style1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1222925">
            <w:r>
              <w:rPr>
                <w:webHidden/>
                <w:rStyle w:val="Style14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1222926">
            <w:r>
              <w:rPr>
                <w:webHidden/>
                <w:rStyle w:val="Style14"/>
                <w:iCs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1222927">
            <w:r>
              <w:rPr>
                <w:webHidden/>
                <w:rStyle w:val="Style14"/>
              </w:rPr>
              <w:t>Таблица 2.2.1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_Toc231222927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1222943">
            <w:r>
              <w:rPr>
                <w:webHidden/>
                <w:rStyle w:val="Style1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_Toc231222943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eastAsia="新細明體" w:cs="Times New Roman" w:eastAsiaTheme="minorEastAsia"/>
          <w:b w:val="false"/>
          <w:bCs w:val="false"/>
        </w:rPr>
      </w:pPr>
      <w:r>
        <w:rPr>
          <w:rFonts w:eastAsia="新細明體" w:cs="Times New Roman" w:eastAsiaTheme="minorEastAsia"/>
          <w:b w:val="false"/>
          <w:bCs w:val="false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eastAsia="新細明體" w:cs="Times New Roman" w:eastAsiaTheme="minorEastAsia"/>
          <w:b w:val="false"/>
          <w:bCs w:val="false"/>
        </w:rPr>
      </w:pPr>
      <w:r>
        <w:rPr>
          <w:rFonts w:eastAsia="新細明體" w:cs="Times New Roman" w:eastAsiaTheme="minorEastAsia"/>
          <w:b w:val="false"/>
          <w:bCs w:val="false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231222916"/>
      <w:bookmarkStart w:id="1" w:name="_Toc51339692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231222917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80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71"/>
        <w:gridCol w:w="6803"/>
      </w:tblGrid>
      <w:tr>
        <w:trPr>
          <w:cantSplit w:val="true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КЛ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Кабельная линия</w:t>
            </w:r>
          </w:p>
        </w:tc>
      </w:tr>
      <w:tr>
        <w:trPr>
          <w:cantSplit w:val="true"/>
        </w:trPr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lang w:eastAsia="x-none"/>
              </w:rPr>
              <w:t>ПС</w:t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Подстанция</w:t>
            </w:r>
          </w:p>
        </w:tc>
      </w:tr>
      <w:tr>
        <w:trPr>
          <w:cantSplit w:val="true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ВЛ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Воздушная линия</w:t>
            </w:r>
          </w:p>
        </w:tc>
      </w:tr>
      <w:tr>
        <w:trPr>
          <w:trHeight w:val="567" w:hRule="atLeast"/>
          <w:cantSplit w:val="true"/>
        </w:trPr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  <w:tc>
          <w:tcPr>
            <w:tcW w:w="6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231222918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ind w:firstLine="567"/>
        <w:jc w:val="both"/>
        <w:rPr>
          <w:bCs/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Визуально-акустическая камера (</w:t>
      </w:r>
      <w:r>
        <w:rPr>
          <w:sz w:val="24"/>
          <w:szCs w:val="24"/>
          <w:lang w:val="en-US" w:eastAsia="x-none"/>
        </w:rPr>
        <w:t>NL</w:t>
      </w:r>
      <w:r>
        <w:rPr>
          <w:sz w:val="24"/>
          <w:szCs w:val="24"/>
          <w:lang w:eastAsia="x-none"/>
        </w:rPr>
        <w:t xml:space="preserve">-камера) </w:t>
      </w:r>
    </w:p>
    <w:p>
      <w:pPr>
        <w:pStyle w:val="Heading4"/>
        <w:numPr>
          <w:ilvl w:val="1"/>
          <w:numId w:val="3"/>
        </w:numPr>
        <w:ind w:left="431" w:hanging="431"/>
        <w:rPr/>
      </w:pPr>
      <w:bookmarkStart w:id="6" w:name="_Toc231222919"/>
      <w:bookmarkStart w:id="7" w:name="_Toc46743507"/>
      <w:r>
        <w:rPr/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6"/>
    </w:p>
    <w:p>
      <w:pPr>
        <w:pStyle w:val="Normal"/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lang w:eastAsia="x-none"/>
        </w:rPr>
        <w:t>Акустическая камера</w:t>
      </w:r>
      <w:r>
        <w:rPr>
          <w:sz w:val="24"/>
          <w:szCs w:val="24"/>
        </w:rPr>
        <w:t xml:space="preserve"> закупается в целях </w:t>
      </w:r>
      <w:r>
        <w:rPr>
          <w:sz w:val="24"/>
          <w:szCs w:val="24"/>
          <w:lang w:eastAsia="x-none"/>
        </w:rPr>
        <w:t>диагностики КЛ, ПС, ВЛ неразрушающим методом контроля изоляции электрооборудования. Обнаружение частичных разрядов.</w:t>
      </w:r>
    </w:p>
    <w:p>
      <w:pPr>
        <w:pStyle w:val="Normal"/>
        <w:tabs>
          <w:tab w:val="clear" w:pos="708"/>
          <w:tab w:val="left" w:pos="567" w:leader="none"/>
        </w:tabs>
        <w:ind w:right="-2" w:hanging="0"/>
        <w:jc w:val="both"/>
        <w:rPr>
          <w:b/>
          <w:bCs/>
        </w:rPr>
      </w:pPr>
      <w:r>
        <w:rPr>
          <w:rFonts w:eastAsia="Calibri"/>
          <w:b/>
          <w:bCs/>
          <w:sz w:val="24"/>
          <w:szCs w:val="24"/>
        </w:rPr>
        <w:t xml:space="preserve">1.4. </w:t>
      </w:r>
      <w:bookmarkStart w:id="8" w:name="_Toc180047691"/>
      <w:r>
        <w:rPr>
          <w:rFonts w:eastAsia="Calibri"/>
          <w:b/>
          <w:bCs/>
          <w:sz w:val="24"/>
          <w:szCs w:val="24"/>
        </w:rPr>
        <w:t>Иные требования и сведения общего характера</w:t>
      </w:r>
      <w:bookmarkEnd w:id="8"/>
      <w:r>
        <w:rPr>
          <w:rFonts w:eastAsia="Calibri"/>
          <w:b/>
          <w:bCs/>
          <w:sz w:val="24"/>
          <w:szCs w:val="24"/>
        </w:rPr>
        <w:t xml:space="preserve"> </w:t>
      </w:r>
    </w:p>
    <w:p>
      <w:pPr>
        <w:pStyle w:val="Normal"/>
        <w:spacing w:lineRule="auto" w:line="27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1. Участник гарантирует, что продукция, является новой, неиспользованной, год выпуска не </w:t>
      </w:r>
      <w:r>
        <w:rPr>
          <w:sz w:val="24"/>
          <w:szCs w:val="24"/>
          <w:shd w:fill="FFFF00" w:val="clear"/>
          <w:lang w:eastAsia="x-none"/>
        </w:rPr>
        <w:t>ранее 1 квартала 2026 г.</w:t>
      </w:r>
      <w:r>
        <w:rPr>
          <w:sz w:val="24"/>
          <w:szCs w:val="24"/>
          <w:lang w:eastAsia="x-none"/>
        </w:rPr>
        <w:t xml:space="preserve"> и соответствует требованиям ГОСТ или ТУ. Поставщик гарантирует соответствие качества продукции требованиям нормативно-технической документации в течение 12 месяцев с момента получения продукции на складе Покупателя.</w:t>
      </w:r>
    </w:p>
    <w:p>
      <w:pPr>
        <w:pStyle w:val="Normal"/>
        <w:spacing w:lineRule="auto" w:line="27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2. Отгрузочные реквизиты: </w:t>
      </w:r>
    </w:p>
    <w:p>
      <w:pPr>
        <w:pStyle w:val="Normal"/>
        <w:spacing w:lineRule="auto" w:line="27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Направление: Грузополучатель: филиал Центральные Электрические Сети (ЦЭС) ПАО «Якутскэнерго». Адрес: 677021, РФ, Республика Саха (Якутия), г. Якутск, пр. Михаила. Николаева, 26.</w:t>
      </w:r>
    </w:p>
    <w:p>
      <w:pPr>
        <w:pStyle w:val="Normal"/>
        <w:spacing w:lineRule="auto" w:line="27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3. Продукция в соответствии с требованиями Постановления Правительства РФ от 3 декабря 2020 г. N 2013</w:t>
      </w:r>
    </w:p>
    <w:p>
      <w:pPr>
        <w:pStyle w:val="Normal"/>
        <w:spacing w:lineRule="auto" w:line="27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"О минимальной доле закупок товаров российского происхождения" должна быть включена: в реестр промышленной продукции, произведенной на территории Российской Федерации, или в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Федерации.</w:t>
      </w:r>
    </w:p>
    <w:p>
      <w:pPr>
        <w:pStyle w:val="Normal"/>
        <w:spacing w:lineRule="auto" w:line="276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  <w:lang w:eastAsia="x-none"/>
        </w:rPr>
        <w:t>4.</w:t>
      </w:r>
      <w:r>
        <w:rPr>
          <w:sz w:val="24"/>
          <w:szCs w:val="24"/>
        </w:rPr>
        <w:t xml:space="preserve"> Участник должен принять во внимание, что ссылка на марку (тип) продукции, носит описательный, а не обязательный характер. В случае, если Участником предлагаются эквиваленты требуемой Заказчику продукции или ее составных частей, в составе своего предложения, он должен, в обязательном порядке предоставить подробное техническое описание предлагаемого к поставке эквивалента, в объеме, не менее установленных в документации о закупке требований. 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 В случае предложения эквивалентов, Участнику необходимо обеспечить выполнение следующих условий: Для оценки возможности использования предлагаемой эквивалентной продукции, предложение участника должно содержать подробную техническую информацию в объеме, соответствующем техническим требованиям, указанным Заказчиком в Технических требованиях.</w:t>
      </w:r>
    </w:p>
    <w:p>
      <w:pPr>
        <w:pStyle w:val="Normal"/>
        <w:spacing w:lineRule="auto" w:line="276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  <w:lang w:eastAsia="x-none"/>
        </w:rPr>
        <w:t>5.</w:t>
      </w:r>
      <w:r>
        <w:rPr>
          <w:sz w:val="24"/>
          <w:szCs w:val="24"/>
        </w:rPr>
        <w:t xml:space="preserve">  Участник должен иметь опыт (не менее одного договора поставки) за последние 5 (пять) лет, предшествующие дате подачи заявок Участников на участие в настоящей закупочной процедуре. При этом учитываются только выполненные участником договоры (с учетом правопреемственности).</w:t>
        <w:br/>
        <w:t>Соответствие установленному требованию подтверждается путем представления Участником закупки, в составе заявки, сведений о ранее выполненных договорах по форме «Справки об опыте Участника», приведенной документации о закупке, с предоставлением скан-копий договоров либо их частей (с приложением документов, предусмотренных требованиями договора, подтверждающих факт его исполнения) подтверждающие представленные в форме данные.</w:t>
        <w:br/>
        <w:t xml:space="preserve">При рассмотрении и оценке заявок участников будут учитываться только те сведения об объемах выполнения аналогичных договоров, которые подтверждены документами, указанными выше. </w:t>
      </w:r>
    </w:p>
    <w:p>
      <w:pPr>
        <w:pStyle w:val="Normal"/>
        <w:spacing w:lineRule="auto" w:line="276"/>
        <w:jc w:val="both"/>
        <w:rPr>
          <w:lang w:eastAsia="x-none"/>
        </w:rPr>
      </w:pPr>
      <w:r>
        <w:rPr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9" w:name="_Toc231222920"/>
      <w:bookmarkStart w:id="10" w:name="_Toc51339693"/>
      <w:r>
        <w:rPr>
          <w:iCs/>
        </w:rPr>
        <w:t>Требования к продукции</w:t>
      </w:r>
      <w:bookmarkEnd w:id="9"/>
      <w:bookmarkEnd w:id="10"/>
    </w:p>
    <w:p>
      <w:pPr>
        <w:pStyle w:val="Heading4"/>
        <w:numPr>
          <w:ilvl w:val="1"/>
          <w:numId w:val="3"/>
        </w:numPr>
        <w:rPr>
          <w:lang w:val="ru-RU"/>
        </w:rPr>
      </w:pPr>
      <w:bookmarkStart w:id="11" w:name="_Toc231222921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2" w:name="_Toc231222922"/>
      <w:bookmarkStart w:id="13" w:name="_Toc156290819"/>
      <w:r>
        <w:rPr>
          <w:lang w:val="ru-RU"/>
        </w:rPr>
        <w:t>Перечень и объем закупаемой продукции</w:t>
      </w:r>
      <w:bookmarkEnd w:id="12"/>
      <w:bookmarkEnd w:id="13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4" w:name="_Toc231222923"/>
      <w:bookmarkStart w:id="1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W w:w="1034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4"/>
        <w:gridCol w:w="1989"/>
        <w:gridCol w:w="1134"/>
        <w:gridCol w:w="1132"/>
        <w:gridCol w:w="1419"/>
        <w:gridCol w:w="1422"/>
        <w:gridCol w:w="2547"/>
      </w:tblGrid>
      <w:tr>
        <w:trPr>
          <w:trHeight w:val="597" w:hRule="atLeast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Применение законодательства о национальном режиме</w:t>
            </w:r>
          </w:p>
        </w:tc>
      </w:tr>
      <w:tr>
        <w:trPr>
          <w:trHeight w:val="597" w:hRule="atLeast"/>
        </w:trPr>
        <w:tc>
          <w:tcPr>
            <w:tcW w:w="7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по ОКПД2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по предоставлению режима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4"/>
                <w:szCs w:val="24"/>
                <w:lang w:eastAsia="x-none"/>
              </w:rPr>
              <w:t>Визуально-акустическая камера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NL</w:t>
            </w:r>
            <w:r>
              <w:rPr>
                <w:iCs/>
                <w:sz w:val="20"/>
                <w:szCs w:val="20"/>
                <w:lang w:val="en-US"/>
              </w:rPr>
              <w:t>C</w:t>
            </w:r>
            <w:r>
              <w:rPr>
                <w:iCs/>
                <w:sz w:val="20"/>
                <w:szCs w:val="20"/>
              </w:rPr>
              <w:t>-</w:t>
            </w:r>
            <w:r>
              <w:rPr>
                <w:iCs/>
                <w:sz w:val="20"/>
                <w:szCs w:val="20"/>
                <w:lang w:val="en-US"/>
              </w:rPr>
              <w:t xml:space="preserve">P136 </w:t>
            </w:r>
            <w:r>
              <w:rPr>
                <w:iCs/>
                <w:sz w:val="20"/>
                <w:szCs w:val="20"/>
              </w:rPr>
              <w:t>или аналог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Комплект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x-none"/>
              </w:rPr>
              <w:t>26.</w:t>
            </w:r>
            <w:r>
              <w:rPr>
                <w:b/>
                <w:bCs/>
                <w:color w:val="000000"/>
                <w:sz w:val="20"/>
                <w:szCs w:val="20"/>
                <w:lang w:eastAsia="x-none"/>
              </w:rPr>
              <w:t>51</w:t>
            </w:r>
            <w:r>
              <w:rPr>
                <w:b/>
                <w:bCs/>
                <w:color w:val="000000"/>
                <w:sz w:val="20"/>
                <w:szCs w:val="20"/>
                <w:lang w:eastAsia="x-none"/>
              </w:rPr>
              <w:t>.</w:t>
            </w:r>
            <w:r>
              <w:rPr>
                <w:b/>
                <w:bCs/>
                <w:color w:val="000000"/>
                <w:sz w:val="20"/>
                <w:szCs w:val="20"/>
                <w:lang w:eastAsia="x-none"/>
              </w:rPr>
              <w:t>66</w:t>
            </w:r>
            <w:r>
              <w:rPr>
                <w:b/>
                <w:bCs/>
                <w:color w:val="000000"/>
                <w:sz w:val="20"/>
                <w:szCs w:val="20"/>
                <w:lang w:eastAsia="x-none"/>
              </w:rPr>
              <w:t>.1</w:t>
            </w:r>
            <w:r>
              <w:rPr>
                <w:b/>
                <w:bCs/>
                <w:color w:val="000000"/>
                <w:sz w:val="20"/>
                <w:szCs w:val="20"/>
                <w:lang w:eastAsia="x-none"/>
              </w:rPr>
              <w:t>21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Установлен режим ограничения закупки иностранной продукции 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6" w:name="_Toc231222924"/>
      <w:bookmarkStart w:id="17" w:name="_Toc51339696"/>
      <w:r>
        <w:rPr>
          <w:lang w:val="ru-RU"/>
        </w:rPr>
        <w:t xml:space="preserve">Требования </w:t>
      </w:r>
      <w:bookmarkEnd w:id="17"/>
      <w:r>
        <w:rPr>
          <w:lang w:val="ru-RU"/>
        </w:rPr>
        <w:t>к срокам поставки продукции и оказания сопутствующих услуг</w:t>
      </w:r>
      <w:bookmarkEnd w:id="16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8" w:name="_Toc231222925"/>
      <w:bookmarkStart w:id="19" w:name="_Toc180047697"/>
      <w:bookmarkStart w:id="20" w:name="_Toc156290823"/>
      <w:bookmarkStart w:id="21" w:name="_Toc50125127"/>
      <w:bookmarkStart w:id="22" w:name="_Toc51339697"/>
      <w:bookmarkStart w:id="23" w:name="_Toc156290824"/>
      <w:bookmarkStart w:id="24" w:name="_Toc75446580"/>
      <w:bookmarkStart w:id="25" w:name="_Toc501251261"/>
      <w:bookmarkEnd w:id="23"/>
      <w:bookmarkEnd w:id="24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1"/>
      <w:bookmarkEnd w:id="22"/>
      <w:bookmarkEnd w:id="26"/>
      <w:r>
        <w:rPr>
          <w:sz w:val="24"/>
          <w:szCs w:val="24"/>
          <w:lang w:val="ru-RU"/>
        </w:rPr>
        <w:t>поставки продукции</w:t>
      </w:r>
      <w:bookmarkEnd w:id="18"/>
      <w:bookmarkEnd w:id="19"/>
      <w:bookmarkEnd w:id="20"/>
      <w:r>
        <w:rPr>
          <w:sz w:val="24"/>
          <w:szCs w:val="24"/>
          <w:lang w:val="ru-RU"/>
        </w:rPr>
        <w:t xml:space="preserve"> </w:t>
      </w:r>
    </w:p>
    <w:tbl>
      <w:tblPr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9"/>
        <w:gridCol w:w="3549"/>
        <w:gridCol w:w="2974"/>
        <w:gridCol w:w="3260"/>
      </w:tblGrid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4"/>
                <w:szCs w:val="24"/>
                <w:lang w:eastAsia="x-none"/>
              </w:rPr>
              <w:t>Визуально-акустическая камера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момента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6 месяцев, не позднее 20 ноября 2027 года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defaul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7" w:name="_Toc51339698"/>
      <w:bookmarkStart w:id="28" w:name="_Toc231222926"/>
      <w:bookmarkStart w:id="29" w:name="_Toc180047698"/>
      <w:bookmarkStart w:id="30" w:name="_Toc75446581"/>
      <w:bookmarkStart w:id="31" w:name="_Toc46743511"/>
      <w:r>
        <w:rPr/>
        <w:t>Требования к</w:t>
      </w:r>
      <w:bookmarkEnd w:id="31"/>
      <w:r>
        <w:rPr>
          <w:lang w:val="ru-RU"/>
        </w:rPr>
        <w:t xml:space="preserve"> продукции</w:t>
      </w:r>
      <w:bookmarkEnd w:id="28"/>
      <w:bookmarkEnd w:id="29"/>
      <w:bookmarkEnd w:id="3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2" w:name="_Toc231222927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.2</w:t>
      </w:r>
      <w:r>
        <w:rPr>
          <w:sz w:val="24"/>
          <w:szCs w:val="24"/>
          <w:lang w:val="ru-RU"/>
        </w:rPr>
        <w:t>.1</w:t>
      </w:r>
      <w:r>
        <w:rPr>
          <w:sz w:val="24"/>
          <w:szCs w:val="24"/>
        </w:rPr>
        <w:t xml:space="preserve"> Требования к </w:t>
      </w:r>
      <w:r>
        <w:rPr>
          <w:sz w:val="24"/>
          <w:szCs w:val="24"/>
          <w:lang w:val="ru-RU"/>
        </w:rPr>
        <w:t>продукции</w:t>
      </w:r>
      <w:bookmarkEnd w:id="32"/>
      <w:r>
        <w:rPr>
          <w:sz w:val="24"/>
          <w:szCs w:val="24"/>
        </w:rPr>
        <w:t xml:space="preserve"> </w:t>
      </w:r>
      <w:bookmarkEnd w:id="27"/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 1 Таблицы 1.1): </w:t>
      </w:r>
      <w:r>
        <w:rPr>
          <w:b/>
          <w:i/>
          <w:sz w:val="24"/>
          <w:szCs w:val="24"/>
          <w:lang w:eastAsia="x-none"/>
        </w:rPr>
        <w:t>Визуально-акустическая камера</w:t>
      </w:r>
    </w:p>
    <w:tbl>
      <w:tblPr>
        <w:tblStyle w:val="affff8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3685"/>
        <w:gridCol w:w="3544"/>
        <w:gridCol w:w="2691"/>
        <w:gridCol w:w="2552"/>
        <w:gridCol w:w="1984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36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5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52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98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5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2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характеристикам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0" w:hanging="0"/>
              <w:jc w:val="left"/>
              <w:rPr>
                <w:b w:val="false"/>
                <w:bCs/>
                <w:sz w:val="20"/>
                <w:szCs w:val="20"/>
                <w:highlight w:val="yellow"/>
                <w:lang w:val="ru-RU" w:eastAsia="ru-RU"/>
              </w:rPr>
            </w:pPr>
            <w:bookmarkStart w:id="33" w:name="_Toc231222928"/>
            <w:bookmarkStart w:id="34" w:name="_Toc231222550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Количество микрофонов, шт</w:t>
            </w:r>
            <w:bookmarkEnd w:id="33"/>
            <w:bookmarkEnd w:id="34"/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en-US" w:eastAsia="ru-RU" w:bidi="ar-SA"/>
              </w:rPr>
              <w:t>Не менее 124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0" w:hanging="0"/>
              <w:jc w:val="left"/>
              <w:rPr>
                <w:b w:val="false"/>
                <w:bCs/>
                <w:sz w:val="20"/>
                <w:szCs w:val="20"/>
                <w:lang w:val="ru-RU"/>
              </w:rPr>
            </w:pPr>
            <w:bookmarkStart w:id="35" w:name="_Toc231222929"/>
            <w:bookmarkStart w:id="36" w:name="_Toc231222551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Рабочее расстояние, м</w:t>
            </w:r>
            <w:bookmarkEnd w:id="35"/>
            <w:bookmarkEnd w:id="36"/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Не менее 50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0" w:hanging="0"/>
              <w:jc w:val="left"/>
              <w:rPr>
                <w:b w:val="false"/>
                <w:bCs/>
                <w:sz w:val="20"/>
                <w:szCs w:val="20"/>
                <w:lang w:val="ru-RU"/>
              </w:rPr>
            </w:pPr>
            <w:bookmarkStart w:id="37" w:name="_Toc231222930"/>
            <w:bookmarkStart w:id="38" w:name="_Toc231222552"/>
            <w:bookmarkStart w:id="39" w:name="_Toc150516979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Д</w:t>
            </w:r>
            <w:bookmarkEnd w:id="39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исплей</w:t>
            </w:r>
            <w:bookmarkEnd w:id="37"/>
            <w:bookmarkEnd w:id="38"/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Не менее 4 дюйма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0" w:hanging="0"/>
              <w:jc w:val="left"/>
              <w:rPr>
                <w:b w:val="false"/>
                <w:bCs/>
                <w:sz w:val="20"/>
                <w:szCs w:val="20"/>
                <w:lang w:val="ru-RU"/>
              </w:rPr>
            </w:pPr>
            <w:bookmarkStart w:id="40" w:name="_Toc231222931"/>
            <w:bookmarkStart w:id="41" w:name="_Toc231222553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Цифровой зум</w:t>
            </w:r>
            <w:bookmarkEnd w:id="40"/>
            <w:bookmarkEnd w:id="41"/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Имеется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0" w:hanging="0"/>
              <w:jc w:val="left"/>
              <w:rPr>
                <w:b w:val="false"/>
                <w:bCs/>
                <w:sz w:val="20"/>
                <w:szCs w:val="20"/>
                <w:lang w:val="ru-RU"/>
              </w:rPr>
            </w:pPr>
            <w:bookmarkStart w:id="42" w:name="_Toc231222932"/>
            <w:bookmarkStart w:id="43" w:name="_Toc231222554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 xml:space="preserve">Наличие </w:t>
            </w:r>
            <w:bookmarkStart w:id="44" w:name="_Toc150516981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н</w:t>
            </w:r>
            <w:bookmarkEnd w:id="44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осителя</w:t>
            </w:r>
            <w:bookmarkEnd w:id="42"/>
            <w:bookmarkEnd w:id="43"/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Имеется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0" w:hanging="0"/>
              <w:jc w:val="left"/>
              <w:rPr>
                <w:b w:val="false"/>
                <w:bCs/>
                <w:sz w:val="20"/>
                <w:szCs w:val="20"/>
                <w:lang w:val="ru-RU"/>
              </w:rPr>
            </w:pPr>
            <w:bookmarkStart w:id="45" w:name="_Toc231222933"/>
            <w:bookmarkStart w:id="46" w:name="_Toc231222555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Тип микрофонов</w:t>
            </w:r>
            <w:r>
              <w:rPr>
                <w:rFonts w:cs="Times New Roman" w:ascii="Arial;Trebuchet MS;Tahoma;Verda" w:hAnsi="Arial;Trebuchet MS;Tahoma;Verda"/>
                <w:b w:val="false"/>
                <w:bCs/>
                <w:color w:val="464646"/>
                <w:kern w:val="0"/>
                <w:sz w:val="20"/>
                <w:szCs w:val="20"/>
                <w:lang w:val="ru-RU" w:bidi="ar-SA"/>
              </w:rPr>
              <w:t>C</w:t>
            </w:r>
            <w:bookmarkEnd w:id="45"/>
            <w:bookmarkEnd w:id="46"/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4"/>
                <w:lang w:val="en-US" w:eastAsia="ru-RU" w:bidi="ar-SA"/>
              </w:rPr>
              <w:t>MEMS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0" w:hanging="0"/>
              <w:jc w:val="left"/>
              <w:rPr>
                <w:b w:val="false"/>
                <w:bCs/>
                <w:sz w:val="20"/>
                <w:szCs w:val="20"/>
                <w:lang w:val="ru-RU"/>
              </w:rPr>
            </w:pPr>
            <w:bookmarkStart w:id="47" w:name="_Toc231222934"/>
            <w:bookmarkStart w:id="48" w:name="_Toc231222556"/>
            <w:bookmarkStart w:id="49" w:name="_Toc150516983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В</w:t>
            </w:r>
            <w:bookmarkEnd w:id="49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ес, кг</w:t>
            </w:r>
            <w:bookmarkEnd w:id="47"/>
            <w:bookmarkEnd w:id="48"/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 xml:space="preserve">Не более 2 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0" w:hanging="0"/>
              <w:jc w:val="left"/>
              <w:rPr>
                <w:b w:val="false"/>
                <w:bCs/>
                <w:sz w:val="20"/>
                <w:szCs w:val="20"/>
                <w:lang w:val="ru-RU"/>
              </w:rPr>
            </w:pPr>
            <w:bookmarkStart w:id="50" w:name="_Toc231222935"/>
            <w:bookmarkStart w:id="51" w:name="_Toc231222557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Время работы, ч</w:t>
            </w:r>
            <w:bookmarkEnd w:id="50"/>
            <w:bookmarkEnd w:id="51"/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 xml:space="preserve">Не менее 4 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0" w:hanging="0"/>
              <w:jc w:val="left"/>
              <w:rPr>
                <w:b w:val="false"/>
                <w:bCs/>
                <w:sz w:val="20"/>
                <w:szCs w:val="20"/>
                <w:lang w:val="ru-RU"/>
              </w:rPr>
            </w:pPr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Возможности камеры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Сохранение фото и видео в разрешении не менее 1280 x 720 пикселей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0" w:hanging="0"/>
              <w:jc w:val="left"/>
              <w:rPr>
                <w:b w:val="false"/>
                <w:bCs/>
                <w:sz w:val="20"/>
                <w:szCs w:val="20"/>
                <w:lang w:val="ru-RU"/>
              </w:rPr>
            </w:pPr>
            <w:bookmarkStart w:id="52" w:name="_Toc231222936"/>
            <w:bookmarkStart w:id="53" w:name="_Toc231222558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>Степень защиты</w:t>
            </w:r>
            <w:bookmarkEnd w:id="52"/>
            <w:bookmarkEnd w:id="53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bidi="ar-SA"/>
              </w:rPr>
              <w:t xml:space="preserve"> 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Не ниже IP40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shd w:color="auto" w:fill="auto" w:val="clear"/>
            <w:vAlign w:val="center"/>
          </w:tcPr>
          <w:p>
            <w:pPr>
              <w:pStyle w:val="Heading1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bookmarkStart w:id="54" w:name="_Toc231222937"/>
            <w:bookmarkStart w:id="55" w:name="_Toc231222559"/>
            <w:bookmarkStart w:id="56" w:name="_Toc180047709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  <w:t xml:space="preserve">Требования к </w:t>
            </w:r>
            <w:bookmarkEnd w:id="56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  <w:t>исполнению</w:t>
            </w:r>
            <w:bookmarkEnd w:id="54"/>
            <w:bookmarkEnd w:id="55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tLeast" w:line="240" w:before="40" w:after="4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Переносной комплект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Heading1"/>
              <w:widowControl w:val="false"/>
              <w:suppressAutoHyphens w:val="true"/>
              <w:spacing w:before="120" w:after="60"/>
              <w:ind w:left="34" w:hanging="0"/>
              <w:jc w:val="left"/>
              <w:rPr>
                <w:b w:val="false"/>
              </w:rPr>
            </w:pPr>
            <w:r>
              <w:rPr>
                <w:rFonts w:cs="Times New Roman"/>
                <w:b w:val="false"/>
                <w:kern w:val="0"/>
                <w:sz w:val="20"/>
                <w:szCs w:val="20"/>
                <w:lang w:bidi="ar-SA"/>
              </w:rPr>
              <w:t>Требования к комплектации</w:t>
            </w:r>
          </w:p>
        </w:tc>
        <w:tc>
          <w:tcPr>
            <w:tcW w:w="3544" w:type="dxa"/>
            <w:tcBorders/>
          </w:tcPr>
          <w:p>
            <w:pPr>
              <w:pStyle w:val="Default"/>
              <w:widowControl w:val="false"/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bidi="ar-SA"/>
              </w:rPr>
              <w:t>Стандартная комплектация в соответствии с паспортом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2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Место поставки МТР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x-none" w:bidi="ar-SA"/>
              </w:rPr>
              <w:t>филиал Центральные Электрические Сети (ЦЭС) ПАО «Якутскэнерго». Адрес: 677021, РФ, Республика Саха (Якутия), г. Якутск, проспект Михаила Николаева, 26.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NormalWeb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Маркировка, упаковка и консервация( да, нет)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Требуется упаковка в зависимости от способа доставки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698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2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Срок гарантии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12 месяцев с даты ввода оборудования в эксплуатацию (подписания Акта приемки)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2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Heading1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bookmarkStart w:id="57" w:name="_Toc231222942"/>
            <w:bookmarkStart w:id="58" w:name="_Toc231222564"/>
            <w:bookmarkStart w:id="59" w:name="_Toc180047714"/>
            <w:r>
              <w:rPr>
                <w:rFonts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  <w:t>Объем поставки оборудования</w:t>
            </w:r>
            <w:bookmarkEnd w:id="57"/>
            <w:bookmarkEnd w:id="58"/>
            <w:bookmarkEnd w:id="59"/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Cs/>
                <w:iCs/>
                <w:kern w:val="0"/>
                <w:sz w:val="20"/>
                <w:szCs w:val="20"/>
                <w:lang w:val="ru-RU" w:eastAsia="x-none" w:bidi="ar-SA"/>
              </w:rPr>
              <w:t>Переносной комплект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Документация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Руководство по эксплуатации 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2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iCs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 w:cs="Times New Roman"/>
                <w:bCs/>
                <w:iCs/>
                <w:kern w:val="0"/>
                <w:sz w:val="20"/>
                <w:szCs w:val="20"/>
                <w:lang w:val="ru-RU" w:eastAsia="en-US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iCs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 w:cs="Times New Roman"/>
                <w:bCs/>
                <w:iCs/>
                <w:kern w:val="0"/>
                <w:sz w:val="20"/>
                <w:szCs w:val="20"/>
                <w:highlight w:val="yellow"/>
                <w:lang w:val="ru-RU" w:eastAsia="en-US" w:bidi="ar-SA"/>
              </w:rPr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false"/>
              <w:spacing w:before="60" w:after="60"/>
              <w:ind w:left="-117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Визуально-акустическая камера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bCs/>
                <w:iCs/>
                <w:kern w:val="0"/>
                <w:sz w:val="20"/>
                <w:szCs w:val="20"/>
                <w:lang w:val="ru-RU" w:eastAsia="en-US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bCs/>
                <w:iCs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Cs/>
                <w:iCs/>
                <w:kern w:val="0"/>
                <w:sz w:val="20"/>
                <w:szCs w:val="20"/>
                <w:lang w:val="ru-RU" w:eastAsia="en-US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0"/>
                <w:szCs w:val="20"/>
                <w:lang w:val="ru-RU" w:eastAsia="ru-RU" w:bidi="ar-SA"/>
              </w:rPr>
              <w:t>»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2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Срок службы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соответствии с заводом-изготовителем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jc w:val="center"/>
        <w:rPr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В случае, если Участником предлагается эквивалентная продукция</w:t>
      </w:r>
      <w:r>
        <w:rPr>
          <w:i/>
          <w:iCs/>
          <w:sz w:val="24"/>
          <w:szCs w:val="24"/>
        </w:rPr>
        <w:t xml:space="preserve"> требуемой Заказчику продукции или ее составных частей, он должен в 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</w:t>
      </w:r>
    </w:p>
    <w:p>
      <w:pPr>
        <w:pStyle w:val="Normal"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60" w:name="_Toc231222943"/>
      <w:bookmarkStart w:id="61" w:name="_Toc53393312"/>
      <w:r>
        <w:rPr>
          <w:lang w:val="ru-RU"/>
        </w:rPr>
        <w:t>Требования к документации по ценообразованию</w:t>
      </w:r>
      <w:bookmarkEnd w:id="61"/>
      <w:r>
        <w:rPr>
          <w:lang w:val="ru-RU"/>
        </w:rPr>
        <w:t xml:space="preserve"> на этапе закупки</w:t>
      </w:r>
      <w:bookmarkEnd w:id="60"/>
    </w:p>
    <w:p>
      <w:pPr>
        <w:pStyle w:val="ListParagraph"/>
        <w:numPr>
          <w:ilvl w:val="1"/>
          <w:numId w:val="6"/>
        </w:numPr>
        <w:spacing w:before="0" w:after="120"/>
        <w:contextualSpacing w:val="false"/>
        <w:jc w:val="both"/>
        <w:rPr>
          <w:bCs/>
          <w:i/>
          <w:i/>
          <w:iCs/>
          <w:lang w:eastAsia="x-none"/>
        </w:rPr>
      </w:pPr>
      <w:r>
        <w:rPr>
          <w:bCs/>
          <w:i/>
          <w:iCs/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ListParagraph"/>
        <w:numPr>
          <w:ilvl w:val="1"/>
          <w:numId w:val="6"/>
        </w:numPr>
        <w:spacing w:before="0" w:after="120"/>
        <w:contextualSpacing w:val="false"/>
        <w:jc w:val="both"/>
        <w:rPr>
          <w:bCs/>
          <w:i/>
          <w:i/>
          <w:iCs/>
          <w:lang w:eastAsia="x-none"/>
        </w:rPr>
      </w:pPr>
      <w:r>
        <w:rPr>
          <w:bCs/>
          <w:i/>
          <w:iCs/>
          <w:lang w:eastAsia="x-none"/>
        </w:rPr>
        <w:t xml:space="preserve">Ориентировочный объем («расчетный заказ»), указываемый в Коммерческом предложении в соответствии с Приложением № 1 к настоящим Техническим требованиям «Ассортиментный перечень Товаров», служит только для оценки и сопоставления предложений Участников по ценовому (стоимостному) критерию оценки «Цена» в соответствии с Приложением №6 к Документации о закупке «Порядок и критерии оценки и сопоставления заявок» (в договоре закрепляются </w:t>
      </w:r>
      <w:bookmarkStart w:id="62" w:name="_Hlk87531818"/>
      <w:r>
        <w:rPr>
          <w:bCs/>
          <w:i/>
          <w:iCs/>
          <w:lang w:eastAsia="x-none"/>
        </w:rPr>
        <w:t>единичные расценки товаров, предложенные в заявке Победителем</w:t>
      </w:r>
      <w:bookmarkEnd w:id="62"/>
      <w:r>
        <w:rPr>
          <w:bCs/>
          <w:i/>
          <w:iCs/>
          <w:lang w:eastAsia="x-none"/>
        </w:rPr>
        <w:t xml:space="preserve">). Указанный объем является приблизительным и может быть изменен в ходе исполнения обязательств по договору. </w:t>
      </w:r>
    </w:p>
    <w:p>
      <w:pPr>
        <w:pStyle w:val="ListParagraph"/>
        <w:numPr>
          <w:ilvl w:val="1"/>
          <w:numId w:val="6"/>
        </w:numPr>
        <w:jc w:val="both"/>
        <w:rPr>
          <w:bCs/>
          <w:i/>
          <w:i/>
          <w:iCs/>
          <w:lang w:eastAsia="x-none"/>
        </w:rPr>
      </w:pPr>
      <w:bookmarkStart w:id="63" w:name="_Toc46743519"/>
      <w:bookmarkStart w:id="64" w:name="_Toc51339699"/>
      <w:r>
        <w:rPr>
          <w:bCs/>
          <w:i/>
          <w:iCs/>
          <w:lang w:eastAsia="x-none"/>
        </w:rPr>
        <w:t>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затраты, и расходы поставщика, связанные с поставкой товара, предусмотренные Проектом договора (Приложение №2 к Документации о закупке)</w:t>
      </w:r>
      <w:bookmarkStart w:id="65" w:name="_Ref40301253"/>
      <w:bookmarkEnd w:id="63"/>
      <w:bookmarkEnd w:id="64"/>
    </w:p>
    <w:p>
      <w:pPr>
        <w:pStyle w:val="Normal"/>
        <w:jc w:val="both"/>
        <w:rPr>
          <w:bCs/>
          <w:i/>
          <w:i/>
          <w:iCs/>
          <w:lang w:eastAsia="x-none"/>
        </w:rPr>
      </w:pPr>
      <w:r>
        <w:rPr>
          <w:bCs/>
          <w:i/>
          <w:iCs/>
          <w:lang w:eastAsia="x-none"/>
        </w:rPr>
      </w:r>
    </w:p>
    <w:p>
      <w:pPr>
        <w:pStyle w:val="Normal"/>
        <w:jc w:val="both"/>
        <w:rPr>
          <w:bCs/>
          <w:i/>
          <w:i/>
          <w:iCs/>
          <w:lang w:eastAsia="x-none"/>
        </w:rPr>
      </w:pPr>
      <w:r>
        <w:rPr>
          <w:bCs/>
          <w:i/>
          <w:iCs/>
          <w:lang w:eastAsia="x-none"/>
        </w:rPr>
      </w:r>
    </w:p>
    <w:p>
      <w:pPr>
        <w:pStyle w:val="Normal"/>
        <w:jc w:val="both"/>
        <w:rPr>
          <w:bCs/>
          <w:i/>
          <w:i/>
          <w:iCs/>
          <w:lang w:eastAsia="x-none"/>
        </w:rPr>
      </w:pPr>
      <w:r>
        <w:rPr>
          <w:bCs/>
          <w:i/>
          <w:iCs/>
          <w:lang w:eastAsia="x-none"/>
        </w:rPr>
      </w:r>
      <w:bookmarkStart w:id="66" w:name="_GoBack"/>
      <w:bookmarkStart w:id="67" w:name="_GoBack"/>
      <w:bookmarkEnd w:id="65"/>
      <w:bookmarkEnd w:id="67"/>
    </w:p>
    <w:p>
      <w:pPr>
        <w:pStyle w:val="Normal"/>
        <w:jc w:val="both"/>
        <w:rPr>
          <w:bCs/>
          <w:i/>
          <w:i/>
          <w:iCs/>
          <w:lang w:eastAsia="x-none"/>
        </w:rPr>
      </w:pPr>
      <w:r>
        <w:rPr>
          <w:bCs/>
          <w:i/>
          <w:iCs/>
          <w:lang w:eastAsia="x-none"/>
        </w:rPr>
      </w:r>
    </w:p>
    <w:p>
      <w:pPr>
        <w:pStyle w:val="Normal"/>
        <w:ind w:firstLine="357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  <w:t xml:space="preserve">Согласовал: </w:t>
        <w:tab/>
        <w:tab/>
        <w:t xml:space="preserve">                                      </w:t>
        <w:tab/>
        <w:t>Составил:</w:t>
      </w:r>
    </w:p>
    <w:p>
      <w:pPr>
        <w:pStyle w:val="Normal"/>
        <w:ind w:firstLine="357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ind w:left="426" w:hanging="0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  <w:t xml:space="preserve">Начальник ОКС </w:t>
        <w:tab/>
        <w:tab/>
        <w:tab/>
        <w:tab/>
        <w:t xml:space="preserve">             начальник С ИЗПИ  </w:t>
      </w:r>
    </w:p>
    <w:p>
      <w:pPr>
        <w:pStyle w:val="Normal"/>
        <w:ind w:firstLine="357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  <w:t>__________________/П.А. Тимофеев/</w:t>
        <w:tab/>
        <w:tab/>
        <w:t xml:space="preserve"> __________________/И.П. Ушаков/</w:t>
      </w:r>
    </w:p>
    <w:p>
      <w:pPr>
        <w:pStyle w:val="Normal"/>
        <w:ind w:firstLine="357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  <w:t xml:space="preserve">       </w:t>
      </w:r>
      <w:r>
        <w:rPr>
          <w:i/>
          <w:iCs/>
          <w:sz w:val="24"/>
          <w:szCs w:val="24"/>
          <w:lang w:eastAsia="x-none"/>
        </w:rPr>
        <w:t xml:space="preserve">(подпись)       </w:t>
        <w:tab/>
        <w:tab/>
        <w:tab/>
        <w:tab/>
        <w:tab/>
        <w:t xml:space="preserve">                    (подпись)</w:t>
      </w:r>
    </w:p>
    <w:p>
      <w:pPr>
        <w:pStyle w:val="Normal"/>
        <w:tabs>
          <w:tab w:val="clear" w:pos="708"/>
          <w:tab w:val="left" w:pos="2775" w:leader="none"/>
        </w:tabs>
        <w:rPr>
          <w:sz w:val="22"/>
          <w:szCs w:val="22"/>
        </w:rPr>
      </w:pPr>
      <w:r>
        <w:rPr>
          <w:i/>
          <w:iCs/>
          <w:sz w:val="24"/>
          <w:szCs w:val="24"/>
          <w:lang w:eastAsia="x-none"/>
        </w:rPr>
        <w:t xml:space="preserve">     </w:t>
      </w:r>
      <w:r>
        <w:rPr>
          <w:i/>
          <w:iCs/>
          <w:sz w:val="24"/>
          <w:szCs w:val="24"/>
          <w:lang w:eastAsia="x-none"/>
        </w:rPr>
        <w:t xml:space="preserve">«____»____________2026г </w:t>
        <w:tab/>
        <w:t xml:space="preserve">                      </w:t>
        <w:tab/>
        <w:tab/>
        <w:t>«____»____________2026г</w:t>
      </w:r>
    </w:p>
    <w:p>
      <w:pPr>
        <w:pStyle w:val="Normal"/>
        <w:spacing w:before="0" w:after="240"/>
        <w:rPr>
          <w:rFonts w:ascii="Arial" w:hAnsi="Arial" w:cs="Arial"/>
          <w:sz w:val="15"/>
          <w:szCs w:val="15"/>
        </w:rPr>
      </w:pPr>
      <w:r>
        <w:rPr/>
      </w:r>
    </w:p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 CYR">
    <w:charset w:val="01"/>
    <w:family w:val="roman"/>
    <w:pitch w:val="variable"/>
  </w:font>
  <w:font w:name="Arial">
    <w:altName w:val="Trebuchet M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enter" w:pos="4677" w:leader="none"/>
        <w:tab w:val="right" w:pos="9355" w:leader="none"/>
        <w:tab w:val="left" w:pos="14742" w:leader="none"/>
      </w:tabs>
      <w:ind w:right="537" w:hanging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enter" w:pos="4677" w:leader="none"/>
        <w:tab w:val="right" w:pos="9355" w:leader="none"/>
        <w:tab w:val="left" w:pos="14742" w:leader="none"/>
      </w:tabs>
      <w:ind w:right="537"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4395"/>
        </w:tabs>
        <w:ind w:left="943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10"/>
        </w:tabs>
        <w:ind w:left="107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430a0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5276ac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23" w:customStyle="1">
    <w:name w:val="Основной шрифт абзаца2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1-3" w:customStyle="1">
    <w:name w:val="текст1-3"/>
    <w:basedOn w:val="Normal"/>
    <w:qFormat/>
    <w:rsid w:val="005504d4"/>
    <w:pPr>
      <w:spacing w:lineRule="auto" w:line="288" w:before="0" w:after="60"/>
      <w:ind w:firstLine="709"/>
      <w:jc w:val="both"/>
    </w:pPr>
    <w:rPr>
      <w:rFonts w:ascii="Times New Roman CYR" w:hAnsi="Times New Roman CYR" w:cs="Times New Roman CYR"/>
      <w:sz w:val="24"/>
      <w:szCs w:val="20"/>
      <w:lang w:eastAsia="zh-CN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zh-CN" w:val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16514225461" w:customStyle="1">
    <w:name w:val="1651422546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17838-2ECD-4083-A606-6E0C27E0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Application>AlterOffice/3.4.0.9$Linux_X86_64 LibreOffice_project/b8daf9e823b1a5463a2f48435ddc2e8696e7d4fc</Application>
  <AppVersion>15.0000</AppVersion>
  <Pages>9</Pages>
  <Words>1341</Words>
  <Characters>9250</Characters>
  <CharactersWithSpaces>10515</CharactersWithSpaces>
  <Paragraphs>210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2024-10-16T23:43:00Z</dcterms:created>
  <dc:creator>Быстров Олег Геннадьевич</dc:creator>
  <dc:description/>
  <dc:language>ru-RU</dc:language>
  <cp:lastModifiedBy>kirillinaar@Elektra.local</cp:lastModifiedBy>
  <cp:lastPrinted>2026-06-02T01:35:00Z</cp:lastPrinted>
  <dcterms:modified xsi:type="dcterms:W3CDTF">2026-10-14T11:22:44Z</dcterms:modified>
  <cp:revision>111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