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pacing w:lineRule="auto" w:line="240"/>
        <w:ind w:hanging="0" w:left="5069" w:right="40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4767"/>
        <w:jc w:val="center"/>
        <w:rPr>
          <w:b/>
        </w:rPr>
      </w:pPr>
      <w:r>
        <w:rPr>
          <w:rStyle w:val="Style16"/>
          <w:b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>
      <w:pPr>
        <w:pStyle w:val="19"/>
        <w:shd w:val="clear" w:color="auto" w:fill="auto"/>
        <w:spacing w:lineRule="auto" w:line="240"/>
        <w:ind w:hanging="4767"/>
        <w:jc w:val="center"/>
        <w:rPr>
          <w:b/>
        </w:rPr>
      </w:pPr>
      <w:r>
        <w:rPr>
          <w:rStyle w:val="Style16"/>
          <w:b/>
        </w:rPr>
        <w:t xml:space="preserve">                                                                                                                                                              </w:t>
      </w:r>
    </w:p>
    <w:p>
      <w:pPr>
        <w:pStyle w:val="19"/>
        <w:shd w:val="clear" w:color="auto" w:fill="auto"/>
        <w:spacing w:lineRule="auto" w:line="240"/>
        <w:ind w:hanging="4767"/>
        <w:jc w:val="center"/>
        <w:rPr>
          <w:b/>
        </w:rPr>
      </w:pPr>
      <w:r>
        <w:rPr>
          <w:b/>
        </w:rPr>
      </w:r>
    </w:p>
    <w:p>
      <w:pPr>
        <w:pStyle w:val="19"/>
        <w:shd w:val="clear" w:color="auto" w:fill="auto"/>
        <w:spacing w:lineRule="auto" w:line="240"/>
        <w:ind w:hanging="4767"/>
        <w:jc w:val="center"/>
        <w:rPr>
          <w:b/>
        </w:rPr>
      </w:pPr>
      <w:r>
        <w:rPr>
          <w:b/>
        </w:rPr>
      </w:r>
    </w:p>
    <w:p>
      <w:pPr>
        <w:pStyle w:val="Normal"/>
        <w:jc w:val="right"/>
        <w:rPr>
          <w:rFonts w:eastAsia="Calibri"/>
        </w:rPr>
      </w:pPr>
      <w:r>
        <w:rPr>
          <w:rFonts w:eastAsia="Calibri"/>
        </w:rPr>
      </w:r>
    </w:p>
    <w:p>
      <w:pPr>
        <w:pStyle w:val="19"/>
        <w:spacing w:lineRule="auto" w:line="240"/>
        <w:ind w:firstLine="708" w:left="5670" w:right="40"/>
        <w:rPr/>
      </w:pPr>
      <w:r>
        <w:rPr>
          <w:rFonts w:eastAsia="Calibri"/>
        </w:rPr>
        <w:t xml:space="preserve">                                                                                                          </w:t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5069" w:right="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b/>
        </w:rPr>
      </w:pPr>
      <w:r>
        <w:rPr>
          <w:b/>
        </w:rPr>
        <w:t xml:space="preserve">Технические требования </w:t>
      </w:r>
      <w:r>
        <w:rPr>
          <w:b/>
        </w:rPr>
        <w:t>на оказание услуг</w:t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ОКПД 2: 45.20.21.100 </w:t>
      </w:r>
      <w:r>
        <w:rPr>
          <w:rFonts w:eastAsia="Times New Roman" w:cs="Times New Roman"/>
          <w:sz w:val="24"/>
          <w:szCs w:val="24"/>
          <w:lang w:eastAsia="ru-RU"/>
        </w:rPr>
        <w:t>О</w:t>
      </w:r>
      <w:r>
        <w:rPr>
          <w:rFonts w:eastAsia="Times New Roman" w:cs="Times New Roman"/>
          <w:sz w:val="24"/>
          <w:szCs w:val="24"/>
          <w:lang w:eastAsia="ru-RU"/>
        </w:rPr>
        <w:t>казание услуг по ремонту и техническому обслуживанию автотранспортных средств для нужд Кубанского филиала.</w:t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b/>
        </w:rPr>
      </w:pPr>
      <w:r>
        <w:rPr>
          <w:b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b/>
        </w:rPr>
      </w:pPr>
      <w:r>
        <w:rPr>
          <w:b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9"/>
        <w:shd w:val="clear" w:color="auto" w:fill="auto"/>
        <w:spacing w:lineRule="auto" w:line="240"/>
        <w:ind w:hanging="0" w:left="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  <w:numId w:val="0"/>
            </w:numPr>
            <w:ind w:hanging="0" w:left="4188"/>
            <w:rPr>
              <w:rFonts w:ascii="Times New Roman" w:hAnsi="Times New Roman"/>
              <w:color w:val="auto"/>
              <w:sz w:val="24"/>
              <w:szCs w:val="24"/>
            </w:rPr>
          </w:pPr>
          <w:r>
            <w:br w:type="page"/>
          </w:r>
          <w:r>
            <w:rPr>
              <w:rFonts w:ascii="Times New Roman" w:hAnsi="Times New Roman"/>
              <w:color w:val="auto"/>
              <w:sz w:val="24"/>
              <w:szCs w:val="24"/>
            </w:rPr>
            <w:t>СОДЕРЖАНИЕ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7"/>
              <w:vanish w:val="false"/>
            </w:rPr>
            <w:instrText xml:space="preserve"> TOC \z \o "1-3" \u \h</w:instrText>
          </w:r>
          <w:r>
            <w:rPr>
              <w:webHidden/>
              <w:rStyle w:val="Style17"/>
              <w:vanish w:val="false"/>
            </w:rPr>
            <w:fldChar w:fldCharType="separate"/>
          </w:r>
          <w:hyperlink w:anchor="_Toc145507012">
            <w:r>
              <w:rPr>
                <w:webHidden/>
                <w:rStyle w:val="Style17"/>
                <w:vanish w:val="false"/>
              </w:rPr>
              <w:t>1.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新細明體" w:cs="Arial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145507013">
            <w:r>
              <w:rPr>
                <w:webHidden/>
                <w:rStyle w:val="Style17"/>
                <w:iCs/>
                <w:vanish w:val="false"/>
              </w:rPr>
              <w:t>1.1.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新細明體" w:cs="Arial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145507014">
            <w:r>
              <w:rPr>
                <w:webHidden/>
                <w:rStyle w:val="Style17"/>
                <w:iCs/>
                <w:vanish w:val="false"/>
              </w:rPr>
              <w:t>1.2.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Наименование закупаемой продукции.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新細明體" w:cs="Arial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145507015">
            <w:r>
              <w:rPr>
                <w:webHidden/>
                <w:rStyle w:val="Style17"/>
                <w:iCs/>
                <w:vanish w:val="false"/>
              </w:rPr>
              <w:t>1.3.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Цель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5507016">
            <w:r>
              <w:rPr>
                <w:webHidden/>
                <w:rStyle w:val="Style17"/>
                <w:vanish w:val="false"/>
              </w:rPr>
              <w:t>2.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新細明體" w:cs="Arial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145507017">
            <w:r>
              <w:rPr>
                <w:webHidden/>
                <w:rStyle w:val="Style17"/>
                <w:iCs/>
                <w:vanish w:val="false"/>
              </w:rPr>
              <w:t>2.1.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新細明體" w:cs="Arial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145507018">
            <w:r>
              <w:rPr>
                <w:webHidden/>
                <w:rStyle w:val="Style17"/>
                <w:iCs/>
                <w:vanish w:val="false"/>
              </w:rPr>
              <w:t>2.2.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550701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_Toc145507019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2. Перечень и объем оказываемых услуг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45507020">
            <w:r>
              <w:rPr>
                <w:webHidden/>
                <w:rStyle w:val="Style17"/>
                <w:vanish w:val="false"/>
              </w:rPr>
              <w:t>2.2.1.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7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_Toc145507020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550702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_Toc145507021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 3. Требования к срокам оказания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2"/>
            <w:rPr>
              <w:rFonts w:ascii="Calibri" w:hAnsi="Calibri" w:eastAsia="新細明體" w:cs="Arial" w:asciiTheme="minorHAnsi" w:cstheme="minorBidi" w:eastAsiaTheme="minorEastAsia" w:hAnsiTheme="minorHAnsi"/>
              <w:bCs w:val="false"/>
              <w:sz w:val="22"/>
              <w:szCs w:val="22"/>
            </w:rPr>
          </w:pPr>
          <w:hyperlink w:anchor="_Toc145507022">
            <w:r>
              <w:rPr>
                <w:webHidden/>
                <w:rStyle w:val="Style17"/>
                <w:iCs/>
                <w:vanish w:val="false"/>
              </w:rPr>
              <w:t>2.3.</w:t>
            </w:r>
            <w:r>
              <w:rPr>
                <w:rStyle w:val="Style17"/>
                <w:rFonts w:eastAsia="新細明體" w:cs="Arial" w:ascii="Calibri" w:hAnsi="Calibri" w:asciiTheme="minorHAnsi" w:cstheme="minorBidi" w:eastAsiaTheme="minorEastAsia" w:hAnsiTheme="minorHAnsi"/>
                <w:bCs w:val="false"/>
                <w:sz w:val="22"/>
                <w:szCs w:val="22"/>
              </w:rPr>
              <w:tab/>
            </w:r>
            <w:r>
              <w:rPr>
                <w:rStyle w:val="Style17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7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4550702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_Toc145507023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7"/>
                <w:vanish w:val="false"/>
              </w:rPr>
              <w:t>Таблица 4. Требования к качеству услуг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Heading1"/>
            <w:numPr>
              <w:ilvl w:val="0"/>
              <w:numId w:val="0"/>
            </w:numPr>
            <w:ind w:hanging="4188" w:left="4188"/>
            <w:rPr>
              <w:b w:val="false"/>
            </w:rPr>
          </w:pPr>
          <w:r>
            <w:rPr>
              <w:b w:val="false"/>
            </w:rPr>
          </w:r>
          <w:r>
            <w:rPr>
              <w:b w:val="false"/>
            </w:rPr>
            <w:fldChar w:fldCharType="end"/>
          </w:r>
        </w:p>
      </w:sdtContent>
    </w:sdt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rPr>
          <w:sz w:val="24"/>
          <w:szCs w:val="24"/>
        </w:rPr>
      </w:pPr>
      <w:bookmarkStart w:id="0" w:name="_Toc145506504"/>
      <w:bookmarkStart w:id="1" w:name="_Toc54643694"/>
      <w:bookmarkStart w:id="2" w:name="_Toc145507012"/>
      <w:r>
        <w:rPr>
          <w:sz w:val="24"/>
          <w:szCs w:val="24"/>
        </w:rPr>
        <w:t>Общие сведения</w:t>
      </w:r>
      <w:bookmarkEnd w:id="0"/>
      <w:bookmarkEnd w:id="1"/>
      <w:bookmarkEnd w:id="2"/>
    </w:p>
    <w:p>
      <w:pPr>
        <w:pStyle w:val="Heading2"/>
        <w:numPr>
          <w:ilvl w:val="1"/>
          <w:numId w:val="3"/>
        </w:numPr>
        <w:rPr>
          <w:lang w:val="ru-RU"/>
        </w:rPr>
      </w:pPr>
      <w:bookmarkStart w:id="3" w:name="_Toc54643695"/>
      <w:bookmarkStart w:id="4" w:name="_Toc145506505"/>
      <w:bookmarkStart w:id="5" w:name="_Toc46743505"/>
      <w:bookmarkStart w:id="6" w:name="_Toc145507013"/>
      <w:r>
        <w:rPr/>
        <w:t>Обозначения и сокращения</w:t>
      </w:r>
      <w:bookmarkEnd w:id="3"/>
      <w:bookmarkEnd w:id="4"/>
      <w:bookmarkEnd w:id="5"/>
      <w:bookmarkEnd w:id="6"/>
    </w:p>
    <w:tbl>
      <w:tblPr>
        <w:tblW w:w="1025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45"/>
        <w:gridCol w:w="6204"/>
      </w:tblGrid>
      <w:tr>
        <w:trPr>
          <w:cantSplit w:val="true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ТО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Техническое обслуживание</w:t>
            </w:r>
          </w:p>
        </w:tc>
      </w:tr>
      <w:tr>
        <w:trPr>
          <w:cantSplit w:val="true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19"/>
              <w:widowControl w:val="false"/>
              <w:shd w:val="clear" w:color="auto" w:fill="auto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widowControl w:val="false"/>
              <w:shd w:val="clear" w:color="auto" w:fill="auto"/>
              <w:spacing w:lineRule="auto" w:line="24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4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РФ</w:t>
            </w:r>
          </w:p>
        </w:tc>
        <w:tc>
          <w:tcPr>
            <w:tcW w:w="6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</w:t>
            </w:r>
          </w:p>
        </w:tc>
      </w:tr>
    </w:tbl>
    <w:p>
      <w:pPr>
        <w:pStyle w:val="Normal"/>
        <w:rPr>
          <w:sz w:val="24"/>
          <w:szCs w:val="24"/>
          <w:highlight w:val="yellow"/>
          <w:lang w:eastAsia="x-none"/>
        </w:rPr>
      </w:pPr>
      <w:r>
        <w:rPr>
          <w:sz w:val="24"/>
          <w:szCs w:val="24"/>
          <w:highlight w:val="yellow"/>
          <w:lang w:eastAsia="x-none"/>
        </w:rPr>
      </w:r>
    </w:p>
    <w:p>
      <w:pPr>
        <w:pStyle w:val="Heading2"/>
        <w:numPr>
          <w:ilvl w:val="1"/>
          <w:numId w:val="3"/>
        </w:numPr>
        <w:rPr/>
      </w:pPr>
      <w:bookmarkStart w:id="7" w:name="_Toc145507014"/>
      <w:bookmarkStart w:id="8" w:name="_Toc145506506"/>
      <w:bookmarkStart w:id="9" w:name="_Toc46743506"/>
      <w:bookmarkStart w:id="10" w:name="_Toc54643696"/>
      <w:r>
        <w:rPr/>
        <w:t>Наименование закупаемой продукции</w:t>
      </w:r>
      <w:bookmarkEnd w:id="9"/>
      <w:bookmarkEnd w:id="10"/>
      <w:r>
        <w:rPr>
          <w:lang w:val="ru-RU"/>
        </w:rPr>
        <w:t>.</w:t>
      </w:r>
      <w:bookmarkEnd w:id="7"/>
      <w:bookmarkEnd w:id="8"/>
    </w:p>
    <w:p>
      <w:pPr>
        <w:pStyle w:val="19"/>
        <w:shd w:val="clear" w:color="auto" w:fill="auto"/>
        <w:spacing w:lineRule="auto" w:line="240"/>
        <w:ind w:hanging="0" w:left="60"/>
        <w:jc w:val="both"/>
        <w:rPr>
          <w:sz w:val="24"/>
          <w:szCs w:val="24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ОКПД 2: 45.20.21.100 </w:t>
      </w:r>
      <w:r>
        <w:rPr>
          <w:rFonts w:eastAsia="Times New Roman" w:cs="Times New Roman"/>
          <w:sz w:val="24"/>
          <w:szCs w:val="24"/>
          <w:lang w:eastAsia="ru-RU"/>
        </w:rPr>
        <w:t>О</w:t>
      </w:r>
      <w:r>
        <w:rPr>
          <w:rFonts w:eastAsia="Times New Roman" w:cs="Times New Roman"/>
          <w:sz w:val="24"/>
          <w:szCs w:val="24"/>
          <w:lang w:eastAsia="ru-RU"/>
        </w:rPr>
        <w:t>казание услуг по ремонту и техническому обслуживанию автотранспортных средств для нужд Кубанского филиала.</w:t>
      </w:r>
      <w:bookmarkStart w:id="11" w:name="_Toc54643697"/>
    </w:p>
    <w:p>
      <w:pPr>
        <w:pStyle w:val="Heading2"/>
        <w:numPr>
          <w:ilvl w:val="1"/>
          <w:numId w:val="3"/>
        </w:numPr>
        <w:rPr/>
      </w:pPr>
      <w:bookmarkStart w:id="12" w:name="_Toc145506507"/>
      <w:bookmarkStart w:id="13" w:name="_Toc145507015"/>
      <w:bookmarkStart w:id="14" w:name="_Toc46743507"/>
      <w:r>
        <w:rPr/>
        <w:t xml:space="preserve">Цель </w:t>
      </w:r>
      <w:bookmarkEnd w:id="14"/>
      <w:r>
        <w:rPr/>
        <w:t>оказания услуг</w:t>
      </w:r>
      <w:bookmarkEnd w:id="12"/>
      <w:bookmarkEnd w:id="13"/>
      <w:r>
        <w:rPr/>
        <w:t xml:space="preserve"> </w:t>
      </w:r>
      <w:bookmarkEnd w:id="11"/>
    </w:p>
    <w:p>
      <w:pPr>
        <w:pStyle w:val="Normal"/>
        <w:tabs>
          <w:tab w:val="clear" w:pos="708"/>
          <w:tab w:val="left" w:pos="567" w:leader="none"/>
        </w:tabs>
        <w:jc w:val="both"/>
        <w:rPr>
          <w:sz w:val="24"/>
          <w:szCs w:val="24"/>
        </w:rPr>
      </w:pPr>
      <w:bookmarkStart w:id="15" w:name="_Toc46743508"/>
      <w:bookmarkStart w:id="16" w:name="_Toc54643698"/>
      <w:bookmarkEnd w:id="15"/>
      <w:bookmarkEnd w:id="16"/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Содержание транспортных средств Кубанского филиала АО «Гидроремонт-ВКК»                                              в г. Невинномысске в технически исправном состоянии, проведение своевременного и качественного технического обслуживания и ремонта, обеспечение </w:t>
      </w:r>
      <w:r>
        <w:rPr>
          <w:sz w:val="24"/>
          <w:szCs w:val="24"/>
        </w:rPr>
        <w:t>работоспособности и безопасной эксплуатации автомобилей.</w:t>
      </w:r>
      <w:r>
        <w:rPr>
          <w:bCs/>
          <w:sz w:val="24"/>
          <w:szCs w:val="24"/>
        </w:rPr>
        <w:t xml:space="preserve"> П</w:t>
      </w:r>
      <w:r>
        <w:rPr>
          <w:sz w:val="24"/>
          <w:szCs w:val="24"/>
        </w:rPr>
        <w:t>одготовка транспортных средств к эксплуатации в весенне-летний и осенне-зимний периоды.</w:t>
      </w:r>
    </w:p>
    <w:p>
      <w:pPr>
        <w:pStyle w:val="Normal"/>
        <w:tabs>
          <w:tab w:val="clear" w:pos="708"/>
          <w:tab w:val="left" w:pos="567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3"/>
        </w:numPr>
        <w:ind w:hanging="0" w:left="0"/>
        <w:rPr>
          <w:caps/>
          <w:sz w:val="24"/>
          <w:szCs w:val="24"/>
          <w:lang w:val="ru-RU"/>
        </w:rPr>
      </w:pPr>
      <w:bookmarkStart w:id="17" w:name="_Toc145506508"/>
      <w:bookmarkStart w:id="18" w:name="_Toc54643702"/>
      <w:bookmarkStart w:id="19" w:name="_Toc51339693"/>
      <w:bookmarkStart w:id="20" w:name="_Toc145507016"/>
      <w:bookmarkStart w:id="21" w:name="_Toc46743510"/>
      <w:bookmarkStart w:id="22" w:name="_Toc50125126"/>
      <w:bookmarkStart w:id="23" w:name="_Toc46743508_Копия_1"/>
      <w:bookmarkStart w:id="24" w:name="_Toc54643698_Копия_1"/>
      <w:bookmarkEnd w:id="21"/>
      <w:bookmarkEnd w:id="22"/>
      <w:bookmarkEnd w:id="23"/>
      <w:bookmarkEnd w:id="24"/>
      <w:r>
        <w:rPr>
          <w:sz w:val="24"/>
          <w:szCs w:val="24"/>
          <w:lang w:val="ru-RU"/>
        </w:rPr>
        <w:t>Требования</w:t>
      </w:r>
      <w:r>
        <w:rPr>
          <w:sz w:val="24"/>
          <w:szCs w:val="24"/>
        </w:rPr>
        <w:t xml:space="preserve"> к продукции</w:t>
      </w:r>
      <w:bookmarkEnd w:id="17"/>
      <w:bookmarkEnd w:id="18"/>
      <w:bookmarkEnd w:id="19"/>
      <w:bookmarkEnd w:id="20"/>
    </w:p>
    <w:p>
      <w:pPr>
        <w:pStyle w:val="Heading2"/>
        <w:numPr>
          <w:ilvl w:val="1"/>
          <w:numId w:val="3"/>
        </w:numPr>
        <w:rPr/>
      </w:pPr>
      <w:bookmarkStart w:id="25" w:name="_Toc54643703"/>
      <w:bookmarkStart w:id="26" w:name="_Toc145506509"/>
      <w:bookmarkStart w:id="27" w:name="_Toc145507017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5"/>
      <w:bookmarkEnd w:id="26"/>
      <w:bookmarkEnd w:id="27"/>
    </w:p>
    <w:p>
      <w:pPr>
        <w:pStyle w:val="Heading2"/>
        <w:numPr>
          <w:ilvl w:val="1"/>
          <w:numId w:val="3"/>
        </w:numPr>
        <w:rPr/>
      </w:pPr>
      <w:bookmarkStart w:id="28" w:name="_Toc54643704"/>
      <w:bookmarkStart w:id="29" w:name="_Toc145506510"/>
      <w:bookmarkStart w:id="30" w:name="_Toc145507018"/>
      <w:r>
        <w:rPr/>
        <w:t>Требования к перечню и объему услуг</w:t>
      </w:r>
      <w:bookmarkEnd w:id="28"/>
      <w:bookmarkEnd w:id="29"/>
      <w:bookmarkEnd w:id="30"/>
    </w:p>
    <w:p>
      <w:pPr>
        <w:pStyle w:val="Heading1"/>
        <w:numPr>
          <w:ilvl w:val="0"/>
          <w:numId w:val="0"/>
        </w:numPr>
        <w:ind w:hanging="426" w:left="426"/>
        <w:jc w:val="left"/>
        <w:rPr>
          <w:sz w:val="24"/>
          <w:szCs w:val="24"/>
        </w:rPr>
      </w:pPr>
      <w:bookmarkStart w:id="31" w:name="_Toc54643705"/>
      <w:bookmarkStart w:id="32" w:name="_Toc145507019"/>
      <w:bookmarkStart w:id="33" w:name="_Toc145506511"/>
      <w:bookmarkStart w:id="34" w:name="_Toc51339695"/>
      <w:r>
        <w:rPr>
          <w:sz w:val="24"/>
          <w:szCs w:val="24"/>
        </w:rPr>
        <w:t xml:space="preserve">Таблица 2. Перечень </w:t>
      </w:r>
      <w:bookmarkEnd w:id="34"/>
      <w:r>
        <w:rPr>
          <w:sz w:val="24"/>
          <w:szCs w:val="24"/>
        </w:rPr>
        <w:t>и объем оказываемых услуг</w:t>
      </w:r>
      <w:bookmarkEnd w:id="31"/>
      <w:bookmarkEnd w:id="32"/>
      <w:bookmarkEnd w:id="33"/>
    </w:p>
    <w:p>
      <w:pPr>
        <w:pStyle w:val="Normal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</w:r>
    </w:p>
    <w:tbl>
      <w:tblPr>
        <w:tblW w:w="1003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50"/>
        <w:gridCol w:w="1701"/>
        <w:gridCol w:w="1571"/>
        <w:gridCol w:w="1135"/>
        <w:gridCol w:w="1700"/>
        <w:gridCol w:w="3373"/>
      </w:tblGrid>
      <w:tr>
        <w:trPr>
          <w:trHeight w:val="300" w:hRule="atLeast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№ </w:t>
            </w:r>
            <w:r>
              <w:rPr>
                <w:b/>
                <w:sz w:val="22"/>
                <w:szCs w:val="24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Марка автомобиля</w:t>
            </w:r>
          </w:p>
        </w:tc>
        <w:tc>
          <w:tcPr>
            <w:tcW w:w="1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Гос.</w:t>
            </w:r>
            <w:r>
              <w:rPr>
                <w:b/>
                <w:sz w:val="22"/>
                <w:szCs w:val="24"/>
                <w:lang w:val="en-US"/>
              </w:rPr>
              <w:t xml:space="preserve"> </w:t>
            </w:r>
            <w:r>
              <w:rPr>
                <w:b/>
                <w:sz w:val="22"/>
                <w:szCs w:val="24"/>
              </w:rPr>
              <w:t>номер автомобиля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Год выпуска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План пробега на 2026 год км. Исходя из факта и прогноза 2025 года.</w:t>
            </w:r>
          </w:p>
        </w:tc>
        <w:tc>
          <w:tcPr>
            <w:tcW w:w="33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 xml:space="preserve">Перечень работ по ремонту и техническому обслуживанию </w:t>
            </w:r>
            <w:r>
              <w:rPr>
                <w:b/>
                <w:szCs w:val="24"/>
              </w:rPr>
              <w:t>из расчета каждое ТО один раз в 10000км</w:t>
            </w:r>
          </w:p>
        </w:tc>
      </w:tr>
      <w:tr>
        <w:trPr>
          <w:trHeight w:val="912" w:hRule="atLeast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  <w:lang w:val="en-US"/>
              </w:rPr>
            </w:pPr>
            <w:r>
              <w:rPr>
                <w:sz w:val="22"/>
                <w:szCs w:val="24"/>
              </w:rPr>
              <w:t>Камаз</w:t>
            </w:r>
          </w:p>
        </w:tc>
        <w:tc>
          <w:tcPr>
            <w:tcW w:w="15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 538ВЕ 126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2020</w:t>
            </w:r>
          </w:p>
        </w:tc>
        <w:tc>
          <w:tcPr>
            <w:tcW w:w="17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44000</w:t>
            </w:r>
          </w:p>
        </w:tc>
        <w:tc>
          <w:tcPr>
            <w:tcW w:w="33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ТО –4 раза; текущий ремонт; замер токсичности и дымности отходящих газов – 2 раза в год</w:t>
            </w:r>
          </w:p>
        </w:tc>
      </w:tr>
      <w:tr>
        <w:trPr>
          <w:trHeight w:val="799" w:hRule="atLeast"/>
        </w:trPr>
        <w:tc>
          <w:tcPr>
            <w:tcW w:w="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Камаз</w:t>
            </w:r>
          </w:p>
        </w:tc>
        <w:tc>
          <w:tcPr>
            <w:tcW w:w="157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А 372 КК 126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2014</w:t>
            </w:r>
          </w:p>
        </w:tc>
        <w:tc>
          <w:tcPr>
            <w:tcW w:w="17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30000</w:t>
            </w:r>
          </w:p>
        </w:tc>
        <w:tc>
          <w:tcPr>
            <w:tcW w:w="33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ТО –3 раза; текущий ремонт; замер токсичности и дымности отходящих газов – 2 раза в год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Heading3"/>
        <w:numPr>
          <w:ilvl w:val="2"/>
          <w:numId w:val="3"/>
        </w:numPr>
        <w:ind w:hanging="0" w:left="0"/>
        <w:rPr/>
      </w:pPr>
      <w:bookmarkStart w:id="35" w:name="_Toc145506512"/>
      <w:bookmarkStart w:id="36" w:name="_Toc145507020"/>
      <w:bookmarkStart w:id="37" w:name="_Toc51339696"/>
      <w:r>
        <w:rPr/>
        <w:t>Требования</w:t>
      </w:r>
      <w:bookmarkEnd w:id="37"/>
      <w:r>
        <w:rPr/>
        <w:t xml:space="preserve"> к срокам оказания услуг</w:t>
      </w:r>
      <w:bookmarkEnd w:id="35"/>
      <w:bookmarkEnd w:id="36"/>
    </w:p>
    <w:p>
      <w:pPr>
        <w:pStyle w:val="Heading1"/>
        <w:numPr>
          <w:ilvl w:val="0"/>
          <w:numId w:val="0"/>
        </w:numPr>
        <w:ind w:hanging="426" w:left="426"/>
        <w:rPr>
          <w:sz w:val="24"/>
          <w:szCs w:val="24"/>
          <w:lang w:val="ru-RU"/>
        </w:rPr>
      </w:pPr>
      <w:bookmarkStart w:id="38" w:name="_Toc54643707"/>
      <w:bookmarkStart w:id="39" w:name="_Toc145506513"/>
      <w:bookmarkStart w:id="40" w:name="_Toc145507021"/>
      <w:bookmarkStart w:id="41" w:name="_Toc51339697"/>
      <w:bookmarkStart w:id="42" w:name="_Toc50125127"/>
      <w:bookmarkStart w:id="43" w:name="_Toc50125126_Копия_1"/>
      <w:bookmarkEnd w:id="43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4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41"/>
      <w:bookmarkEnd w:id="42"/>
      <w:bookmarkEnd w:id="44"/>
      <w:r>
        <w:rPr>
          <w:sz w:val="24"/>
          <w:szCs w:val="24"/>
          <w:lang w:val="ru-RU"/>
        </w:rPr>
        <w:t>оказания услуг</w:t>
      </w:r>
      <w:bookmarkEnd w:id="38"/>
      <w:bookmarkEnd w:id="39"/>
      <w:bookmarkEnd w:id="40"/>
    </w:p>
    <w:tbl>
      <w:tblPr>
        <w:tblW w:w="991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9"/>
        <w:gridCol w:w="4252"/>
        <w:gridCol w:w="2551"/>
        <w:gridCol w:w="2403"/>
      </w:tblGrid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19"/>
              <w:shd w:val="clear" w:color="auto" w:fill="auto"/>
              <w:spacing w:lineRule="auto" w:line="240"/>
              <w:ind w:hanging="0" w:left="6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fill="auto" w:val="clear"/>
                <w:lang w:eastAsia="ru-RU"/>
              </w:rPr>
              <w:t xml:space="preserve">ОКПД 2: 45.20.21.100 </w:t>
            </w:r>
            <w:r>
              <w:rPr>
                <w:rFonts w:eastAsia="Times New Roman" w:cs="Times New Roman"/>
                <w:sz w:val="24"/>
                <w:szCs w:val="24"/>
                <w:shd w:fill="auto" w:val="clear"/>
                <w:lang w:eastAsia="ru-RU"/>
              </w:rPr>
              <w:t>О</w:t>
            </w:r>
            <w:r>
              <w:rPr>
                <w:rFonts w:eastAsia="Times New Roman" w:cs="Times New Roman"/>
                <w:sz w:val="24"/>
                <w:szCs w:val="24"/>
                <w:shd w:fill="auto" w:val="clear"/>
                <w:lang w:eastAsia="ru-RU"/>
              </w:rPr>
              <w:t>казание услуг по ремонту и техническому обслуживанию автотранспортных средств для нужд Кубанского филиала.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позднее 30.12.2026г.,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по расчетам до полного исполнения обязательств</w:t>
            </w:r>
          </w:p>
        </w:tc>
      </w:tr>
    </w:tbl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  <w:bookmarkStart w:id="45" w:name="_Toc46743510_Копия_1"/>
      <w:bookmarkStart w:id="46" w:name="_Toc46743510_Копия_1"/>
      <w:bookmarkEnd w:id="46"/>
    </w:p>
    <w:p>
      <w:pPr>
        <w:pStyle w:val="Heading2"/>
        <w:numPr>
          <w:ilvl w:val="1"/>
          <w:numId w:val="3"/>
        </w:numPr>
        <w:rPr/>
      </w:pPr>
      <w:bookmarkStart w:id="47" w:name="_Toc145506514"/>
      <w:bookmarkStart w:id="48" w:name="_Toc145507022"/>
      <w:r>
        <w:rPr/>
        <w:t xml:space="preserve">Требования к </w:t>
      </w:r>
      <w:r>
        <w:rPr>
          <w:lang w:val="ru-RU"/>
        </w:rPr>
        <w:t>качеству услуг</w:t>
      </w:r>
      <w:bookmarkEnd w:id="47"/>
      <w:bookmarkEnd w:id="48"/>
    </w:p>
    <w:p>
      <w:pPr>
        <w:pStyle w:val="Heading1"/>
        <w:numPr>
          <w:ilvl w:val="0"/>
          <w:numId w:val="0"/>
        </w:numPr>
        <w:ind w:hanging="426" w:left="426"/>
        <w:jc w:val="left"/>
        <w:rPr>
          <w:sz w:val="24"/>
          <w:szCs w:val="24"/>
        </w:rPr>
      </w:pPr>
      <w:bookmarkStart w:id="49" w:name="_Toc145506515"/>
      <w:bookmarkStart w:id="50" w:name="_Toc14550702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bookmarkEnd w:id="49"/>
      <w:bookmarkEnd w:id="50"/>
      <w:r>
        <w:rPr>
          <w:sz w:val="24"/>
          <w:szCs w:val="24"/>
        </w:rPr>
        <w:t xml:space="preserve"> </w:t>
      </w:r>
    </w:p>
    <w:p>
      <w:pPr>
        <w:pStyle w:val="Normal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tbl>
      <w:tblPr>
        <w:tblStyle w:val="af"/>
        <w:tblW w:w="98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9"/>
        <w:gridCol w:w="2876"/>
        <w:gridCol w:w="6140"/>
      </w:tblGrid>
      <w:tr>
        <w:trPr>
          <w:trHeight w:val="580" w:hRule="atLeast"/>
        </w:trPr>
        <w:tc>
          <w:tcPr>
            <w:tcW w:w="83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8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140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>
          <w:trHeight w:val="276" w:hRule="atLeast"/>
        </w:trPr>
        <w:tc>
          <w:tcPr>
            <w:tcW w:w="83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8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140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140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hd w:val="clear" w:color="auto" w:fill="FFFFFF" w:themeFill="background1"/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hd w:val="clear" w:color="auto" w:fill="FFFFFF" w:themeFill="background1"/>
              <w:suppressAutoHyphens w:val="true"/>
              <w:spacing w:before="60" w:after="60"/>
              <w:ind w:firstLine="142" w:left="-117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FFFFFF" w:themeFill="background1"/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Условия ТО ТС</w:t>
            </w:r>
          </w:p>
        </w:tc>
        <w:tc>
          <w:tcPr>
            <w:tcW w:w="614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Услуги должны включать работы: по диагностике, замене запчастей, ремонту и техническому обслуживанию транспортных средств Заказчика, согласно таблице №2.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0"/>
              </w:numPr>
              <w:shd w:val="clear" w:color="auto" w:fill="FFFFFF" w:themeFill="background1"/>
              <w:suppressAutoHyphens w:val="true"/>
              <w:spacing w:before="0" w:after="0"/>
              <w:ind w:hanging="360" w:left="360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287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Объем и место оказания услуг</w:t>
            </w:r>
          </w:p>
        </w:tc>
        <w:tc>
          <w:tcPr>
            <w:tcW w:w="6140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Оказываемые услуги (работы) по ремонту и техническому обслуживанию транспортных средств Заказчика, проводятся на сервисной базе Исполнителя, с использованием собственного оборудования, расходных материалов и запасных частей Исполнителя. Фактический объем услуг определяется Заказчиком, исходя из его потребностей, на основании поданной Заказчиком заявки.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процедурам оказания услуг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shd w:val="clear" w:color="auto" w:fill="FFFFFF" w:themeFill="background1"/>
              <w:tabs>
                <w:tab w:val="clear" w:pos="708"/>
                <w:tab w:val="left" w:pos="206" w:leader="none"/>
              </w:tabs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6140" w:type="dxa"/>
            <w:tcBorders/>
            <w:vAlign w:val="center"/>
          </w:tcPr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  <w:tab w:val="left" w:pos="567" w:leader="none"/>
              </w:tabs>
              <w:suppressAutoHyphens w:val="true"/>
              <w:spacing w:before="0" w:after="0"/>
              <w:ind w:hanging="0" w:left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Услуги должны быть выполнены в соответствии с РД03112178-1023-99 «Сборник норм времени на техническое обслуживание и ремонт легковых автомобилей», квалифицированным персоналом, с использованием оригинальных запасных частей, смазочных и других эксплуатационных и расходных материалов. Запасные части, расходные материалы должны быть новыми, не иметь дефектов и соответствовать государственным стандартам, техническим условиям, сертификатам качества, иной нормативно-технической документации, подтверждающей качество продукции.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транспортным средствам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3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Автотранспортные средства  и спецтехника</w:t>
            </w:r>
          </w:p>
        </w:tc>
        <w:tc>
          <w:tcPr>
            <w:tcW w:w="6140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Должны предоставляться в чистом виде.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Персонал исполнителя</w:t>
            </w:r>
          </w:p>
        </w:tc>
        <w:tc>
          <w:tcPr>
            <w:tcW w:w="614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 время оказания услуг должны соблюдать правила и инструкций по охране труда,  пожарной и электробезопасности,  производственную и трудовую дисциплину.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4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61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Транспортные средства прошедшие техническое обслуживание и ремонт должны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23.10.1993Г. №1090 «О ПРАВИЛАХ ДОРОЖНОГО ДВИЖЕНИЯ»).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6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услуг</w:t>
            </w:r>
          </w:p>
        </w:tc>
        <w:tc>
          <w:tcPr>
            <w:tcW w:w="61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считаются оказанными Исполнителем и принятыми Заказчиком с момента подписания Сторонами Акта сдачи-приемки Услуг.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15"/>
              </w:numPr>
              <w:suppressAutoHyphens w:val="true"/>
              <w:spacing w:before="0" w:after="0"/>
              <w:ind w:hanging="360" w:left="3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Оформление документов</w:t>
            </w:r>
          </w:p>
        </w:tc>
        <w:tc>
          <w:tcPr>
            <w:tcW w:w="61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Акта сдачи-приемки Услуг должен быть предоставлен Исполнителем по окончанию ремонта Т/С в  котором были оказаны услуги в 2-х экземплярах.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исполнителя документации, определяемой видами услуг (помимо указанных в других разделах ТТ)</w:t>
            </w:r>
          </w:p>
        </w:tc>
      </w:tr>
      <w:tr>
        <w:trPr>
          <w:trHeight w:val="337" w:hRule="atLeast"/>
        </w:trPr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обязан соблюдать</w:t>
            </w:r>
          </w:p>
        </w:tc>
        <w:tc>
          <w:tcPr>
            <w:tcW w:w="61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Правила по охране труда на автомобильном транспорте (утв. приказом Минтруда России от 18.12.2020 №871н).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Санитарные правила и нормы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(утв. постановлением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Главного государственного санитарного врача Российской Федерации от 28 января 2021 года N 3).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.</w:t>
            </w:r>
          </w:p>
        </w:tc>
        <w:tc>
          <w:tcPr>
            <w:tcW w:w="2876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1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Законодательство РФ при эксплуатации, обслуживании и предоставлении транспортных средств, подъемных сооружении.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</w:tabs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Ответственность Исполнителя</w:t>
            </w:r>
          </w:p>
        </w:tc>
        <w:tc>
          <w:tcPr>
            <w:tcW w:w="614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сертификата соответствия на оказание услуг (работ) по ТО и ремонту транспортных средств; Отсутствие признаков банкротства.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Отсутствие просроченной задолженности перед бюджетами всех уровней и внебюджетными фондами.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567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Отсутствие текущих судебных дел с контрагентами по заключённым договорам.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Обязанности Исполнителя</w:t>
            </w:r>
          </w:p>
        </w:tc>
        <w:tc>
          <w:tcPr>
            <w:tcW w:w="61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для исполнения договора должен иметь Автосервис в собственности или на праве аренды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0" w:after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901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оказанию услуг</w:t>
            </w:r>
          </w:p>
        </w:tc>
      </w:tr>
      <w:tr>
        <w:trPr/>
        <w:tc>
          <w:tcPr>
            <w:tcW w:w="83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Стоимость за 1 нормо/часа</w:t>
            </w:r>
          </w:p>
        </w:tc>
        <w:tc>
          <w:tcPr>
            <w:tcW w:w="6140" w:type="dxa"/>
            <w:tcBorders/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51" w:name="_Toc125982018"/>
            <w:r>
              <w:rPr>
                <w:rFonts w:eastAsia="Times New Roman" w:cs="Times New Roman"/>
                <w:b w:val="false"/>
                <w:kern w:val="0"/>
                <w:sz w:val="24"/>
                <w:szCs w:val="24"/>
                <w:lang w:val="ru-RU" w:eastAsia="ru-RU" w:bidi="ar-SA"/>
              </w:rPr>
              <w:t>По каждой единице ТС – нормо-час является фиксированной ценой на протяжении всего срока действия договора</w:t>
            </w:r>
            <w:bookmarkEnd w:id="51"/>
          </w:p>
        </w:tc>
      </w:tr>
      <w:tr>
        <w:trPr/>
        <w:tc>
          <w:tcPr>
            <w:tcW w:w="83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0" w:after="0"/>
              <w:ind w:firstLine="142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876" w:type="dxa"/>
            <w:tcBorders>
              <w:top w:val="nil"/>
            </w:tcBorders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Расстояние от базы Кубанского филиала АО «Гидроремонт-ВКК» до станции тех. Обслуживания</w:t>
            </w:r>
          </w:p>
        </w:tc>
        <w:tc>
          <w:tcPr>
            <w:tcW w:w="6140" w:type="dxa"/>
            <w:tcBorders>
              <w:top w:val="nil"/>
            </w:tcBorders>
            <w:vAlign w:val="center"/>
          </w:tcPr>
          <w:p>
            <w:pPr>
              <w:pStyle w:val="Style30"/>
              <w:keepNext w:val="false"/>
              <w:widowControl w:val="false"/>
              <w:suppressAutoHyphens w:val="true"/>
              <w:spacing w:before="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10км.</w:t>
            </w:r>
          </w:p>
        </w:tc>
      </w:tr>
    </w:tbl>
    <w:p>
      <w:pPr>
        <w:pStyle w:val="Normal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Spacing"/>
        <w:spacing w:lineRule="auto" w:line="240"/>
        <w:rPr>
          <w:rFonts w:eastAsia="Calibri"/>
          <w:b/>
          <w:iCs/>
          <w:caps/>
          <w:lang w:eastAsia="x-none"/>
        </w:rPr>
      </w:pPr>
      <w:r>
        <w:rPr>
          <w:rFonts w:eastAsia="Calibri"/>
          <w:b/>
          <w:iCs/>
          <w:caps/>
          <w:lang w:eastAsia="x-none"/>
        </w:rPr>
      </w:r>
      <w:bookmarkStart w:id="52" w:name="_Toc46743519"/>
      <w:bookmarkStart w:id="53" w:name="_Toc51339699"/>
      <w:bookmarkStart w:id="54" w:name="_Toc46743519"/>
      <w:bookmarkStart w:id="55" w:name="_Toc51339699"/>
      <w:bookmarkEnd w:id="54"/>
      <w:bookmarkEnd w:id="55"/>
    </w:p>
    <w:sectPr>
      <w:headerReference w:type="even" r:id="rId2"/>
      <w:headerReference w:type="default" r:id="rId3"/>
      <w:footerReference w:type="default" r:id="rId4"/>
      <w:type w:val="nextPage"/>
      <w:pgSz w:w="11906" w:h="16838"/>
      <w:pgMar w:left="1134" w:right="851" w:gutter="0" w:header="0" w:top="567" w:footer="0" w:bottom="284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69811718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88" w:hanging="504"/>
      </w:pPr>
      <w:rPr>
        <w:i w:val="false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4.1.%3"/>
      <w:lvlJc w:val="left"/>
      <w:pPr>
        <w:tabs>
          <w:tab w:val="num" w:pos="0"/>
        </w:tabs>
        <w:ind w:left="1224" w:hanging="504"/>
      </w:pPr>
      <w:rPr>
        <w:sz w:val="24"/>
        <w:szCs w:val="24"/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3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decimal"/>
      <w:lvlText w:val="4.%1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decimal"/>
      <w:lvlText w:val="1.1.%1"/>
      <w:lvlJc w:val="left"/>
      <w:pPr>
        <w:tabs>
          <w:tab w:val="num" w:pos="0"/>
        </w:tabs>
        <w:ind w:left="720" w:hanging="360"/>
      </w:pPr>
      <w:rPr>
        <w:b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1.2.%1"/>
      <w:lvlJc w:val="left"/>
      <w:pPr>
        <w:tabs>
          <w:tab w:val="num" w:pos="0"/>
        </w:tabs>
        <w:ind w:left="5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  <w:rPr/>
    </w:lvl>
  </w:abstractNum>
  <w:abstractNum w:abstractNumId="12">
    <w:lvl w:ilvl="0">
      <w:start w:val="1"/>
      <w:numFmt w:val="decimal"/>
      <w:lvlText w:val="1.3.%1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1.4.%1"/>
      <w:lvlJc w:val="left"/>
      <w:pPr>
        <w:tabs>
          <w:tab w:val="num" w:pos="0"/>
        </w:tabs>
        <w:ind w:left="745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65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5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05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5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5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65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5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5" w:hanging="180"/>
      </w:pPr>
      <w:rPr/>
    </w:lvl>
  </w:abstractNum>
  <w:abstractNum w:abstractNumId="14">
    <w:lvl w:ilvl="0">
      <w:start w:val="1"/>
      <w:numFmt w:val="decimal"/>
      <w:lvlText w:val="2.2.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15">
    <w:lvl w:ilvl="0">
      <w:start w:val="1"/>
      <w:numFmt w:val="decimal"/>
      <w:lvlText w:val="2.4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decimal"/>
      <w:lvlText w:val="2.3.%1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2a3f50"/>
    <w:pPr>
      <w:keepNext w:val="true"/>
      <w:numPr>
        <w:ilvl w:val="2"/>
        <w:numId w:val="3"/>
      </w:numPr>
      <w:tabs>
        <w:tab w:val="clear" w:pos="708"/>
        <w:tab w:val="left" w:pos="0" w:leader="none"/>
        <w:tab w:val="left" w:pos="567" w:leader="none"/>
        <w:tab w:val="left" w:pos="851" w:leader="none"/>
      </w:tabs>
      <w:spacing w:before="120" w:after="0"/>
      <w:ind w:hanging="0" w:left="0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2a3f50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3c12f6"/>
    <w:rPr>
      <w:sz w:val="28"/>
      <w:szCs w:val="28"/>
      <w:shd w:fill="FFFFFF" w:val="clear"/>
    </w:rPr>
  </w:style>
  <w:style w:type="character" w:styleId="Style15" w:customStyle="1">
    <w:name w:val="Нижний колонтитул Знак"/>
    <w:basedOn w:val="DefaultParagraphFont"/>
    <w:uiPriority w:val="99"/>
    <w:qFormat/>
    <w:rsid w:val="00fc560b"/>
    <w:rPr>
      <w:sz w:val="28"/>
      <w:szCs w:val="28"/>
    </w:rPr>
  </w:style>
  <w:style w:type="character" w:styleId="Style16" w:customStyle="1">
    <w:name w:val="Основной текст + Малые прописные"/>
    <w:uiPriority w:val="99"/>
    <w:qFormat/>
    <w:rsid w:val="00932916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7">
    <w:name w:val="Ссылка указателя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5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371bc6"/>
    <w:pPr>
      <w:tabs>
        <w:tab w:val="clear" w:pos="708"/>
        <w:tab w:val="left" w:pos="567" w:leader="none"/>
        <w:tab w:val="left" w:pos="1120" w:leader="none"/>
        <w:tab w:val="right" w:pos="9911" w:leader="dot"/>
      </w:tabs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371bc6"/>
    <w:pPr>
      <w:tabs>
        <w:tab w:val="clear" w:pos="708"/>
        <w:tab w:val="left" w:pos="560" w:leader="none"/>
        <w:tab w:val="right" w:pos="9911" w:leader="dot"/>
      </w:tabs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99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suppressAutoHyphens w:val="true"/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3c12f6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2d5c4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ru-RU" w:bidi="ar-SA"/>
    </w:rPr>
  </w:style>
  <w:style w:type="paragraph" w:styleId="Style36">
    <w:name w:val="Содержимое врезки"/>
    <w:basedOn w:val="Normal"/>
    <w:qFormat/>
    <w:pPr/>
    <w:rPr/>
  </w:style>
  <w:style w:type="paragraph" w:styleId="Style37">
    <w:name w:val="Содержимое таблицы"/>
    <w:basedOn w:val="Normal"/>
    <w:qFormat/>
    <w:pPr>
      <w:widowControl w:val="false"/>
      <w:suppressLineNumbers/>
    </w:pPr>
    <w:rPr/>
  </w:style>
  <w:style w:type="paragraph" w:styleId="Style38">
    <w:name w:val="Заголовок таблицы"/>
    <w:basedOn w:val="Style3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37ED3-1A3F-467D-9E36-D56B68F9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Application>AlterOffice/2026.2.0.0$Linux_X86_64 LibreOffice_project/bc4ef1adf80b36c7a6365f8ed6cbf29021361edd</Application>
  <AppVersion>15.0000</AppVersion>
  <Pages>5</Pages>
  <Words>895</Words>
  <Characters>6029</Characters>
  <CharactersWithSpaces>7287</CharactersWithSpaces>
  <Paragraphs>147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2023-02-06T07:47:00Z</dcterms:created>
  <dc:creator>Быстров Олег Геннадьевич</dc:creator>
  <dc:description/>
  <dc:language>ru-RU</dc:language>
  <cp:lastModifiedBy>shvetsovavb@corp.gidroogk.com</cp:lastModifiedBy>
  <cp:lastPrinted>2024-06-05T14:04:48Z</cp:lastPrinted>
  <dcterms:modified xsi:type="dcterms:W3CDTF">2026-10-30T15:40:21Z</dcterms:modified>
  <cp:revision>34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