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7.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 xml:space="preserve">Договор № </w:t>
      </w:r>
      <w:r>
        <w:rPr>
          <w:rFonts w:eastAsia="Calibri"/>
          <w:b/>
          <w:sz w:val="26"/>
          <w:szCs w:val="26"/>
          <w:lang w:val="ru-RU"/>
        </w:rPr>
        <w:t>2106-РЕМ ПРОД-2026-ТК-КФ</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Петропавловск-Камчатский </w:t>
        <w:tab/>
        <w:tab/>
        <w:tab/>
        <w:tab/>
        <w:tab/>
        <w:tab/>
        <w:t>«___»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(далее – «Заказчик»), </w:t>
      </w:r>
      <w:r>
        <w:rPr>
          <w:sz w:val="24"/>
          <w:szCs w:val="24"/>
          <w:lang w:val="ru-RU"/>
        </w:rPr>
        <w:t xml:space="preserve">в лице Директора Камчатского филиала АО «ТК РусГидро» </w:t>
      </w:r>
      <w:r>
        <w:rPr>
          <w:sz w:val="24"/>
          <w:szCs w:val="24"/>
          <w:lang w:val="ru-RU"/>
        </w:rPr>
        <w:t>____________________________________</w:t>
      </w:r>
      <w:r>
        <w:rPr>
          <w:sz w:val="24"/>
          <w:szCs w:val="24"/>
          <w:lang w:val="ru-RU"/>
        </w:rPr>
        <w:t xml:space="preserve">, действующего на основании </w:t>
      </w:r>
      <w:r>
        <w:rPr>
          <w:sz w:val="24"/>
          <w:szCs w:val="24"/>
          <w:lang w:val="ru-RU"/>
        </w:rPr>
        <w:t>____________________________ _____________________________________</w:t>
      </w:r>
      <w:r>
        <w:rPr>
          <w:sz w:val="24"/>
          <w:szCs w:val="24"/>
          <w:lang w:val="ru-RU"/>
        </w:rPr>
        <w:t xml:space="preserve"> с одной стороны, и</w:t>
      </w:r>
      <w:r>
        <w:rPr>
          <w:b/>
          <w:sz w:val="24"/>
          <w:szCs w:val="24"/>
          <w:lang w:val="ru-RU"/>
        </w:rPr>
        <w:t xml:space="preserve">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sz w:val="24"/>
          <w:szCs w:val="24"/>
          <w:lang w:val="ru-RU" w:eastAsia="ru-RU"/>
        </w:rPr>
      </w:pPr>
      <w:r>
        <w:rPr>
          <w:sz w:val="24"/>
          <w:szCs w:val="24"/>
          <w:lang w:val="ru-RU" w:eastAsia="ru-RU"/>
        </w:rPr>
        <w:t>совместно в дальнейшем именуемые «Стороны», а по отдельности – «Сторона», по результатам проведенной Заказчиком конкурентной процедуры по лоту №2106-РЕМ ПРОД-2026-ТК-КФ, и на основании Протокола №_______ от «___» _________ года,</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overflowPunct w:val="false"/>
        <w:ind w:firstLine="708" w:left="0"/>
        <w:jc w:val="both"/>
        <w:textAlignment w:val="baseline"/>
        <w:rPr/>
      </w:pPr>
      <w:r>
        <w:rPr>
          <w:b/>
          <w:lang w:eastAsia="en-US"/>
        </w:rPr>
        <w:t xml:space="preserve">«ГК РФ» </w:t>
      </w:r>
      <w:r>
        <w:rP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color="auto" w:fill="FFFFFF"/>
        <w:tabs>
          <w:tab w:val="clear" w:pos="709"/>
          <w:tab w:val="left" w:pos="1276" w:leader="none"/>
        </w:tabs>
        <w:ind w:firstLine="709" w:left="0"/>
        <w:jc w:val="both"/>
        <w:rPr/>
      </w:pPr>
      <w:r>
        <w:rPr>
          <w:b/>
          <w:bCs/>
          <w:lang w:eastAsia="en-US"/>
        </w:rPr>
        <w:t>«Система ЭДО общего пользования»</w:t>
      </w:r>
      <w:r>
        <w:rPr>
          <w:lang w:eastAsia="en-US"/>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color="auto" w:fill="FFFFFF"/>
        <w:tabs>
          <w:tab w:val="clear" w:pos="709"/>
          <w:tab w:val="left" w:pos="1276" w:leader="none"/>
        </w:tabs>
        <w:ind w:firstLine="709" w:left="0"/>
        <w:jc w:val="both"/>
        <w:rPr/>
      </w:pPr>
      <w:r>
        <w:rPr>
          <w:b/>
          <w:bCs/>
          <w:color w:val="000000"/>
          <w:lang w:eastAsia="en-US"/>
        </w:rPr>
        <w:t>«УКЭП»</w:t>
      </w:r>
      <w:r>
        <w:rPr>
          <w:color w:val="000000"/>
          <w:lang w:eastAsia="en-US"/>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lang w:val="ru-RU" w:eastAsia="en-US"/>
        </w:rPr>
      </w:pPr>
      <w:r>
        <w:rPr>
          <w:rFonts w:ascii="Times New Roman" w:hAnsi="Times New Roman"/>
          <w:color w:val="auto"/>
          <w:lang w:val="ru-RU" w:eastAsia="ru-RU"/>
        </w:rPr>
        <w:t>«Электронный документ»</w:t>
      </w:r>
      <w:r>
        <w:rPr>
          <w:rFonts w:ascii="Times New Roman" w:hAnsi="Times New Roman"/>
          <w:b w:val="false"/>
          <w:color w:val="auto"/>
          <w:lang w:val="ru-RU" w:eastAsia="ru-RU"/>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BodyText3"/>
        <w:spacing w:before="0" w:after="0"/>
        <w:jc w:val="both"/>
        <w:rPr>
          <w:sz w:val="24"/>
          <w:szCs w:val="24"/>
          <w:lang w:val="ru-RU"/>
        </w:rPr>
      </w:pPr>
      <w:r>
        <w:rPr>
          <w:sz w:val="24"/>
          <w:szCs w:val="24"/>
          <w:lang w:val="ru-RU"/>
        </w:rPr>
      </w:r>
    </w:p>
    <w:p>
      <w:pPr>
        <w:pStyle w:val="ListParagraph"/>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9"/>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текущему ремонту бульдозера ТМ10.11 ГСТ9 для нужд Камчатского филиала АО «ТК РусГидро»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firstLine="709" w:left="0"/>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2"/>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highlight w:val="lightGray"/>
          <w:lang w:val="ru-RU"/>
        </w:rPr>
        <w:t xml:space="preserve"> </w:t>
      </w:r>
      <w:r>
        <w:rPr>
          <w:bCs/>
          <w:lang w:val="ru-RU"/>
        </w:rPr>
        <w:t>Камчатского филиала АО «ТК РусГидро»</w:t>
      </w:r>
      <w:r>
        <w:rPr>
          <w:lang w:val="ru-RU"/>
        </w:rPr>
        <w:t>.</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bCs/>
          <w:lang w:val="ru-RU"/>
        </w:rPr>
      </w:pPr>
      <w:r>
        <w:rPr>
          <w:lang w:val="ru-RU"/>
        </w:rPr>
        <w:t xml:space="preserve">Место оказания Услуг: </w:t>
      </w:r>
      <w:r>
        <w:rPr>
          <w:bCs/>
          <w:lang w:val="ru-RU"/>
        </w:rPr>
        <w:t>Камчатский край</w:t>
      </w:r>
      <w:r>
        <w:rPr>
          <w:lang w:val="ru-RU"/>
        </w:rPr>
        <w:t>.</w:t>
      </w:r>
    </w:p>
    <w:p>
      <w:pPr>
        <w:pStyle w:val="Normal"/>
        <w:widowControl w:val="false"/>
        <w:numPr>
          <w:ilvl w:val="1"/>
          <w:numId w:val="2"/>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2"/>
        </w:numPr>
        <w:shd w:val="clear" w:color="auto" w:fill="FFFFFF"/>
        <w:tabs>
          <w:tab w:val="clear" w:pos="709"/>
          <w:tab w:val="left" w:pos="1134" w:leader="none"/>
          <w:tab w:val="left" w:pos="1418" w:leader="none"/>
        </w:tabs>
        <w:jc w:val="both"/>
        <w:rPr>
          <w:bCs/>
          <w:lang w:val="ru-RU"/>
        </w:rPr>
      </w:pPr>
      <w:r>
        <w:rPr>
          <w:bCs/>
          <w:lang w:val="ru-RU"/>
        </w:rPr>
        <w:t>Начало оказания Услуг: с даты заключения Договора</w:t>
      </w:r>
    </w:p>
    <w:p>
      <w:pPr>
        <w:pStyle w:val="Normal"/>
        <w:widowControl w:val="false"/>
        <w:numPr>
          <w:ilvl w:val="2"/>
          <w:numId w:val="2"/>
        </w:numPr>
        <w:shd w:val="clear" w:color="auto" w:fill="FFFFFF"/>
        <w:tabs>
          <w:tab w:val="clear" w:pos="709"/>
          <w:tab w:val="left" w:pos="1134" w:leader="none"/>
          <w:tab w:val="left" w:pos="1418" w:leader="none"/>
        </w:tabs>
        <w:jc w:val="both"/>
        <w:rPr>
          <w:bCs/>
          <w:lang w:val="ru-RU"/>
        </w:rPr>
      </w:pPr>
      <w:r>
        <w:rPr>
          <w:bCs/>
          <w:lang w:val="ru-RU"/>
        </w:rPr>
        <w:t>Окончание оказания Услуг: «31» декабря 2026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2"/>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2"/>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2"/>
        </w:numPr>
        <w:shd w:val="clear" w:color="auto" w:fill="FFFFFF"/>
        <w:tabs>
          <w:tab w:val="clear" w:pos="709"/>
          <w:tab w:val="left" w:pos="1418" w:leader="none"/>
        </w:tabs>
        <w:ind w:firstLine="709" w:left="0"/>
        <w:jc w:val="both"/>
        <w:rPr/>
      </w:pPr>
      <w:r>
        <w:rPr/>
        <w:t>Принять оказанные Исполнителем Услуги на условиях, по цене и в сроки, предусмотренные Договором.</w:t>
      </w:r>
    </w:p>
    <w:p>
      <w:pPr>
        <w:pStyle w:val="Normal"/>
        <w:numPr>
          <w:ilvl w:val="2"/>
          <w:numId w:val="2"/>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jc w:val="both"/>
        <w:rPr>
          <w:bCs/>
        </w:rPr>
      </w:pPr>
      <w:r>
        <w:rPr>
          <w:bCs/>
        </w:rPr>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0"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0"/>
    </w:p>
    <w:p>
      <w:pPr>
        <w:pStyle w:val="ListParagraph"/>
        <w:numPr>
          <w:ilvl w:val="2"/>
          <w:numId w:val="10"/>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1" w:name="_Ref361334468"/>
      <w:r>
        <w:rPr/>
        <w:t>, установленных Договором.</w:t>
      </w:r>
    </w:p>
    <w:p>
      <w:pPr>
        <w:pStyle w:val="ListParagraph"/>
        <w:numPr>
          <w:ilvl w:val="2"/>
          <w:numId w:val="10"/>
        </w:numPr>
        <w:shd w:val="clear" w:color="auto" w:fill="FFFFFF"/>
        <w:tabs>
          <w:tab w:val="clear" w:pos="709"/>
          <w:tab w:val="left" w:pos="1418" w:leader="none"/>
        </w:tabs>
        <w:ind w:firstLine="709" w:left="0"/>
        <w:jc w:val="both"/>
        <w:rPr/>
      </w:pPr>
      <w:bookmarkStart w:id="2" w:name="_Ref361319348"/>
      <w:bookmarkEnd w:id="1"/>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2"/>
      <w:r>
        <w:rPr/>
        <w:t xml:space="preserve"> </w:t>
      </w:r>
    </w:p>
    <w:p>
      <w:pPr>
        <w:pStyle w:val="Normal"/>
        <w:numPr>
          <w:ilvl w:val="2"/>
          <w:numId w:val="10"/>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0"/>
        </w:numPr>
        <w:ind w:firstLine="709" w:left="0"/>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0"/>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6"/>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6"/>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6"/>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в том числе имеющих разрешения, членства и аттестаты, необходимые для оказания Услуг.</w:t>
      </w:r>
    </w:p>
    <w:p>
      <w:pPr>
        <w:pStyle w:val="ListParagraph"/>
        <w:numPr>
          <w:ilvl w:val="2"/>
          <w:numId w:val="16"/>
        </w:numPr>
        <w:shd w:val="clear" w:color="auto" w:fill="FFFFFF"/>
        <w:tabs>
          <w:tab w:val="clear" w:pos="709"/>
          <w:tab w:val="left" w:pos="1418" w:leader="none"/>
        </w:tabs>
        <w:ind w:firstLine="709"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6"/>
        </w:numPr>
        <w:shd w:val="clear" w:color="auto" w:fill="FFFFFF"/>
        <w:tabs>
          <w:tab w:val="clear" w:pos="709"/>
          <w:tab w:val="left" w:pos="1418" w:leader="none"/>
        </w:tabs>
        <w:ind w:firstLine="709" w:left="0"/>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6"/>
        </w:numPr>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6"/>
        </w:numPr>
        <w:shd w:val="clear" w:color="auto" w:fill="FFFFFF"/>
        <w:tabs>
          <w:tab w:val="clear" w:pos="709"/>
          <w:tab w:val="left" w:pos="1418" w:leader="none"/>
        </w:tabs>
        <w:ind w:firstLine="709" w:left="0"/>
        <w:jc w:val="both"/>
        <w:rPr/>
      </w:pPr>
      <w:bookmarkStart w:id="3"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3"/>
    </w:p>
    <w:p>
      <w:pPr>
        <w:pStyle w:val="ListParagraph"/>
        <w:numPr>
          <w:ilvl w:val="3"/>
          <w:numId w:val="16"/>
        </w:numPr>
        <w:shd w:val="clear" w:color="auto" w:fill="FFFFFF"/>
        <w:tabs>
          <w:tab w:val="clear" w:pos="709"/>
          <w:tab w:val="left" w:pos="1701" w:leader="none"/>
        </w:tabs>
        <w:ind w:firstLine="709" w:left="0"/>
        <w:jc w:val="both"/>
        <w:rPr/>
      </w:pPr>
      <w:bookmarkStart w:id="4"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4"/>
      <w:r>
        <w:rPr/>
        <w:t xml:space="preserve"> </w:t>
      </w:r>
    </w:p>
    <w:p>
      <w:pPr>
        <w:pStyle w:val="ListParagraph"/>
        <w:numPr>
          <w:ilvl w:val="3"/>
          <w:numId w:val="16"/>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6"/>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6"/>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6"/>
        </w:numPr>
        <w:ind w:firstLine="709" w:lef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6"/>
        </w:numPr>
        <w:shd w:val="clear" w:color="auto" w:fill="FFFFFF"/>
        <w:tabs>
          <w:tab w:val="clear" w:pos="709"/>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6"/>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6"/>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6"/>
        </w:numPr>
        <w:shd w:val="clear" w:color="auto" w:fill="FFFFFF"/>
        <w:tabs>
          <w:tab w:val="clear" w:pos="709"/>
          <w:tab w:val="left" w:pos="1418" w:leader="none"/>
        </w:tabs>
        <w:ind w:firstLine="709" w:left="0"/>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left="709"/>
        <w:jc w:val="both"/>
        <w:rPr/>
      </w:pPr>
      <w:r>
        <w:rPr/>
      </w:r>
    </w:p>
    <w:p>
      <w:pPr>
        <w:pStyle w:val="ListParagraph"/>
        <w:numPr>
          <w:ilvl w:val="1"/>
          <w:numId w:val="16"/>
        </w:numPr>
        <w:shd w:val="clear" w:color="auto" w:fill="FFFFFF"/>
        <w:tabs>
          <w:tab w:val="clear" w:pos="709"/>
          <w:tab w:val="left" w:pos="1134" w:leader="none"/>
        </w:tabs>
        <w:ind w:firstLine="709" w:left="0"/>
        <w:jc w:val="both"/>
        <w:rPr>
          <w:bCs/>
          <w:u w:val="single"/>
        </w:rPr>
      </w:pPr>
      <w:r>
        <w:rPr>
          <w:bCs/>
          <w:u w:val="single"/>
        </w:rPr>
        <w:t>Исполнитель имеет право:</w:t>
      </w:r>
    </w:p>
    <w:p>
      <w:pPr>
        <w:pStyle w:val="ListParagraph"/>
        <w:numPr>
          <w:ilvl w:val="2"/>
          <w:numId w:val="16"/>
        </w:numPr>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6"/>
        </w:numPr>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6"/>
        </w:numPr>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25  (двадцать пять)</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3"/>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23"/>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23"/>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2"/>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tabs>
          <w:tab w:val="left" w:pos="709" w:leader="none"/>
          <w:tab w:val="left" w:pos="851" w:leader="none"/>
          <w:tab w:val="left" w:pos="1418" w:leader="none"/>
        </w:tabs>
        <w:ind w:left="709"/>
        <w:jc w:val="both"/>
        <w:rPr>
          <w:highlight w:val="lightGray"/>
        </w:rPr>
      </w:pPr>
      <w:r>
        <w:rPr>
          <w:highlight w:val="lightGray"/>
        </w:rPr>
      </w:r>
    </w:p>
    <w:p>
      <w:pPr>
        <w:pStyle w:val="Style18"/>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1"/>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8"/>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16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17"/>
        </w:numPr>
        <w:tabs>
          <w:tab w:val="clear" w:pos="709"/>
          <w:tab w:val="left" w:pos="1418" w:leader="none"/>
        </w:tabs>
        <w:ind w:firstLine="709" w:left="0"/>
        <w:jc w:val="both"/>
        <w:rPr/>
      </w:pPr>
      <w:r>
        <w:rPr/>
        <w:t>подтверждает Исполнителю согласие с Расчетом стоимости;</w:t>
      </w:r>
    </w:p>
    <w:p>
      <w:pPr>
        <w:pStyle w:val="ListParagraph"/>
        <w:numPr>
          <w:ilvl w:val="0"/>
          <w:numId w:val="17"/>
        </w:numPr>
        <w:tabs>
          <w:tab w:val="clear" w:pos="709"/>
          <w:tab w:val="left" w:pos="1418" w:leader="none"/>
        </w:tabs>
        <w:ind w:firstLine="709" w:left="0"/>
        <w:jc w:val="both"/>
        <w:rPr/>
      </w:pPr>
      <w:r>
        <w:rPr/>
        <w:t>направляет Исполнителю свои возражения (замечания) к Расчету стоимости;</w:t>
      </w:r>
    </w:p>
    <w:p>
      <w:pPr>
        <w:pStyle w:val="ListParagraph"/>
        <w:numPr>
          <w:ilvl w:val="0"/>
          <w:numId w:val="17"/>
        </w:numPr>
        <w:tabs>
          <w:tab w:val="clear" w:pos="709"/>
          <w:tab w:val="left" w:pos="1418" w:leader="none"/>
        </w:tabs>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16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8"/>
        </w:numPr>
        <w:tabs>
          <w:tab w:val="clear" w:pos="709"/>
          <w:tab w:val="left" w:pos="1134" w:leader="none"/>
        </w:tabs>
        <w:ind w:firstLine="709" w:left="0"/>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8"/>
        </w:numPr>
        <w:shd w:val="clear" w:color="auto" w:fill="FFFFFF"/>
        <w:tabs>
          <w:tab w:val="left" w:pos="709" w:leader="none"/>
          <w:tab w:val="left" w:pos="1134" w:leader="none"/>
        </w:tabs>
        <w:ind w:firstLine="709" w:left="0"/>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3 к Договору/УПД в 2 (двух) экземплярах.</w:t>
      </w:r>
    </w:p>
    <w:p>
      <w:pPr>
        <w:pStyle w:val="ListParagraph"/>
        <w:numPr>
          <w:ilvl w:val="1"/>
          <w:numId w:val="18"/>
        </w:numPr>
        <w:shd w:val="clear" w:color="auto" w:fill="FFFFFF"/>
        <w:tabs>
          <w:tab w:val="clear" w:pos="709"/>
          <w:tab w:val="left" w:pos="1134" w:leader="none"/>
        </w:tabs>
        <w:ind w:firstLine="709" w:left="0"/>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8"/>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8"/>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8"/>
        </w:numPr>
        <w:tabs>
          <w:tab w:val="clear" w:pos="709"/>
          <w:tab w:val="left" w:pos="0" w:leader="none"/>
          <w:tab w:val="left" w:pos="1134" w:leader="none"/>
        </w:tabs>
        <w:ind w:firstLine="709" w:left="0"/>
        <w:jc w:val="both"/>
        <w:rPr>
          <w:sz w:val="24"/>
          <w:szCs w:val="24"/>
        </w:rPr>
      </w:pPr>
      <w:bookmarkStart w:id="5"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5"/>
    </w:p>
    <w:p>
      <w:pPr>
        <w:pStyle w:val="ListParagraph"/>
        <w:shd w:val="clear" w:color="auto" w:fill="FFFFFF"/>
        <w:tabs>
          <w:tab w:val="clear" w:pos="709"/>
          <w:tab w:val="left" w:pos="284" w:leader="none"/>
          <w:tab w:val="left" w:pos="1134" w:leader="none"/>
        </w:tabs>
        <w:ind w:left="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 xml:space="preserve">4.1. Стоимость Услуг по Договору (Цена Договора) </w:t>
      </w:r>
      <w:r>
        <w:rPr>
          <w:bCs/>
          <w:lang w:val="ru-RU"/>
        </w:rPr>
        <w:t>является фиксированной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ListParagraph"/>
        <w:shd w:val="clear" w:color="auto" w:fill="FFFFFF"/>
        <w:tabs>
          <w:tab w:val="clear" w:pos="709"/>
          <w:tab w:val="left" w:pos="567" w:leader="none"/>
        </w:tabs>
        <w:ind w:firstLine="709" w:left="0"/>
        <w:jc w:val="both"/>
        <w:rPr/>
      </w:pPr>
      <w:r>
        <w:rPr/>
        <w:t>4.3. Цена Договора включает в себя прибыль Исполнителя, а также все расходы и затраты Исполнителя на:</w:t>
      </w:r>
    </w:p>
    <w:p>
      <w:pPr>
        <w:pStyle w:val="ListParagraph"/>
        <w:numPr>
          <w:ilvl w:val="2"/>
          <w:numId w:val="19"/>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9"/>
        </w:numPr>
        <w:shd w:val="clear" w:color="auto" w:fill="FFFFFF"/>
        <w:tabs>
          <w:tab w:val="clear" w:pos="709"/>
          <w:tab w:val="left" w:pos="710" w:leader="none"/>
        </w:tabs>
        <w:ind w:firstLine="709" w:left="0"/>
        <w:jc w:val="both"/>
        <w:rPr>
          <w:highlight w:val="lightGray"/>
        </w:rPr>
      </w:pPr>
      <w:r>
        <w:rPr/>
        <w:t>заработную плату, накладные</w:t>
      </w:r>
      <w:r>
        <w:rPr>
          <w:highlight w:val="lightGray"/>
        </w:rPr>
        <w:t xml:space="preserve">; </w:t>
      </w:r>
    </w:p>
    <w:p>
      <w:pPr>
        <w:pStyle w:val="ListParagraph"/>
        <w:numPr>
          <w:ilvl w:val="2"/>
          <w:numId w:val="19"/>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9"/>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9"/>
        </w:numPr>
        <w:ind w:firstLine="709" w:left="0"/>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r>
        <w:rPr>
          <w:highlight w:val="lightGray"/>
        </w:rPr>
        <w:t>20 (двадцати) календарных дней</w:t>
      </w:r>
      <w:r>
        <w:rPr>
          <w:rStyle w:val="FootnoteReference"/>
          <w:highlight w:val="lightGray"/>
        </w:rPr>
        <w:footnoteReference w:id="3"/>
      </w:r>
      <w:r>
        <w:rPr>
          <w:highlight w:val="lightGray"/>
        </w:rPr>
        <w:t xml:space="preserve"> / 45 (сорока пяти) календарных дней</w:t>
      </w:r>
      <w:r>
        <w:rPr>
          <w:rStyle w:val="FootnoteReference"/>
          <w:highlight w:val="lightGray"/>
        </w:rPr>
        <w:footnoteReference w:id="4"/>
      </w:r>
      <w:r>
        <w:rPr>
          <w:highlight w:val="lightGray"/>
        </w:rPr>
        <w:t xml:space="preserve"> / 7 (семи) рабочих дней</w:t>
      </w:r>
      <w:r>
        <w:rPr>
          <w:rStyle w:val="FootnoteReference"/>
          <w:highlight w:val="lightGray"/>
        </w:rPr>
        <w:footnoteReference w:id="5"/>
      </w:r>
      <w:r>
        <w:rP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19"/>
        </w:numPr>
        <w:shd w:val="clear" w:color="auto" w:fill="FFFFFF"/>
        <w:tabs>
          <w:tab w:val="clear" w:pos="709"/>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19"/>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shd w:val="clear" w:color="auto" w:fill="FFFFFF"/>
        <w:tabs>
          <w:tab w:val="clear" w:pos="709"/>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19"/>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9"/>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jc w:val="both"/>
        <w:rPr/>
      </w:pPr>
      <w:r>
        <w:rPr/>
      </w:r>
    </w:p>
    <w:p>
      <w:pPr>
        <w:pStyle w:val="ListParagraph"/>
        <w:numPr>
          <w:ilvl w:val="0"/>
          <w:numId w:val="19"/>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firstLine="709" w:left="0"/>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2"/>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2"/>
        </w:numPr>
        <w:shd w:val="clear" w:color="auto" w:fill="FFFFFF" w:themeFill="background1"/>
        <w:tabs>
          <w:tab w:val="left" w:pos="0" w:leader="none"/>
          <w:tab w:val="left" w:pos="709" w:leader="none"/>
          <w:tab w:val="left" w:pos="1134" w:leader="none"/>
          <w:tab w:val="left" w:pos="1418" w:leader="none"/>
        </w:tabs>
        <w:ind w:firstLine="709" w:left="0"/>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2"/>
        </w:numPr>
        <w:shd w:val="clear" w:color="auto" w:fill="FFFFFF"/>
        <w:tabs>
          <w:tab w:val="clear" w:pos="709"/>
          <w:tab w:val="left" w:pos="1134"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2"/>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2"/>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2"/>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2"/>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2"/>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left="709"/>
        <w:jc w:val="both"/>
        <w:rPr>
          <w:bCs/>
        </w:rPr>
      </w:pPr>
      <w:r>
        <w:rPr>
          <w:bCs/>
        </w:rPr>
      </w:r>
    </w:p>
    <w:p>
      <w:pPr>
        <w:pStyle w:val="ListParagraph"/>
        <w:numPr>
          <w:ilvl w:val="0"/>
          <w:numId w:val="12"/>
        </w:numPr>
        <w:shd w:val="clear" w:color="auto" w:fill="FFFFFF"/>
        <w:tabs>
          <w:tab w:val="clear" w:pos="709"/>
          <w:tab w:val="left" w:pos="284" w:leader="none"/>
          <w:tab w:val="left" w:pos="1276" w:leader="none"/>
        </w:tabs>
        <w:ind w:hanging="0" w:left="0"/>
        <w:jc w:val="center"/>
        <w:rPr>
          <w:bCs/>
        </w:rPr>
      </w:pPr>
      <w:r>
        <w:rPr>
          <w:b/>
        </w:rPr>
        <w:t>Исключительные права и патенты</w:t>
      </w:r>
    </w:p>
    <w:p>
      <w:pPr>
        <w:pStyle w:val="ListParagraph"/>
        <w:numPr>
          <w:ilvl w:val="1"/>
          <w:numId w:val="20"/>
        </w:numPr>
        <w:shd w:val="clear" w:color="auto" w:fill="FFFFFF"/>
        <w:tabs>
          <w:tab w:val="clear" w:pos="709"/>
          <w:tab w:val="left" w:pos="284" w:leader="none"/>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0"/>
        </w:numPr>
        <w:shd w:val="clear" w:color="auto" w:fill="FFFFFF"/>
        <w:tabs>
          <w:tab w:val="clear" w:pos="709"/>
          <w:tab w:val="left" w:pos="284" w:leader="none"/>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0"/>
        </w:numPr>
        <w:shd w:val="clear" w:color="auto" w:fill="FFFFFF"/>
        <w:tabs>
          <w:tab w:val="clear" w:pos="709"/>
          <w:tab w:val="left" w:pos="284" w:leader="none"/>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0"/>
        </w:numPr>
        <w:shd w:val="clear" w:color="auto" w:fill="FFFFFF"/>
        <w:tabs>
          <w:tab w:val="clear" w:pos="709"/>
          <w:tab w:val="left" w:pos="284" w:leader="none"/>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0"/>
        </w:numPr>
        <w:shd w:val="clear" w:color="auto" w:fill="FFFFFF"/>
        <w:tabs>
          <w:tab w:val="clear" w:pos="709"/>
          <w:tab w:val="left" w:pos="284" w:leader="none"/>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0"/>
        </w:numPr>
        <w:shd w:val="clear" w:color="auto" w:fill="FFFFFF"/>
        <w:tabs>
          <w:tab w:val="clear" w:pos="709"/>
          <w:tab w:val="left" w:pos="284" w:leader="none"/>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0"/>
        </w:numPr>
        <w:shd w:val="clear" w:color="auto" w:fill="FFFFFF"/>
        <w:tabs>
          <w:tab w:val="clear" w:pos="709"/>
          <w:tab w:val="left" w:pos="284" w:leader="none"/>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s>
        <w:ind w:left="0"/>
        <w:jc w:val="both"/>
        <w:rPr>
          <w:bCs/>
        </w:rPr>
      </w:pPr>
      <w:r>
        <w:rPr>
          <w:bCs/>
        </w:rPr>
      </w:r>
    </w:p>
    <w:p>
      <w:pPr>
        <w:pStyle w:val="ListParagraph"/>
        <w:numPr>
          <w:ilvl w:val="0"/>
          <w:numId w:val="13"/>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1"/>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1"/>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1"/>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1"/>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1"/>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3"/>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3"/>
        </w:numPr>
        <w:tabs>
          <w:tab w:val="clear" w:pos="709"/>
          <w:tab w:val="left" w:pos="1418" w:leader="none"/>
        </w:tabs>
        <w:ind w:firstLine="709" w:left="0"/>
        <w:jc w:val="both"/>
        <w:rPr>
          <w:bCs/>
        </w:rPr>
      </w:pPr>
      <w:r>
        <w:rPr>
          <w:bCs/>
        </w:rPr>
        <w:t>бизнес-планы;</w:t>
      </w:r>
    </w:p>
    <w:p>
      <w:pPr>
        <w:pStyle w:val="Normal"/>
        <w:numPr>
          <w:ilvl w:val="0"/>
          <w:numId w:val="3"/>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6" w:name="_Ref361337849"/>
    </w:p>
    <w:p>
      <w:pPr>
        <w:pStyle w:val="ListParagraph"/>
        <w:numPr>
          <w:ilvl w:val="1"/>
          <w:numId w:val="21"/>
        </w:numPr>
        <w:tabs>
          <w:tab w:val="left" w:pos="709" w:leader="none"/>
          <w:tab w:val="left" w:pos="1134" w:leader="none"/>
        </w:tabs>
        <w:ind w:firstLine="709" w:left="0"/>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6"/>
      <w:r>
        <w:rPr>
          <w:bCs/>
        </w:rPr>
        <w:t xml:space="preserve"> </w:t>
      </w:r>
    </w:p>
    <w:p>
      <w:pPr>
        <w:pStyle w:val="ListParagraph"/>
        <w:numPr>
          <w:ilvl w:val="2"/>
          <w:numId w:val="21"/>
        </w:numPr>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1"/>
        </w:numPr>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1"/>
        </w:numPr>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1"/>
        </w:numPr>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1"/>
        </w:numPr>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1"/>
        </w:numPr>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1"/>
        </w:numPr>
        <w:tabs>
          <w:tab w:val="clear" w:pos="709"/>
          <w:tab w:val="left" w:pos="1134" w:leader="none"/>
        </w:tabs>
        <w:ind w:firstLine="709" w:left="0"/>
        <w:jc w:val="both"/>
        <w:rPr>
          <w:bCs/>
        </w:rPr>
      </w:pPr>
      <w:bookmarkStart w:id="7"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7"/>
    </w:p>
    <w:p>
      <w:pPr>
        <w:pStyle w:val="ListParagraph"/>
        <w:numPr>
          <w:ilvl w:val="2"/>
          <w:numId w:val="21"/>
        </w:numPr>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1"/>
        </w:numPr>
        <w:tabs>
          <w:tab w:val="clear" w:pos="709"/>
          <w:tab w:val="left" w:pos="1134" w:leader="none"/>
        </w:tabs>
        <w:ind w:firstLine="709" w:left="0"/>
        <w:jc w:val="both"/>
        <w:rPr>
          <w:bCs/>
        </w:rPr>
      </w:pPr>
      <w:bookmarkStart w:id="8"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8"/>
    </w:p>
    <w:p>
      <w:pPr>
        <w:pStyle w:val="ListParagraph"/>
        <w:numPr>
          <w:ilvl w:val="1"/>
          <w:numId w:val="21"/>
        </w:numPr>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1"/>
        </w:numPr>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left="709"/>
        <w:jc w:val="both"/>
        <w:rPr>
          <w:bCs/>
        </w:rPr>
      </w:pPr>
      <w:r>
        <w:rPr>
          <w:bCs/>
        </w:rPr>
      </w:r>
    </w:p>
    <w:p>
      <w:pPr>
        <w:pStyle w:val="ListParagraph"/>
        <w:numPr>
          <w:ilvl w:val="0"/>
          <w:numId w:val="21"/>
        </w:numPr>
        <w:tabs>
          <w:tab w:val="clear" w:pos="709"/>
          <w:tab w:val="left" w:pos="284" w:leader="none"/>
          <w:tab w:val="left" w:pos="1134" w:leader="none"/>
        </w:tabs>
        <w:ind w:hanging="0" w:left="0"/>
        <w:jc w:val="center"/>
        <w:rPr>
          <w:bCs/>
        </w:rPr>
      </w:pPr>
      <w:r>
        <w:rPr>
          <w:b/>
          <w:bCs/>
        </w:rPr>
        <w:t>Разрешение споров</w:t>
      </w:r>
    </w:p>
    <w:p>
      <w:pPr>
        <w:pStyle w:val="ListParagraph"/>
        <w:numPr>
          <w:ilvl w:val="1"/>
          <w:numId w:val="21"/>
        </w:numPr>
        <w:tabs>
          <w:tab w:val="left" w:pos="284" w:leader="none"/>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1"/>
        </w:numPr>
        <w:tabs>
          <w:tab w:val="clear" w:pos="709"/>
          <w:tab w:val="left" w:pos="284" w:leader="none"/>
          <w:tab w:val="left" w:pos="1134" w:leader="none"/>
        </w:tabs>
        <w:ind w:firstLine="709" w:left="0"/>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w:t>
      </w:r>
    </w:p>
    <w:p>
      <w:pPr>
        <w:pStyle w:val="ListParagraph"/>
        <w:numPr>
          <w:ilvl w:val="1"/>
          <w:numId w:val="21"/>
        </w:numPr>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14.9</w:t>
      </w:r>
      <w:r>
        <w:rPr>
          <w:bCs/>
        </w:rPr>
        <w:t xml:space="preserve"> Договора.</w:t>
      </w:r>
    </w:p>
    <w:p>
      <w:pPr>
        <w:pStyle w:val="ListParagraph"/>
        <w:numPr>
          <w:ilvl w:val="1"/>
          <w:numId w:val="21"/>
        </w:numPr>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1"/>
        </w:numPr>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left="709"/>
        <w:jc w:val="both"/>
        <w:rPr>
          <w:bCs/>
        </w:rPr>
      </w:pPr>
      <w:r>
        <w:rPr>
          <w:bCs/>
        </w:rPr>
      </w:r>
    </w:p>
    <w:p>
      <w:pPr>
        <w:pStyle w:val="ListParagraph"/>
        <w:numPr>
          <w:ilvl w:val="0"/>
          <w:numId w:val="21"/>
        </w:numPr>
        <w:tabs>
          <w:tab w:val="clear" w:pos="709"/>
          <w:tab w:val="left" w:pos="284" w:leader="none"/>
          <w:tab w:val="left" w:pos="1134" w:leader="none"/>
        </w:tabs>
        <w:ind w:hanging="0" w:left="0"/>
        <w:jc w:val="center"/>
        <w:rPr>
          <w:bCs/>
        </w:rPr>
      </w:pPr>
      <w:r>
        <w:rPr>
          <w:b/>
          <w:bCs/>
        </w:rPr>
        <w:t>Антикоррупционная оговорка</w:t>
      </w:r>
    </w:p>
    <w:p>
      <w:pPr>
        <w:pStyle w:val="ListParagraph"/>
        <w:widowControl w:val="false"/>
        <w:numPr>
          <w:ilvl w:val="1"/>
          <w:numId w:val="21"/>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numPr>
          <w:ilvl w:val="0"/>
          <w:numId w:val="21"/>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1"/>
        </w:numPr>
        <w:shd w:val="clear" w:color="auto" w:fill="FFFFFF"/>
        <w:tabs>
          <w:tab w:val="clear" w:pos="709"/>
          <w:tab w:val="left" w:pos="426"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1"/>
        </w:numPr>
        <w:shd w:val="clear" w:color="auto" w:fill="FFFFFF"/>
        <w:tabs>
          <w:tab w:val="clear" w:pos="709"/>
          <w:tab w:val="left" w:pos="426"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1"/>
        </w:numPr>
        <w:shd w:val="clear" w:color="auto" w:fill="FFFFFF"/>
        <w:tabs>
          <w:tab w:val="clear" w:pos="709"/>
          <w:tab w:val="left" w:pos="426"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1"/>
        </w:numPr>
        <w:shd w:val="clear" w:color="auto" w:fill="FFFFFF"/>
        <w:tabs>
          <w:tab w:val="clear" w:pos="709"/>
          <w:tab w:val="left" w:pos="426"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1"/>
        </w:numPr>
        <w:shd w:val="clear" w:color="auto" w:fill="FFFFFF"/>
        <w:tabs>
          <w:tab w:val="clear" w:pos="709"/>
          <w:tab w:val="left" w:pos="426"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1"/>
        </w:numPr>
        <w:shd w:val="clear" w:color="auto" w:fill="FFFFFF"/>
        <w:tabs>
          <w:tab w:val="clear" w:pos="709"/>
          <w:tab w:val="left" w:pos="426"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firstLine="709" w:left="0"/>
        <w:jc w:val="both"/>
        <w:rPr>
          <w:bCs/>
        </w:rPr>
      </w:pPr>
      <w:r>
        <w:rPr>
          <w:bCs/>
        </w:rPr>
      </w:r>
    </w:p>
    <w:p>
      <w:pPr>
        <w:pStyle w:val="ListParagraph"/>
        <w:numPr>
          <w:ilvl w:val="0"/>
          <w:numId w:val="21"/>
        </w:numPr>
        <w:shd w:val="clear" w:color="auto" w:fill="FFFFFF"/>
        <w:tabs>
          <w:tab w:val="clear" w:pos="709"/>
          <w:tab w:val="left" w:pos="426" w:leader="none"/>
          <w:tab w:val="left" w:pos="1418" w:leader="none"/>
        </w:tabs>
        <w:ind w:hanging="0" w:left="0"/>
        <w:jc w:val="center"/>
        <w:rPr>
          <w:bCs/>
        </w:rPr>
      </w:pPr>
      <w:r>
        <w:rPr>
          <w:b/>
          <w:bCs/>
        </w:rPr>
        <w:t>Особые положения</w:t>
      </w:r>
    </w:p>
    <w:p>
      <w:pPr>
        <w:pStyle w:val="ListParagraph"/>
        <w:numPr>
          <w:ilvl w:val="1"/>
          <w:numId w:val="21"/>
        </w:numPr>
        <w:shd w:val="clear" w:color="auto" w:fill="FFFFFF"/>
        <w:tabs>
          <w:tab w:val="clear" w:pos="709"/>
          <w:tab w:val="left" w:pos="426" w:leader="none"/>
          <w:tab w:val="left" w:pos="1418" w:leader="none"/>
        </w:tabs>
        <w:ind w:firstLine="709" w:left="0"/>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1"/>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1"/>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1"/>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1"/>
        </w:numPr>
        <w:shd w:val="clear" w:color="auto" w:fill="FFFFFF"/>
        <w:tabs>
          <w:tab w:val="clear" w:pos="709"/>
          <w:tab w:val="left" w:pos="1134" w:leader="none"/>
        </w:tabs>
        <w:ind w:firstLine="709" w:left="0"/>
        <w:jc w:val="both"/>
        <w:rPr>
          <w:bCs/>
        </w:rPr>
      </w:pPr>
      <w:bookmarkStart w:id="9"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9"/>
    </w:p>
    <w:p>
      <w:pPr>
        <w:pStyle w:val="ListParagraph"/>
        <w:numPr>
          <w:ilvl w:val="1"/>
          <w:numId w:val="21"/>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1"/>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709"/>
        <w:jc w:val="both"/>
        <w:rPr>
          <w:bCs/>
          <w:lang w:val="ru-RU"/>
        </w:rPr>
      </w:pPr>
      <w:r>
        <w:rPr>
          <w:bCs/>
          <w:lang w:val="ru-RU"/>
        </w:rPr>
      </w:r>
    </w:p>
    <w:p>
      <w:pPr>
        <w:pStyle w:val="ListParagraph"/>
        <w:numPr>
          <w:ilvl w:val="0"/>
          <w:numId w:val="21"/>
        </w:numPr>
        <w:shd w:val="clear" w:color="auto" w:fill="FFFFFF"/>
        <w:tabs>
          <w:tab w:val="clear" w:pos="709"/>
          <w:tab w:val="left" w:pos="426" w:leader="none"/>
          <w:tab w:val="left" w:pos="1134" w:leader="none"/>
        </w:tabs>
        <w:ind w:hanging="0" w:left="0"/>
        <w:jc w:val="center"/>
        <w:rPr>
          <w:bCs/>
        </w:rPr>
      </w:pPr>
      <w:r>
        <w:rPr>
          <w:b/>
          <w:bCs/>
        </w:rPr>
        <w:t>Заверения</w:t>
      </w:r>
      <w:r>
        <w:rPr>
          <w:b/>
        </w:rPr>
        <w:t xml:space="preserve"> Сторон</w:t>
      </w:r>
    </w:p>
    <w:p>
      <w:pPr>
        <w:pStyle w:val="ListParagraph"/>
        <w:numPr>
          <w:ilvl w:val="1"/>
          <w:numId w:val="21"/>
        </w:numPr>
        <w:shd w:val="clear" w:color="auto" w:fill="FFFFFF"/>
        <w:tabs>
          <w:tab w:val="clear" w:pos="709"/>
          <w:tab w:val="left" w:pos="426" w:leader="none"/>
          <w:tab w:val="left" w:pos="1134" w:leader="none"/>
        </w:tabs>
        <w:ind w:firstLine="709" w:left="0"/>
        <w:jc w:val="both"/>
        <w:rPr>
          <w:bCs/>
        </w:rPr>
      </w:pPr>
      <w:r>
        <w:rPr>
          <w:bCs/>
        </w:rPr>
        <w:t>Каждая</w:t>
      </w:r>
      <w:r>
        <w:rPr/>
        <w:t xml:space="preserve"> из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jc w:val="both"/>
        <w:rPr/>
      </w:pPr>
      <w:r>
        <w:rPr/>
      </w:r>
    </w:p>
    <w:p>
      <w:pPr>
        <w:pStyle w:val="ListParagraph"/>
        <w:numPr>
          <w:ilvl w:val="0"/>
          <w:numId w:val="21"/>
        </w:numPr>
        <w:shd w:val="clear" w:color="auto" w:fill="FFFFFF"/>
        <w:tabs>
          <w:tab w:val="clear" w:pos="709"/>
          <w:tab w:val="left" w:pos="426" w:leader="none"/>
          <w:tab w:val="left" w:pos="1134" w:leader="none"/>
          <w:tab w:val="left" w:pos="1418" w:leader="none"/>
        </w:tabs>
        <w:ind w:hanging="0" w:left="0"/>
        <w:jc w:val="center"/>
        <w:rPr/>
      </w:pPr>
      <w:r>
        <w:rPr>
          <w:b/>
          <w:bCs/>
        </w:rPr>
        <w:t>П</w:t>
      </w:r>
      <w:r>
        <w:rPr>
          <w:b/>
        </w:rPr>
        <w:t>рекращение (расторжение) Договора</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14.6</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1"/>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5"/>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5"/>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5"/>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5"/>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1"/>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1"/>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1"/>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jc w:val="both"/>
        <w:rPr/>
      </w:pPr>
      <w:r>
        <w:rPr/>
      </w:r>
    </w:p>
    <w:p>
      <w:pPr>
        <w:pStyle w:val="ListParagraph"/>
        <w:numPr>
          <w:ilvl w:val="0"/>
          <w:numId w:val="21"/>
        </w:numPr>
        <w:shd w:val="clear" w:color="auto" w:fill="FFFFFF"/>
        <w:tabs>
          <w:tab w:val="clear" w:pos="709"/>
          <w:tab w:val="left" w:pos="426" w:leader="none"/>
          <w:tab w:val="left" w:pos="1134" w:leader="none"/>
        </w:tabs>
        <w:ind w:hanging="0" w:left="0"/>
        <w:jc w:val="center"/>
        <w:rPr/>
      </w:pPr>
      <w:r>
        <w:rPr>
          <w:b/>
          <w:bCs/>
        </w:rPr>
        <w:t>Заключительные положения</w:t>
      </w:r>
    </w:p>
    <w:p>
      <w:pPr>
        <w:pStyle w:val="ListParagraph"/>
        <w:numPr>
          <w:ilvl w:val="1"/>
          <w:numId w:val="21"/>
        </w:numPr>
        <w:shd w:val="clear" w:color="auto" w:fill="FFFFFF"/>
        <w:tabs>
          <w:tab w:val="left" w:pos="426" w:leader="none"/>
          <w:tab w:val="left" w:pos="709" w:leader="none"/>
        </w:tabs>
        <w:ind w:firstLine="709" w:left="0"/>
        <w:jc w:val="both"/>
        <w:rPr>
          <w:lang w:eastAsia="en-U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21"/>
        </w:numPr>
        <w:shd w:val="clear" w:color="auto" w:fill="FFFFFF"/>
        <w:tabs>
          <w:tab w:val="left" w:pos="426" w:leader="none"/>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C0C0C0" w:val="clear"/>
        </w:rPr>
        <w:t>14.8</w:t>
      </w:r>
      <w:r>
        <w:rPr/>
        <w:t xml:space="preserve"> Договора. </w:t>
      </w:r>
    </w:p>
    <w:p>
      <w:pPr>
        <w:pStyle w:val="ListParagraph"/>
        <w:numPr>
          <w:ilvl w:val="1"/>
          <w:numId w:val="21"/>
        </w:numPr>
        <w:shd w:val="clear" w:color="auto" w:fill="FFFFFF"/>
        <w:tabs>
          <w:tab w:val="left" w:pos="426" w:leader="none"/>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1"/>
        </w:numPr>
        <w:shd w:val="clear" w:color="auto" w:fill="FFFFFF"/>
        <w:tabs>
          <w:tab w:val="left" w:pos="426" w:leader="none"/>
          <w:tab w:val="left" w:pos="709"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1"/>
        </w:numPr>
        <w:shd w:val="clear" w:color="auto" w:fill="FFFFFF"/>
        <w:tabs>
          <w:tab w:val="left" w:pos="426" w:leader="none"/>
          <w:tab w:val="left" w:pos="709" w:leader="none"/>
        </w:tabs>
        <w:ind w:firstLine="709" w:left="0"/>
        <w:jc w:val="both"/>
        <w:rPr/>
      </w:pPr>
      <w:r>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hd w:fill="C0C0C0" w:val="clear"/>
        </w:rPr>
        <w:t>14.8 или 14.9</w:t>
      </w:r>
      <w:r>
        <w:rPr/>
        <w:t xml:space="preserve"> Договора..</w:t>
      </w:r>
    </w:p>
    <w:p>
      <w:pPr>
        <w:pStyle w:val="ListParagraph"/>
        <w:numPr>
          <w:ilvl w:val="1"/>
          <w:numId w:val="21"/>
        </w:numPr>
        <w:shd w:val="clear" w:color="auto" w:fill="FFFFFF"/>
        <w:tabs>
          <w:tab w:val="clear" w:pos="709"/>
          <w:tab w:val="left" w:pos="142" w:leader="none"/>
          <w:tab w:val="left" w:pos="1134" w:leader="none"/>
          <w:tab w:val="left" w:pos="1418" w:leader="none"/>
        </w:tabs>
        <w:ind w:firstLine="709" w:left="0"/>
        <w:jc w:val="both"/>
        <w:rPr>
          <w:bCs/>
        </w:rPr>
      </w:pPr>
      <w:r>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pPr>
        <w:pStyle w:val="ListParagraph"/>
        <w:numPr>
          <w:ilvl w:val="1"/>
          <w:numId w:val="21"/>
        </w:numPr>
        <w:shd w:val="clear" w:color="auto" w:fill="FFFFFF"/>
        <w:tabs>
          <w:tab w:val="left" w:pos="426" w:leader="none"/>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пунктами </w:t>
      </w:r>
      <w:r>
        <w:rPr>
          <w:shd w:fill="C0C0C0" w:val="clear"/>
        </w:rPr>
        <w:t>14.8 или 14.9</w:t>
      </w:r>
      <w:r>
        <w:rPr/>
        <w:t xml:space="preserve"> Договора. </w:t>
      </w:r>
    </w:p>
    <w:p>
      <w:pPr>
        <w:pStyle w:val="ListParagraph"/>
        <w:numPr>
          <w:ilvl w:val="1"/>
          <w:numId w:val="21"/>
        </w:numPr>
        <w:shd w:val="clear" w:color="auto" w:fill="FFFFFF"/>
        <w:tabs>
          <w:tab w:val="left" w:pos="426" w:leader="none"/>
          <w:tab w:val="left" w:pos="709" w:leader="none"/>
        </w:tabs>
        <w:ind w:firstLine="709" w:left="0"/>
        <w:jc w:val="both"/>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numPr>
          <w:ilvl w:val="2"/>
          <w:numId w:val="21"/>
        </w:numPr>
        <w:shd w:val="clear" w:color="auto" w:fill="FFFFFF"/>
        <w:tabs>
          <w:tab w:val="left" w:pos="426" w:leader="none"/>
          <w:tab w:val="left" w:pos="709" w:leader="none"/>
        </w:tabs>
        <w:ind w:firstLine="709" w:left="0"/>
        <w:jc w:val="both"/>
        <w:rPr/>
      </w:pPr>
      <w:r>
        <w:rPr>
          <w:bCs/>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1"/>
        </w:numPr>
        <w:shd w:val="clear" w:color="auto" w:fill="FFFFFF"/>
        <w:tabs>
          <w:tab w:val="left" w:pos="426" w:leader="none"/>
          <w:tab w:val="left" w:pos="709" w:leader="none"/>
        </w:tabs>
        <w:ind w:firstLine="709" w:lef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numPr>
          <w:ilvl w:val="2"/>
          <w:numId w:val="21"/>
        </w:numPr>
        <w:shd w:val="clear" w:color="auto" w:fill="FFFFFF"/>
        <w:tabs>
          <w:tab w:val="left" w:pos="426" w:leader="none"/>
          <w:tab w:val="left" w:pos="709" w:leader="none"/>
        </w:tabs>
        <w:ind w:firstLine="709" w:left="0"/>
        <w:jc w:val="both"/>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Normal"/>
        <w:widowControl w:val="false"/>
        <w:tabs>
          <w:tab w:val="clear" w:pos="709"/>
          <w:tab w:val="left" w:pos="1418" w:leader="none"/>
        </w:tabs>
        <w:ind w:firstLine="709"/>
        <w:jc w:val="both"/>
        <w:rPr>
          <w:lang w:val="ru-RU"/>
        </w:rPr>
      </w:pPr>
      <w:r>
        <w:rPr>
          <w:bCs/>
          <w:lang w:val="ru-RU"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14.9.1 –14.9.2 Договора.</w:t>
      </w:r>
      <w:r>
        <w:rPr>
          <w:bCs/>
          <w:lang w:val="ru-RU"/>
        </w:rPr>
        <w:t xml:space="preserve"> </w:t>
      </w:r>
    </w:p>
    <w:p>
      <w:pPr>
        <w:pStyle w:val="ListParagraph"/>
        <w:numPr>
          <w:ilvl w:val="1"/>
          <w:numId w:val="21"/>
        </w:numPr>
        <w:shd w:val="clear" w:color="auto" w:fill="FFFFFF"/>
        <w:tabs>
          <w:tab w:val="left" w:pos="709"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1"/>
        </w:numPr>
        <w:shd w:val="clear" w:color="auto" w:fill="FFFFFF"/>
        <w:tabs>
          <w:tab w:val="left" w:pos="709" w:leader="none"/>
        </w:tabs>
        <w:ind w:firstLine="709" w:left="0"/>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1"/>
        </w:numPr>
        <w:shd w:val="clear" w:color="auto" w:fill="FFFFFF"/>
        <w:tabs>
          <w:tab w:val="left" w:pos="709"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1"/>
        </w:numPr>
        <w:shd w:val="clear" w:color="auto" w:fill="FFFFFF"/>
        <w:tabs>
          <w:tab w:val="left" w:pos="709" w:leader="none"/>
        </w:tabs>
        <w:ind w:firstLine="709" w:left="0"/>
        <w:jc w:val="both"/>
        <w:rPr>
          <w:bCs/>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6"/>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5"/>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lang w:val="ru-RU"/>
        </w:rPr>
      </w:pPr>
      <w:r>
        <w:rPr>
          <w:bCs/>
          <w:lang w:val="ru-RU"/>
        </w:rPr>
        <w:t>Приложение № 3</w:t>
      </w:r>
      <w:r>
        <w:rPr>
          <w:lang w:val="ru-RU"/>
        </w:rPr>
        <w:t xml:space="preserve"> – Форма Акта об оказании Услуг.</w:t>
      </w:r>
    </w:p>
    <w:p>
      <w:pPr>
        <w:pStyle w:val="ListParagraph"/>
        <w:shd w:val="clear" w:color="auto" w:fill="FFFFFF"/>
        <w:tabs>
          <w:tab w:val="clear" w:pos="709"/>
          <w:tab w:val="left" w:pos="1134" w:leader="none"/>
          <w:tab w:val="left" w:pos="2127" w:leader="none"/>
          <w:tab w:val="left" w:pos="2410" w:leader="none"/>
        </w:tabs>
        <w:ind w:left="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b/>
                <w:lang w:val="ru-RU"/>
              </w:rPr>
            </w:pPr>
            <w:r>
              <w:rPr>
                <w:b/>
                <w:lang w:val="ru-RU"/>
              </w:rPr>
              <w:t>Акционерное общество</w:t>
            </w:r>
          </w:p>
          <w:p>
            <w:pPr>
              <w:pStyle w:val="Normal"/>
              <w:widowControl w:val="false"/>
              <w:rPr>
                <w:b/>
                <w:lang w:val="ru-RU"/>
              </w:rPr>
            </w:pPr>
            <w:r>
              <w:rPr>
                <w:b/>
                <w:lang w:val="ru-RU"/>
              </w:rPr>
              <w:t>«Транспортная компания РусГидро»</w:t>
            </w:r>
          </w:p>
          <w:p>
            <w:pPr>
              <w:pStyle w:val="Normal"/>
              <w:widowControl w:val="false"/>
              <w:rPr>
                <w:b/>
                <w:lang w:val="ru-RU"/>
              </w:rPr>
            </w:pPr>
            <w:r>
              <w:rPr>
                <w:b/>
                <w:lang w:val="ru-RU"/>
              </w:rPr>
              <w:t>(АО «ТК РусГидро»)</w:t>
            </w:r>
          </w:p>
          <w:p>
            <w:pPr>
              <w:pStyle w:val="Normal"/>
              <w:widowControl w:val="false"/>
              <w:rPr>
                <w:lang w:val="ru-RU"/>
              </w:rPr>
            </w:pPr>
            <w:r>
              <w:rPr>
                <w:lang w:val="ru-RU"/>
              </w:rPr>
              <w:t>Юридический адрес: 655619, Республика Хакасия, г. Саяногорск, рп. Черемушки, стр. 101</w:t>
            </w:r>
          </w:p>
          <w:p>
            <w:pPr>
              <w:pStyle w:val="Normal"/>
              <w:widowControl w:val="false"/>
              <w:rPr>
                <w:lang w:val="ru-RU"/>
              </w:rPr>
            </w:pPr>
            <w:r>
              <w:rPr>
                <w:lang w:val="ru-RU"/>
              </w:rPr>
              <w:t>ОГРН: 1031900676356;</w:t>
            </w:r>
          </w:p>
          <w:p>
            <w:pPr>
              <w:pStyle w:val="Normal"/>
              <w:widowControl w:val="false"/>
              <w:rPr>
                <w:lang w:val="ru-RU"/>
              </w:rPr>
            </w:pPr>
            <w:r>
              <w:rPr>
                <w:lang w:val="ru-RU"/>
              </w:rPr>
              <w:t>ИНН: 1902018248; КПП: 190201001;</w:t>
            </w:r>
          </w:p>
          <w:p>
            <w:pPr>
              <w:pStyle w:val="Normal"/>
              <w:widowControl w:val="false"/>
              <w:rPr>
                <w:lang w:val="ru-RU"/>
              </w:rPr>
            </w:pPr>
            <w:r>
              <w:rPr>
                <w:lang w:val="ru-RU"/>
              </w:rPr>
              <w:t>р/с 40702 810 7 9500 0000002</w:t>
            </w:r>
          </w:p>
          <w:p>
            <w:pPr>
              <w:pStyle w:val="Normal"/>
              <w:widowControl w:val="false"/>
              <w:rPr>
                <w:lang w:val="ru-RU"/>
              </w:rPr>
            </w:pPr>
            <w:r>
              <w:rPr>
                <w:lang w:val="ru-RU"/>
              </w:rPr>
              <w:t xml:space="preserve">«Газпромбанк» (Акционерное общество) </w:t>
            </w:r>
          </w:p>
          <w:p>
            <w:pPr>
              <w:pStyle w:val="Normal"/>
              <w:widowControl w:val="false"/>
              <w:rPr>
                <w:lang w:val="ru-RU"/>
              </w:rPr>
            </w:pPr>
            <w:r>
              <w:rPr>
                <w:lang w:val="ru-RU"/>
              </w:rPr>
              <w:t xml:space="preserve">ГПБ (АО) г. Москва </w:t>
            </w:r>
          </w:p>
          <w:p>
            <w:pPr>
              <w:pStyle w:val="Normal"/>
              <w:widowControl w:val="false"/>
              <w:rPr>
                <w:lang w:val="ru-RU"/>
              </w:rPr>
            </w:pPr>
            <w:r>
              <w:rPr>
                <w:lang w:val="ru-RU"/>
              </w:rPr>
              <w:t xml:space="preserve">к/с 30101 810 2 0000 0000823 </w:t>
            </w:r>
          </w:p>
          <w:p>
            <w:pPr>
              <w:pStyle w:val="Normal"/>
              <w:widowControl w:val="false"/>
              <w:rPr>
                <w:lang w:val="ru-RU"/>
              </w:rPr>
            </w:pPr>
            <w:r>
              <w:rPr>
                <w:lang w:val="ru-RU"/>
              </w:rPr>
              <w:t>БИК 044525823</w:t>
            </w:r>
          </w:p>
          <w:p>
            <w:pPr>
              <w:pStyle w:val="Normal"/>
              <w:widowControl w:val="false"/>
              <w:rPr>
                <w:lang w:val="ru-RU"/>
              </w:rPr>
            </w:pPr>
            <w:r>
              <w:rPr>
                <w:lang w:val="ru-RU"/>
              </w:rPr>
              <w:t xml:space="preserve">Камчатский филиал </w:t>
            </w:r>
          </w:p>
          <w:p>
            <w:pPr>
              <w:pStyle w:val="Normal"/>
              <w:widowControl w:val="false"/>
              <w:rPr>
                <w:lang w:val="ru-RU"/>
              </w:rPr>
            </w:pPr>
            <w:r>
              <w:rPr>
                <w:lang w:val="ru-RU"/>
              </w:rPr>
              <w:t>АО «ТК РусГидро»</w:t>
            </w:r>
          </w:p>
          <w:p>
            <w:pPr>
              <w:pStyle w:val="Normal"/>
              <w:widowControl w:val="false"/>
              <w:rPr>
                <w:lang w:val="ru-RU"/>
              </w:rPr>
            </w:pPr>
            <w:r>
              <w:rPr>
                <w:lang w:val="ru-RU"/>
              </w:rPr>
              <w:t>Почтовый адрес: 683032, Камчатский край, г. Петропавловск-Камчатский, ул. Пограничная, д. 14а</w:t>
            </w:r>
          </w:p>
          <w:p>
            <w:pPr>
              <w:pStyle w:val="Normal"/>
              <w:widowControl w:val="false"/>
              <w:rPr>
                <w:lang w:val="ru-RU"/>
              </w:rPr>
            </w:pPr>
            <w:r>
              <w:rPr>
                <w:lang w:val="ru-RU"/>
              </w:rPr>
              <w:t>ИНН: 1902018248; КПП: 410143001</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lang w:val="ru-RU"/>
              </w:rPr>
              <w:t xml:space="preserve">_______________ / _______________ </w:t>
            </w:r>
          </w:p>
          <w:p>
            <w:pPr>
              <w:pStyle w:val="Normal"/>
              <w:widowControl w:val="false"/>
              <w:rPr>
                <w:lang w:val="ru-RU"/>
              </w:rPr>
            </w:pPr>
            <w:r>
              <w:rPr>
                <w:lang w:val="ru-RU"/>
              </w:rPr>
              <w:t xml:space="preserve"> </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t xml:space="preserve">_______________ / _______________ </w:t>
            </w:r>
          </w:p>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keepNext w:val="true"/>
        <w:numPr>
          <w:ilvl w:val="0"/>
          <w:numId w:val="0"/>
        </w:numPr>
        <w:suppressAutoHyphens w:val="false"/>
        <w:spacing w:before="120" w:after="60"/>
        <w:ind w:hanging="432" w:left="432"/>
        <w:outlineLvl w:val="3"/>
        <w:rPr>
          <w:rFonts w:eastAsia="Calibri"/>
          <w:b/>
          <w:bCs/>
          <w:lang w:val="x-none" w:eastAsia="x-none"/>
        </w:rPr>
      </w:pPr>
      <w:bookmarkStart w:id="10" w:name="_Toc54643696"/>
      <w:r>
        <w:rPr>
          <w:rFonts w:eastAsia="Calibri"/>
          <w:b/>
          <w:bCs/>
          <w:lang w:val="x-none" w:eastAsia="x-none"/>
        </w:rPr>
        <w:t>Наименование закупаемой продукции</w:t>
      </w:r>
      <w:bookmarkEnd w:id="10"/>
    </w:p>
    <w:p>
      <w:pPr>
        <w:pStyle w:val="Normal"/>
        <w:widowControl w:val="false"/>
        <w:tabs>
          <w:tab w:val="clear" w:pos="709"/>
          <w:tab w:val="left" w:pos="426" w:leader="none"/>
        </w:tabs>
        <w:suppressAutoHyphens w:val="false"/>
        <w:spacing w:before="120" w:after="120"/>
        <w:jc w:val="both"/>
        <w:rPr>
          <w:bCs/>
          <w:i/>
          <w:i/>
          <w:sz w:val="22"/>
          <w:shd w:fill="FFFF99" w:val="clear"/>
          <w:lang w:val="ru-RU"/>
        </w:rPr>
      </w:pPr>
      <w:r>
        <w:rPr>
          <w:rFonts w:eastAsia="Calibri"/>
          <w:szCs w:val="26"/>
          <w:lang w:val="ru-RU"/>
        </w:rPr>
        <w:t>ОКПД 2: 45.20.11.500 Услуги по текущему ремонту бульдозера ТМ10.11 ГСТ9 для нужд Камчатского филиала АО «ТК РусГидро».</w:t>
      </w:r>
    </w:p>
    <w:p>
      <w:pPr>
        <w:pStyle w:val="Normal"/>
        <w:keepNext w:val="true"/>
        <w:numPr>
          <w:ilvl w:val="0"/>
          <w:numId w:val="0"/>
        </w:numPr>
        <w:suppressAutoHyphens w:val="false"/>
        <w:spacing w:before="240" w:after="60"/>
        <w:ind w:hanging="431" w:left="431"/>
        <w:outlineLvl w:val="3"/>
        <w:rPr>
          <w:rFonts w:eastAsia="Calibri"/>
          <w:b/>
          <w:bCs/>
          <w:lang w:val="x-none" w:eastAsia="x-none"/>
        </w:rPr>
      </w:pPr>
      <w:bookmarkStart w:id="11" w:name="_Toc54643697"/>
      <w:bookmarkStart w:id="12" w:name="_Toc46743507"/>
      <w:r>
        <w:rPr>
          <w:rFonts w:eastAsia="Calibri"/>
          <w:b/>
          <w:bCs/>
          <w:lang w:val="x-none" w:eastAsia="x-none"/>
        </w:rPr>
        <w:t xml:space="preserve">Цель </w:t>
      </w:r>
      <w:bookmarkEnd w:id="12"/>
      <w:r>
        <w:rPr>
          <w:rFonts w:eastAsia="Calibri"/>
          <w:b/>
          <w:bCs/>
          <w:lang w:val="ru-RU" w:eastAsia="x-none"/>
        </w:rPr>
        <w:t>оказания услуг</w:t>
      </w:r>
      <w:bookmarkEnd w:id="11"/>
    </w:p>
    <w:p>
      <w:pPr>
        <w:pStyle w:val="Normal"/>
        <w:widowControl w:val="false"/>
        <w:tabs>
          <w:tab w:val="clear" w:pos="709"/>
          <w:tab w:val="left" w:pos="426" w:leader="none"/>
        </w:tabs>
        <w:suppressAutoHyphens w:val="false"/>
        <w:spacing w:before="120" w:after="240"/>
        <w:jc w:val="both"/>
        <w:rPr>
          <w:bCs/>
          <w:i/>
          <w:i/>
          <w:shd w:fill="FFFF99" w:val="clear"/>
          <w:lang w:val="ru-RU"/>
        </w:rPr>
      </w:pPr>
      <w:r>
        <w:rPr>
          <w:lang w:val="ru-RU"/>
        </w:rPr>
        <w:t xml:space="preserve">Целью оказания услуг является восстановление технической готовности бульдозера </w:t>
      </w:r>
      <w:r>
        <w:rPr>
          <w:rFonts w:eastAsia="Calibri"/>
          <w:szCs w:val="26"/>
          <w:lang w:val="ru-RU"/>
        </w:rPr>
        <w:t>ТМ10.11 ГСТ9, гос. номер 41 КХ 1575, транспортного участка «Камчатские ТЭЦ», Камчатского филиала АО «ТК РусГидро»,</w:t>
      </w:r>
      <w:r>
        <w:rPr>
          <w:lang w:val="ru-RU"/>
        </w:rPr>
        <w:t xml:space="preserve"> для его эксплуатации по назначению.</w:t>
      </w:r>
    </w:p>
    <w:p>
      <w:pPr>
        <w:pStyle w:val="Normal"/>
        <w:keepNext w:val="true"/>
        <w:keepLines/>
        <w:numPr>
          <w:ilvl w:val="0"/>
          <w:numId w:val="0"/>
        </w:numPr>
        <w:suppressAutoHyphens w:val="false"/>
        <w:spacing w:before="240" w:after="60"/>
        <w:ind w:hanging="0" w:left="0"/>
        <w:outlineLvl w:val="0"/>
        <w:rPr>
          <w:rFonts w:eastAsia="Calibri"/>
          <w:b/>
          <w:lang w:val="ru-RU" w:eastAsia="x-none"/>
        </w:rPr>
      </w:pPr>
      <w:bookmarkStart w:id="13" w:name="_Toc54643699"/>
      <w:r>
        <w:rPr>
          <w:rFonts w:eastAsia="Calibri"/>
          <w:b/>
          <w:lang w:val="x-none" w:eastAsia="x-none"/>
        </w:rPr>
        <w:t>Таблица 1</w:t>
      </w:r>
      <w:r>
        <w:rPr>
          <w:rFonts w:eastAsia="Calibri"/>
          <w:b/>
          <w:lang w:val="ru-RU" w:eastAsia="x-none"/>
        </w:rPr>
        <w:t>.</w:t>
      </w:r>
      <w:r>
        <w:rPr>
          <w:rFonts w:eastAsia="Calibri"/>
          <w:b/>
          <w:lang w:val="x-none" w:eastAsia="x-none"/>
        </w:rPr>
        <w:t xml:space="preserve"> </w:t>
      </w:r>
      <w:r>
        <w:rPr>
          <w:rFonts w:eastAsia="Calibri"/>
          <w:b/>
          <w:lang w:val="ru-RU" w:eastAsia="x-none"/>
        </w:rPr>
        <w:t>Перечень объектов заказчика</w:t>
      </w:r>
      <w:bookmarkEnd w:id="13"/>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817"/>
        <w:gridCol w:w="2862"/>
        <w:gridCol w:w="2126"/>
        <w:gridCol w:w="2129"/>
        <w:gridCol w:w="1984"/>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suppressAutoHyphens w:val="false"/>
              <w:rPr>
                <w:lang w:val="ru-RU"/>
              </w:rPr>
            </w:pPr>
            <w:r>
              <w:rPr>
                <w:lang w:val="ru-RU"/>
              </w:rPr>
              <w:t>№</w:t>
            </w:r>
          </w:p>
          <w:p>
            <w:pPr>
              <w:pStyle w:val="Normal"/>
              <w:suppressAutoHyphens w:val="false"/>
              <w:rPr>
                <w:lang w:val="ru-RU"/>
              </w:rPr>
            </w:pPr>
            <w:r>
              <w:rPr>
                <w:lang w:val="ru-RU"/>
              </w:rPr>
              <w:t>п/п</w:t>
            </w:r>
          </w:p>
        </w:tc>
        <w:tc>
          <w:tcPr>
            <w:tcW w:w="2862"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lang w:val="ru-RU"/>
              </w:rPr>
            </w:pPr>
            <w:r>
              <w:rPr>
                <w:lang w:val="ru-RU"/>
              </w:rPr>
              <w:t>Наименование объекта</w:t>
            </w:r>
          </w:p>
          <w:p>
            <w:pPr>
              <w:pStyle w:val="Normal"/>
              <w:suppressAutoHyphens w:val="false"/>
              <w:jc w:val="center"/>
              <w:rPr>
                <w:lang w:val="ru-RU"/>
              </w:rPr>
            </w:pPr>
            <w:r>
              <w:rPr>
                <w:lang w:val="ru-RU"/>
              </w:rPr>
            </w:r>
          </w:p>
        </w:tc>
        <w:tc>
          <w:tcPr>
            <w:tcW w:w="2126"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lang w:val="ru-RU"/>
              </w:rPr>
            </w:pPr>
            <w:r>
              <w:rPr>
                <w:lang w:val="ru-RU"/>
              </w:rPr>
              <w:t xml:space="preserve">Расположение объекта </w:t>
              <w:br/>
            </w:r>
            <w:r>
              <w:rPr>
                <w:i/>
                <w:iCs/>
                <w:lang w:val="ru-RU"/>
              </w:rPr>
              <w:t>(место оказания услуг)</w:t>
            </w:r>
            <w:r>
              <w:rPr>
                <w:lang w:val="ru-RU"/>
              </w:rPr>
              <w:t xml:space="preserve"> </w:t>
            </w:r>
          </w:p>
        </w:tc>
        <w:tc>
          <w:tcPr>
            <w:tcW w:w="2129"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lang w:val="ru-RU"/>
              </w:rPr>
            </w:pPr>
            <w:r>
              <w:rPr>
                <w:lang w:val="ru-RU"/>
              </w:rPr>
              <w:t xml:space="preserve">Наименование основного средства </w:t>
              <w:br/>
              <w:t>(в отношении которого оказываются услуги)</w:t>
            </w:r>
          </w:p>
        </w:tc>
        <w:tc>
          <w:tcPr>
            <w:tcW w:w="1984"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lang w:val="ru-RU"/>
              </w:rPr>
            </w:pPr>
            <w:r>
              <w:rPr>
                <w:lang w:val="ru-RU"/>
              </w:rPr>
              <w:t>Примечания</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b/>
                <w:lang w:val="ru-RU"/>
              </w:rPr>
            </w:pPr>
            <w:r>
              <w:rPr>
                <w:b/>
                <w:lang w:val="ru-RU"/>
              </w:rPr>
              <w:t>1</w:t>
            </w:r>
          </w:p>
        </w:tc>
        <w:tc>
          <w:tcPr>
            <w:tcW w:w="2862"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b/>
                <w:lang w:val="ru-RU"/>
              </w:rPr>
            </w:pPr>
            <w:r>
              <w:rPr>
                <w:b/>
                <w:lang w:val="ru-RU"/>
              </w:rPr>
              <w:t>2</w:t>
            </w:r>
          </w:p>
        </w:tc>
        <w:tc>
          <w:tcPr>
            <w:tcW w:w="2126"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b/>
                <w:lang w:val="ru-RU"/>
              </w:rPr>
            </w:pPr>
            <w:r>
              <w:rPr>
                <w:b/>
                <w:lang w:val="ru-RU"/>
              </w:rPr>
              <w:t>3</w:t>
            </w:r>
          </w:p>
        </w:tc>
        <w:tc>
          <w:tcPr>
            <w:tcW w:w="2129"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b/>
                <w:lang w:val="ru-RU"/>
              </w:rPr>
            </w:pPr>
            <w:r>
              <w:rPr>
                <w:b/>
                <w:lang w:val="ru-RU"/>
              </w:rPr>
              <w:t>4</w:t>
            </w:r>
          </w:p>
        </w:tc>
        <w:tc>
          <w:tcPr>
            <w:tcW w:w="1984"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b/>
                <w:lang w:val="ru-RU"/>
              </w:rPr>
            </w:pPr>
            <w:r>
              <w:rPr>
                <w:b/>
                <w:lang w:val="ru-RU"/>
              </w:rPr>
              <w:t>5</w:t>
            </w:r>
          </w:p>
        </w:tc>
      </w:tr>
      <w:tr>
        <w:trPr>
          <w:trHeight w:val="881" w:hRule="atLeast"/>
        </w:trPr>
        <w:tc>
          <w:tcPr>
            <w:tcW w:w="817" w:type="dxa"/>
            <w:tcBorders>
              <w:top w:val="single" w:sz="4" w:space="0" w:color="000000"/>
              <w:left w:val="single" w:sz="4" w:space="0" w:color="000000"/>
              <w:bottom w:val="single" w:sz="4" w:space="0" w:color="000000"/>
              <w:right w:val="single" w:sz="4" w:space="0" w:color="000000"/>
            </w:tcBorders>
          </w:tcPr>
          <w:p>
            <w:pPr>
              <w:pStyle w:val="Normal"/>
              <w:numPr>
                <w:ilvl w:val="0"/>
                <w:numId w:val="26"/>
              </w:numPr>
              <w:suppressAutoHyphens w:val="false"/>
              <w:spacing w:before="0" w:after="0"/>
              <w:contextualSpacing/>
              <w:rPr>
                <w:rFonts w:eastAsia="Calibri"/>
                <w:lang w:val="ru-RU"/>
              </w:rPr>
            </w:pPr>
            <w:r>
              <w:rPr>
                <w:rFonts w:eastAsia="Calibri"/>
                <w:lang w:val="ru-RU"/>
              </w:rPr>
            </w:r>
          </w:p>
        </w:tc>
        <w:tc>
          <w:tcPr>
            <w:tcW w:w="28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tabs>
                <w:tab w:val="clear" w:pos="709"/>
                <w:tab w:val="left" w:pos="426" w:leader="none"/>
              </w:tabs>
              <w:suppressAutoHyphens w:val="true"/>
              <w:bidi w:val="0"/>
              <w:spacing w:before="0" w:after="0"/>
              <w:jc w:val="center"/>
              <w:rPr>
                <w:rFonts w:ascii="Times New Roman" w:hAnsi="Times New Roman" w:eastAsia="Times New Roman" w:cs="Times New Roman"/>
                <w:iCs/>
                <w:color w:val="auto"/>
                <w:kern w:val="0"/>
                <w:sz w:val="24"/>
                <w:szCs w:val="28"/>
                <w:lang w:val="ru-RU" w:eastAsia="ru-RU" w:bidi="ar-SA"/>
              </w:rPr>
            </w:pPr>
            <w:r>
              <w:rPr>
                <w:rFonts w:eastAsia="Times New Roman" w:cs="Times New Roman"/>
                <w:iCs/>
                <w:color w:val="auto"/>
                <w:kern w:val="0"/>
                <w:sz w:val="24"/>
                <w:szCs w:val="28"/>
                <w:lang w:val="ru-RU" w:eastAsia="ru-RU" w:bidi="ar-SA"/>
              </w:rPr>
              <w:t>ОКПД 2: 33.17.19.000 Услуги по текущему ремонту бульдозера ТМ10.11 ГСТ9 для нужд Камчатского филиала АО «ТК РусГидро»</w:t>
            </w:r>
          </w:p>
        </w:tc>
        <w:tc>
          <w:tcPr>
            <w:tcW w:w="2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center"/>
              <w:rPr>
                <w:iCs/>
                <w:lang w:val="ru-RU"/>
              </w:rPr>
            </w:pPr>
            <w:r>
              <w:rPr>
                <w:iCs/>
                <w:lang w:val="ru-RU"/>
              </w:rPr>
              <w:t>Камчатский край,</w:t>
            </w:r>
          </w:p>
          <w:p>
            <w:pPr>
              <w:pStyle w:val="Normal"/>
              <w:suppressAutoHyphens w:val="false"/>
              <w:jc w:val="center"/>
              <w:rPr>
                <w:iCs/>
                <w:lang w:val="ru-RU"/>
              </w:rPr>
            </w:pPr>
            <w:r>
              <w:rPr>
                <w:iCs/>
                <w:lang w:val="ru-RU"/>
              </w:rPr>
              <w:t>г. Петропавловск-Камчатский,</w:t>
            </w:r>
          </w:p>
          <w:p>
            <w:pPr>
              <w:pStyle w:val="Normal"/>
              <w:suppressAutoHyphens w:val="false"/>
              <w:jc w:val="center"/>
              <w:rPr>
                <w:iCs/>
                <w:lang w:val="ru-RU"/>
              </w:rPr>
            </w:pPr>
            <w:r>
              <w:rPr>
                <w:iCs/>
                <w:lang w:val="ru-RU"/>
              </w:rPr>
              <w:t>ул. Степная, 50</w:t>
            </w:r>
          </w:p>
        </w:tc>
        <w:tc>
          <w:tcPr>
            <w:tcW w:w="2129"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iCs/>
                <w:lang w:val="ru-RU"/>
              </w:rPr>
            </w:pPr>
            <w:r>
              <w:rPr>
                <w:iCs/>
                <w:lang w:val="ru-RU"/>
              </w:rPr>
              <w:t>Бульдозер ТМ10.11 ГСТ9, гос. номер 41 КХ 1575</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center"/>
              <w:rPr>
                <w:iCs/>
                <w:lang w:val="ru-RU"/>
              </w:rPr>
            </w:pPr>
            <w:r>
              <w:rPr>
                <w:iCs/>
                <w:lang w:val="ru-RU"/>
              </w:rPr>
            </w:r>
          </w:p>
        </w:tc>
      </w:tr>
    </w:tbl>
    <w:p>
      <w:pPr>
        <w:pStyle w:val="Normal"/>
        <w:keepNext w:val="true"/>
        <w:numPr>
          <w:ilvl w:val="0"/>
          <w:numId w:val="0"/>
        </w:numPr>
        <w:suppressAutoHyphens w:val="false"/>
        <w:spacing w:before="120" w:after="60"/>
        <w:ind w:hanging="0" w:left="0"/>
        <w:jc w:val="center"/>
        <w:outlineLvl w:val="3"/>
        <w:rPr>
          <w:rFonts w:eastAsia="Calibri"/>
          <w:b/>
          <w:bCs/>
          <w:lang w:val="x-none" w:eastAsia="x-none"/>
        </w:rPr>
      </w:pPr>
      <w:bookmarkStart w:id="14" w:name="_Toc54643700"/>
      <w:bookmarkStart w:id="15" w:name="_Toc46743509"/>
      <w:bookmarkStart w:id="16" w:name="_Hlk49857604"/>
      <w:r>
        <w:rPr>
          <w:rFonts w:eastAsia="Calibri"/>
          <w:b/>
          <w:bCs/>
          <w:lang w:val="x-none" w:eastAsia="x-none"/>
        </w:rPr>
        <w:t xml:space="preserve">Информация в отношении исполнения договора, </w:t>
      </w:r>
      <w:bookmarkStart w:id="17" w:name="_Hlk46492347"/>
      <w:r>
        <w:rPr>
          <w:rFonts w:eastAsia="Calibri"/>
          <w:b/>
          <w:bCs/>
          <w:lang w:val="x-none" w:eastAsia="x-none"/>
        </w:rPr>
        <w:t xml:space="preserve">которая должна быть учтена при подготовке заявки </w:t>
      </w:r>
      <w:bookmarkEnd w:id="17"/>
      <w:r>
        <w:rPr>
          <w:rFonts w:eastAsia="Calibri"/>
          <w:b/>
          <w:bCs/>
          <w:lang w:val="x-none" w:eastAsia="x-none"/>
        </w:rPr>
        <w:t xml:space="preserve">(в том числе перечень ресурсов, услуг и документов, предоставляемых </w:t>
      </w:r>
      <w:r>
        <w:rPr>
          <w:rFonts w:eastAsia="Calibri"/>
          <w:b/>
          <w:bCs/>
          <w:lang w:val="ru-RU" w:eastAsia="x-none"/>
        </w:rPr>
        <w:t>заказчиком</w:t>
      </w:r>
      <w:r>
        <w:rPr>
          <w:rFonts w:eastAsia="Calibri"/>
          <w:b/>
          <w:bCs/>
          <w:lang w:val="x-none" w:eastAsia="x-none"/>
        </w:rPr>
        <w:t xml:space="preserve"> на этапе исполнения договора)</w:t>
      </w:r>
      <w:bookmarkEnd w:id="14"/>
      <w:bookmarkEnd w:id="15"/>
      <w:bookmarkEnd w:id="16"/>
    </w:p>
    <w:p>
      <w:pPr>
        <w:pStyle w:val="Normal"/>
        <w:keepNext w:val="true"/>
        <w:numPr>
          <w:ilvl w:val="0"/>
          <w:numId w:val="0"/>
        </w:numPr>
        <w:suppressAutoHyphens w:val="false"/>
        <w:spacing w:before="120" w:after="60"/>
        <w:ind w:firstLine="709" w:left="0"/>
        <w:jc w:val="both"/>
        <w:outlineLvl w:val="2"/>
        <w:rPr>
          <w:iCs/>
          <w:lang w:val="ru-RU"/>
        </w:rPr>
      </w:pPr>
      <w:bookmarkStart w:id="18" w:name="_Hlk48209761"/>
      <w:bookmarkEnd w:id="18"/>
      <w:r>
        <w:rPr>
          <w:iCs/>
          <w:lang w:val="ru-RU"/>
        </w:rPr>
        <w:t>Оказание услуг по текущему ремонту бульдозера ТМ10.11 ГСТ9 заключается в устранении возникших в процессе эксплуатации неисправностей путем замены или ремонта отдельных деталей агрегата, а также проведение комплекса мероприятий в рамках регламентного обслуживания узлов и агрегатов.</w:t>
      </w:r>
    </w:p>
    <w:p>
      <w:pPr>
        <w:pStyle w:val="Normal"/>
        <w:keepNext w:val="true"/>
        <w:numPr>
          <w:ilvl w:val="0"/>
          <w:numId w:val="0"/>
        </w:numPr>
        <w:suppressAutoHyphens w:val="false"/>
        <w:spacing w:before="120" w:after="60"/>
        <w:ind w:firstLine="709" w:left="0"/>
        <w:jc w:val="both"/>
        <w:outlineLvl w:val="2"/>
        <w:rPr>
          <w:iCs/>
          <w:lang w:val="ru-RU"/>
        </w:rPr>
      </w:pPr>
      <w:r>
        <w:rPr>
          <w:iCs/>
          <w:lang w:val="ru-RU"/>
        </w:rPr>
        <w:t>По заявке Заказчика Участник составляет предварительный заказ-наряд, с указанием стоимости работ (услуг) и материалов, копия которого направляется для рассмотрения представителю Заказчика. После рассмотрения заказ - наряда (дефектной ведомости) и утверждения Заказчиком, в адрес Исполнителя направляется информация о согласии или отказе от оказания услуг.</w:t>
      </w:r>
    </w:p>
    <w:p>
      <w:pPr>
        <w:pStyle w:val="Normal"/>
        <w:keepNext w:val="true"/>
        <w:numPr>
          <w:ilvl w:val="0"/>
          <w:numId w:val="0"/>
        </w:numPr>
        <w:suppressAutoHyphens w:val="false"/>
        <w:spacing w:before="120" w:after="60"/>
        <w:ind w:firstLine="709" w:left="0"/>
        <w:jc w:val="both"/>
        <w:outlineLvl w:val="2"/>
        <w:rPr>
          <w:iCs/>
          <w:lang w:val="ru-RU"/>
        </w:rPr>
      </w:pPr>
      <w:r>
        <w:rPr>
          <w:iCs/>
          <w:lang w:val="x-none" w:eastAsia="x-none"/>
        </w:rPr>
        <w:t>В ходе оказания услуг Участник применяет расходные материалы и запасные части Заказчика, а также собственные запасные части и расходные материалы, при условии, что стоимость предоставляемых для ремонта запасных частей и расходных материалов не превышает стоимость розничной реализации у поставщиков в данном регионе и заранее согласовывается с Заказчиком при составлении заказ-наряда.</w:t>
      </w:r>
    </w:p>
    <w:p>
      <w:pPr>
        <w:pStyle w:val="Normal"/>
        <w:keepNext w:val="true"/>
        <w:numPr>
          <w:ilvl w:val="0"/>
          <w:numId w:val="0"/>
        </w:numPr>
        <w:suppressAutoHyphens w:val="false"/>
        <w:spacing w:before="120" w:after="60"/>
        <w:ind w:firstLine="709" w:left="0"/>
        <w:jc w:val="both"/>
        <w:outlineLvl w:val="2"/>
        <w:rPr>
          <w:iCs/>
          <w:lang w:val="ru-RU"/>
        </w:rPr>
      </w:pPr>
      <w:r>
        <w:rPr>
          <w:iCs/>
          <w:lang w:val="x-none" w:eastAsia="x-none"/>
        </w:rPr>
        <w:t>В стоимость услуг включаются все расходы Участника, связанные с их оказанием, в том числе командировочные расходы на расходные материалы и запасные части, проезд специалистов Участника к месту оказания услуг в г. Петропавловск-Камчатский и обратно, суточные, их проживание в регионе оказания услуг, оплату обязательных платежей (налоги, пошлины и т.п.), при этом итоговая стоимость услуг по каждой заявке заранее согласовывается с Заказчиком при составлении заказ-наряда.</w:t>
      </w:r>
    </w:p>
    <w:p>
      <w:pPr>
        <w:pStyle w:val="Normal"/>
        <w:keepNext w:val="true"/>
        <w:numPr>
          <w:ilvl w:val="0"/>
          <w:numId w:val="0"/>
        </w:numPr>
        <w:suppressAutoHyphens w:val="false"/>
        <w:spacing w:before="120" w:after="60"/>
        <w:ind w:firstLine="709" w:left="0"/>
        <w:jc w:val="both"/>
        <w:outlineLvl w:val="2"/>
        <w:rPr>
          <w:iCs/>
          <w:lang w:val="ru-RU"/>
        </w:rPr>
      </w:pPr>
      <w:r>
        <w:rPr>
          <w:iCs/>
          <w:lang w:val="x-none" w:eastAsia="x-none"/>
        </w:rPr>
        <w:t>Фактический объем услуг по договору определяется Заказчиком, исходя из его потребностей. Услуги выполняются на основании поданной Заказчиком заявки. В случае если в процессе выполнения услуг будут выявлены дополнительные дефекты, требующие устранения, такие работы могут выполняться только с согласия Заказчика.</w:t>
      </w:r>
    </w:p>
    <w:p>
      <w:pPr>
        <w:pStyle w:val="Normal"/>
        <w:keepNext w:val="true"/>
        <w:numPr>
          <w:ilvl w:val="0"/>
          <w:numId w:val="0"/>
        </w:numPr>
        <w:suppressAutoHyphens w:val="false"/>
        <w:spacing w:before="120" w:after="60"/>
        <w:ind w:firstLine="709" w:left="0"/>
        <w:jc w:val="both"/>
        <w:outlineLvl w:val="2"/>
        <w:rPr>
          <w:iCs/>
          <w:lang w:val="ru-RU"/>
        </w:rPr>
      </w:pPr>
      <w:r>
        <w:rPr>
          <w:iCs/>
          <w:lang w:val="x-none" w:eastAsia="x-none"/>
        </w:rPr>
        <w:t>Все расходные материалы, замененные в процессе проведения текущего ремонта транспортных средств Заказчика, остаются в собственности Заказчика и утилизируются его силами.</w:t>
      </w:r>
    </w:p>
    <w:p>
      <w:pPr>
        <w:pStyle w:val="Normal"/>
        <w:suppressAutoHyphens w:val="false"/>
        <w:spacing w:before="0" w:after="0"/>
        <w:ind w:firstLine="709"/>
        <w:contextualSpacing/>
        <w:jc w:val="both"/>
        <w:rPr>
          <w:iCs/>
          <w:lang w:val="ru-RU"/>
        </w:rPr>
      </w:pPr>
      <w:r>
        <w:rPr>
          <w:iCs/>
          <w:lang w:val="ru-RU"/>
        </w:rPr>
      </w:r>
    </w:p>
    <w:p>
      <w:pPr>
        <w:pStyle w:val="Normal"/>
        <w:keepNext w:val="true"/>
        <w:keepLines/>
        <w:numPr>
          <w:ilvl w:val="0"/>
          <w:numId w:val="0"/>
        </w:numPr>
        <w:suppressAutoHyphens w:val="false"/>
        <w:spacing w:before="120" w:after="60"/>
        <w:ind w:hanging="0" w:left="0"/>
        <w:jc w:val="center"/>
        <w:outlineLvl w:val="0"/>
        <w:rPr>
          <w:rFonts w:eastAsia="Calibri"/>
          <w:b/>
          <w:iCs/>
          <w:caps/>
          <w:sz w:val="28"/>
          <w:szCs w:val="28"/>
          <w:lang w:val="ru-RU" w:eastAsia="x-none"/>
        </w:rPr>
      </w:pPr>
      <w:bookmarkStart w:id="19" w:name="_Toc51339693"/>
      <w:bookmarkStart w:id="20" w:name="_Toc54643702"/>
      <w:bookmarkStart w:id="21" w:name="_Toc50125126"/>
      <w:bookmarkStart w:id="22" w:name="_Hlk48209761_Копия_1"/>
      <w:bookmarkEnd w:id="21"/>
      <w:bookmarkEnd w:id="22"/>
      <w:r>
        <w:rPr>
          <w:rFonts w:eastAsia="Calibri"/>
          <w:b/>
          <w:iCs/>
          <w:sz w:val="28"/>
          <w:szCs w:val="28"/>
          <w:lang w:val="ru-RU" w:eastAsia="x-none"/>
        </w:rPr>
        <w:t>Требования</w:t>
      </w:r>
      <w:r>
        <w:rPr>
          <w:rFonts w:eastAsia="Calibri"/>
          <w:b/>
          <w:iCs/>
          <w:sz w:val="28"/>
          <w:szCs w:val="28"/>
          <w:lang w:val="x-none" w:eastAsia="x-none"/>
        </w:rPr>
        <w:t xml:space="preserve"> к продукции</w:t>
      </w:r>
      <w:bookmarkEnd w:id="19"/>
      <w:bookmarkEnd w:id="20"/>
    </w:p>
    <w:p>
      <w:pPr>
        <w:pStyle w:val="Normal"/>
        <w:keepNext w:val="true"/>
        <w:numPr>
          <w:ilvl w:val="0"/>
          <w:numId w:val="0"/>
        </w:numPr>
        <w:suppressAutoHyphens w:val="false"/>
        <w:spacing w:before="120" w:after="60"/>
        <w:ind w:hanging="432" w:left="432"/>
        <w:outlineLvl w:val="3"/>
        <w:rPr>
          <w:rFonts w:eastAsia="Calibri"/>
          <w:b/>
          <w:bCs/>
          <w:lang w:val="x-none" w:eastAsia="x-none"/>
        </w:rPr>
      </w:pPr>
      <w:bookmarkStart w:id="23" w:name="_Toc54643703"/>
      <w:r>
        <w:rPr>
          <w:rFonts w:eastAsia="Calibri"/>
          <w:b/>
          <w:bCs/>
          <w:lang w:val="x-none" w:eastAsia="x-none"/>
        </w:rPr>
        <w:t xml:space="preserve">Требования к объемам и срокам </w:t>
      </w:r>
      <w:r>
        <w:rPr>
          <w:rFonts w:eastAsia="Calibri"/>
          <w:b/>
          <w:bCs/>
          <w:lang w:val="ru-RU" w:eastAsia="x-none"/>
        </w:rPr>
        <w:t>оказания услуг</w:t>
      </w:r>
      <w:bookmarkEnd w:id="23"/>
    </w:p>
    <w:p>
      <w:pPr>
        <w:pStyle w:val="Normal"/>
        <w:keepNext w:val="true"/>
        <w:numPr>
          <w:ilvl w:val="0"/>
          <w:numId w:val="0"/>
        </w:numPr>
        <w:suppressAutoHyphens w:val="false"/>
        <w:spacing w:before="120" w:after="60"/>
        <w:ind w:hanging="504" w:left="1224"/>
        <w:outlineLvl w:val="2"/>
        <w:rPr>
          <w:rFonts w:eastAsia="Calibri"/>
          <w:b/>
          <w:lang w:val="x-none" w:eastAsia="x-none"/>
        </w:rPr>
      </w:pPr>
      <w:bookmarkStart w:id="24" w:name="_Toc54643704"/>
      <w:r>
        <w:rPr>
          <w:rFonts w:eastAsia="Calibri"/>
          <w:b/>
          <w:lang w:val="ru-RU" w:eastAsia="x-none"/>
        </w:rPr>
        <w:t>Требования к перечню и объему услуг</w:t>
      </w:r>
      <w:bookmarkEnd w:id="24"/>
    </w:p>
    <w:p>
      <w:pPr>
        <w:pStyle w:val="Normal"/>
        <w:keepNext w:val="true"/>
        <w:keepLines/>
        <w:numPr>
          <w:ilvl w:val="0"/>
          <w:numId w:val="0"/>
        </w:numPr>
        <w:suppressAutoHyphens w:val="false"/>
        <w:spacing w:before="240" w:after="60"/>
        <w:ind w:hanging="0" w:left="0"/>
        <w:outlineLvl w:val="0"/>
        <w:rPr>
          <w:rFonts w:eastAsia="Calibri"/>
          <w:b/>
          <w:lang w:val="ru-RU" w:eastAsia="x-none"/>
        </w:rPr>
      </w:pPr>
      <w:bookmarkStart w:id="25" w:name="_Toc54643705"/>
      <w:bookmarkStart w:id="26" w:name="_Toc51339695"/>
      <w:r>
        <w:rPr>
          <w:rFonts w:eastAsia="Calibri"/>
          <w:b/>
          <w:lang w:val="x-none" w:eastAsia="x-none"/>
        </w:rPr>
        <w:t xml:space="preserve">Таблица </w:t>
      </w:r>
      <w:r>
        <w:rPr>
          <w:rFonts w:eastAsia="Calibri"/>
          <w:b/>
          <w:lang w:val="ru-RU" w:eastAsia="x-none"/>
        </w:rPr>
        <w:t>2.</w:t>
      </w:r>
      <w:r>
        <w:rPr>
          <w:rFonts w:eastAsia="Calibri"/>
          <w:b/>
          <w:lang w:val="x-none" w:eastAsia="x-none"/>
        </w:rPr>
        <w:t xml:space="preserve"> </w:t>
      </w:r>
      <w:r>
        <w:rPr>
          <w:rFonts w:eastAsia="Calibri"/>
          <w:b/>
          <w:lang w:val="ru-RU" w:eastAsia="x-none"/>
        </w:rPr>
        <w:t xml:space="preserve">Перечень </w:t>
      </w:r>
      <w:bookmarkEnd w:id="26"/>
      <w:r>
        <w:rPr>
          <w:rFonts w:eastAsia="Calibri"/>
          <w:b/>
          <w:lang w:val="ru-RU" w:eastAsia="x-none"/>
        </w:rPr>
        <w:t>и объем оказываемых услуг</w:t>
      </w:r>
      <w:bookmarkEnd w:id="25"/>
    </w:p>
    <w:tbl>
      <w:tblPr>
        <w:tblW w:w="9810"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849"/>
        <w:gridCol w:w="4849"/>
        <w:gridCol w:w="1987"/>
        <w:gridCol w:w="2124"/>
      </w:tblGrid>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lang w:val="ru-RU"/>
              </w:rPr>
            </w:pPr>
            <w:r>
              <w:rPr>
                <w:lang w:val="ru-RU"/>
              </w:rPr>
              <w:t>№</w:t>
            </w:r>
          </w:p>
          <w:p>
            <w:pPr>
              <w:pStyle w:val="Normal"/>
              <w:keepNext w:val="true"/>
              <w:jc w:val="center"/>
              <w:rPr>
                <w:lang w:val="ru-RU"/>
              </w:rPr>
            </w:pPr>
            <w:r>
              <w:rPr>
                <w:lang w:val="ru-RU"/>
              </w:rPr>
              <w:t>п/п</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lang w:val="ru-RU"/>
              </w:rPr>
            </w:pPr>
            <w:r>
              <w:rPr>
                <w:lang w:val="ru-RU"/>
              </w:rPr>
              <w:t>Наименование услуг / этапа услуг</w:t>
            </w:r>
          </w:p>
        </w:tc>
        <w:tc>
          <w:tcPr>
            <w:tcW w:w="1987"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lang w:val="ru-RU"/>
              </w:rPr>
            </w:pPr>
            <w:r>
              <w:rPr>
                <w:lang w:val="ru-RU"/>
              </w:rPr>
              <w:t>Единица измерения</w:t>
            </w:r>
          </w:p>
        </w:tc>
        <w:tc>
          <w:tcPr>
            <w:tcW w:w="2124"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lang w:val="ru-RU"/>
              </w:rPr>
            </w:pPr>
            <w:r>
              <w:rPr>
                <w:lang w:val="ru-RU"/>
              </w:rPr>
              <w:t>Количество</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jc w:val="center"/>
              <w:rPr>
                <w:b/>
                <w:lang w:val="ru-RU"/>
              </w:rPr>
            </w:pPr>
            <w:r>
              <w:rPr>
                <w:b/>
                <w:lang w:val="ru-RU"/>
              </w:rPr>
              <w:t>1</w:t>
            </w:r>
          </w:p>
        </w:tc>
        <w:tc>
          <w:tcPr>
            <w:tcW w:w="4849" w:type="dxa"/>
            <w:tcBorders>
              <w:top w:val="single" w:sz="4" w:space="0" w:color="000000"/>
              <w:left w:val="single" w:sz="4" w:space="0" w:color="000000"/>
              <w:bottom w:val="single" w:sz="4" w:space="0" w:color="000000"/>
              <w:right w:val="single" w:sz="4" w:space="0" w:color="000000"/>
            </w:tcBorders>
          </w:tcPr>
          <w:p>
            <w:pPr>
              <w:pStyle w:val="Normal"/>
              <w:jc w:val="center"/>
              <w:rPr>
                <w:b/>
                <w:lang w:val="ru-RU"/>
              </w:rPr>
            </w:pPr>
            <w:r>
              <w:rPr>
                <w:b/>
                <w:lang w:val="ru-RU"/>
              </w:rPr>
              <w:t>2</w:t>
            </w:r>
          </w:p>
        </w:tc>
        <w:tc>
          <w:tcPr>
            <w:tcW w:w="1987" w:type="dxa"/>
            <w:tcBorders>
              <w:top w:val="single" w:sz="4" w:space="0" w:color="000000"/>
              <w:left w:val="single" w:sz="4" w:space="0" w:color="000000"/>
              <w:bottom w:val="single" w:sz="4" w:space="0" w:color="000000"/>
              <w:right w:val="single" w:sz="4" w:space="0" w:color="000000"/>
            </w:tcBorders>
          </w:tcPr>
          <w:p>
            <w:pPr>
              <w:pStyle w:val="Normal"/>
              <w:jc w:val="center"/>
              <w:rPr>
                <w:b/>
                <w:lang w:val="ru-RU"/>
              </w:rPr>
            </w:pPr>
            <w:r>
              <w:rPr>
                <w:b/>
                <w:lang w:val="ru-RU"/>
              </w:rPr>
              <w:t>3</w:t>
            </w:r>
          </w:p>
        </w:tc>
        <w:tc>
          <w:tcPr>
            <w:tcW w:w="2124" w:type="dxa"/>
            <w:tcBorders>
              <w:top w:val="single" w:sz="4" w:space="0" w:color="000000"/>
              <w:left w:val="single" w:sz="4" w:space="0" w:color="000000"/>
              <w:bottom w:val="single" w:sz="4" w:space="0" w:color="000000"/>
              <w:right w:val="single" w:sz="4" w:space="0" w:color="000000"/>
            </w:tcBorders>
          </w:tcPr>
          <w:p>
            <w:pPr>
              <w:pStyle w:val="Normal"/>
              <w:jc w:val="center"/>
              <w:rPr>
                <w:b/>
                <w:lang w:val="ru-RU"/>
              </w:rPr>
            </w:pPr>
            <w:r>
              <w:rPr>
                <w:b/>
                <w:lang w:val="ru-RU"/>
              </w:rPr>
              <w:t>4</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numPr>
                <w:ilvl w:val="0"/>
                <w:numId w:val="27"/>
              </w:numPr>
              <w:suppressAutoHyphens w:val="false"/>
              <w:spacing w:before="0" w:after="0"/>
              <w:contextualSpacing/>
              <w:rPr>
                <w:rFonts w:eastAsia="Calibri"/>
                <w:lang w:val="ru-RU"/>
              </w:rPr>
            </w:pPr>
            <w:r>
              <w:rPr>
                <w:rFonts w:eastAsia="Calibri"/>
                <w:lang w:val="ru-RU"/>
              </w:rPr>
            </w:r>
          </w:p>
        </w:tc>
        <w:tc>
          <w:tcPr>
            <w:tcW w:w="4849"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9"/>
                <w:tab w:val="left" w:pos="426" w:leader="none"/>
              </w:tabs>
              <w:suppressAutoHyphens w:val="true"/>
              <w:bidi w:val="0"/>
              <w:spacing w:before="0" w:after="0"/>
              <w:jc w:val="center"/>
              <w:rPr>
                <w:rFonts w:ascii="Times New Roman" w:hAnsi="Times New Roman" w:eastAsia="Times New Roman" w:cs="Times New Roman"/>
                <w:iCs/>
                <w:color w:val="auto"/>
                <w:kern w:val="0"/>
                <w:sz w:val="24"/>
                <w:szCs w:val="28"/>
                <w:lang w:val="ru-RU" w:eastAsia="ru-RU" w:bidi="ar-SA"/>
              </w:rPr>
            </w:pPr>
            <w:r>
              <w:rPr>
                <w:rFonts w:eastAsia="Times New Roman" w:cs="Times New Roman"/>
                <w:iCs/>
                <w:color w:val="auto"/>
                <w:kern w:val="0"/>
                <w:sz w:val="24"/>
                <w:szCs w:val="28"/>
                <w:lang w:val="ru-RU" w:eastAsia="ru-RU" w:bidi="ar-SA"/>
              </w:rPr>
              <w:t>ОКПД 2: 33.17.19.000 Услуги по текущему ремонту бульдозера ТМ10.11 ГСТ9 для нужд Камчатского филиала АО «ТК РусГидро»</w:t>
            </w:r>
          </w:p>
        </w:tc>
        <w:tc>
          <w:tcPr>
            <w:tcW w:w="19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val="ru-RU"/>
              </w:rPr>
            </w:pPr>
            <w:r>
              <w:rPr>
                <w:lang w:val="ru-RU"/>
              </w:rPr>
              <w:t>Услуга</w:t>
            </w:r>
          </w:p>
        </w:tc>
        <w:tc>
          <w:tcPr>
            <w:tcW w:w="212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val="ru-RU"/>
              </w:rPr>
            </w:pPr>
            <w:r>
              <w:rPr>
                <w:lang w:val="ru-RU"/>
              </w:rPr>
              <w:t>1</w:t>
            </w:r>
          </w:p>
        </w:tc>
      </w:tr>
    </w:tbl>
    <w:p>
      <w:pPr>
        <w:pStyle w:val="Normal"/>
        <w:widowControl w:val="false"/>
        <w:tabs>
          <w:tab w:val="clear" w:pos="709"/>
          <w:tab w:val="left" w:pos="426" w:leader="none"/>
        </w:tabs>
        <w:suppressAutoHyphens w:val="false"/>
        <w:spacing w:before="120" w:after="120"/>
        <w:ind w:firstLine="142"/>
        <w:rPr>
          <w:bCs/>
          <w:i/>
          <w:i/>
          <w:shd w:fill="FFFF99" w:val="clear"/>
          <w:lang w:val="ru-RU"/>
        </w:rPr>
      </w:pPr>
      <w:r>
        <w:rPr>
          <w:bCs/>
          <w:i/>
          <w:shd w:fill="FFFF99" w:val="clear"/>
          <w:lang w:val="ru-RU"/>
        </w:rPr>
      </w:r>
    </w:p>
    <w:p>
      <w:pPr>
        <w:pStyle w:val="Normal"/>
        <w:keepNext w:val="true"/>
        <w:numPr>
          <w:ilvl w:val="0"/>
          <w:numId w:val="0"/>
        </w:numPr>
        <w:suppressAutoHyphens w:val="false"/>
        <w:spacing w:before="120" w:after="60"/>
        <w:ind w:hanging="504" w:left="1224"/>
        <w:outlineLvl w:val="2"/>
        <w:rPr>
          <w:rFonts w:eastAsia="Calibri"/>
          <w:b/>
          <w:lang w:val="ru-RU" w:eastAsia="x-none"/>
        </w:rPr>
      </w:pPr>
      <w:bookmarkStart w:id="27" w:name="_Toc54643706"/>
      <w:bookmarkStart w:id="28" w:name="_Toc51339696"/>
      <w:r>
        <w:rPr>
          <w:rFonts w:eastAsia="Calibri"/>
          <w:b/>
          <w:lang w:val="ru-RU" w:eastAsia="x-none"/>
        </w:rPr>
        <w:t xml:space="preserve">Требования </w:t>
      </w:r>
      <w:bookmarkEnd w:id="28"/>
      <w:r>
        <w:rPr>
          <w:rFonts w:eastAsia="Calibri"/>
          <w:b/>
          <w:lang w:val="ru-RU" w:eastAsia="x-none"/>
        </w:rPr>
        <w:t>к срокам оказания услуг</w:t>
      </w:r>
      <w:bookmarkEnd w:id="27"/>
    </w:p>
    <w:p>
      <w:pPr>
        <w:pStyle w:val="Normal"/>
        <w:keepNext w:val="true"/>
        <w:keepLines/>
        <w:numPr>
          <w:ilvl w:val="0"/>
          <w:numId w:val="0"/>
        </w:numPr>
        <w:suppressAutoHyphens w:val="false"/>
        <w:spacing w:before="240" w:after="60"/>
        <w:ind w:hanging="0" w:left="0"/>
        <w:outlineLvl w:val="0"/>
        <w:rPr>
          <w:rFonts w:eastAsia="Calibri"/>
          <w:b/>
          <w:lang w:val="ru-RU" w:eastAsia="x-none"/>
        </w:rPr>
      </w:pPr>
      <w:bookmarkStart w:id="29" w:name="_Toc54643707"/>
      <w:bookmarkStart w:id="30" w:name="_Toc50125127"/>
      <w:bookmarkStart w:id="31" w:name="_Toc51339697"/>
      <w:bookmarkStart w:id="32" w:name="_Toc50125126_Копия_1"/>
      <w:bookmarkEnd w:id="32"/>
      <w:r>
        <w:rPr>
          <w:rFonts w:eastAsia="Calibri"/>
          <w:b/>
          <w:lang w:val="x-none" w:eastAsia="x-none"/>
        </w:rPr>
        <w:t xml:space="preserve">Таблица </w:t>
      </w:r>
      <w:r>
        <w:rPr>
          <w:rFonts w:eastAsia="Calibri"/>
          <w:b/>
          <w:lang w:val="ru-RU" w:eastAsia="x-none"/>
        </w:rPr>
        <w:t>3</w:t>
      </w:r>
      <w:r>
        <w:rPr>
          <w:rFonts w:eastAsia="Calibri"/>
          <w:b/>
          <w:lang w:val="x-none" w:eastAsia="x-none"/>
        </w:rPr>
        <w:t xml:space="preserve">. </w:t>
      </w:r>
      <w:bookmarkStart w:id="33" w:name="_Hlk50465284"/>
      <w:r>
        <w:rPr>
          <w:rFonts w:eastAsia="Calibri"/>
          <w:b/>
          <w:lang w:val="x-none" w:eastAsia="x-none"/>
        </w:rPr>
        <w:t xml:space="preserve">Требования </w:t>
      </w:r>
      <w:r>
        <w:rPr>
          <w:rFonts w:eastAsia="Calibri"/>
          <w:b/>
          <w:lang w:val="ru-RU" w:eastAsia="x-none"/>
        </w:rPr>
        <w:t>к</w:t>
      </w:r>
      <w:r>
        <w:rPr>
          <w:rFonts w:eastAsia="Calibri"/>
          <w:b/>
          <w:lang w:val="x-none" w:eastAsia="x-none"/>
        </w:rPr>
        <w:t xml:space="preserve"> срокам </w:t>
      </w:r>
      <w:bookmarkEnd w:id="30"/>
      <w:bookmarkEnd w:id="31"/>
      <w:bookmarkEnd w:id="33"/>
      <w:r>
        <w:rPr>
          <w:rFonts w:eastAsia="Calibri"/>
          <w:b/>
          <w:lang w:val="ru-RU" w:eastAsia="x-none"/>
        </w:rPr>
        <w:t>оказания услуг</w:t>
      </w:r>
      <w:bookmarkEnd w:id="29"/>
    </w:p>
    <w:tbl>
      <w:tblPr>
        <w:tblW w:w="97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29"/>
        <w:gridCol w:w="2551"/>
        <w:gridCol w:w="2978"/>
        <w:gridCol w:w="3117"/>
      </w:tblGrid>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lang w:val="ru-RU"/>
              </w:rPr>
            </w:pPr>
            <w:r>
              <w:rPr>
                <w:lang w:val="ru-RU"/>
              </w:rPr>
              <w:t xml:space="preserve">№ </w:t>
            </w:r>
            <w:r>
              <w:rPr>
                <w:lang w:val="ru-RU"/>
              </w:rPr>
              <w:t>п/п</w:t>
            </w:r>
          </w:p>
        </w:tc>
        <w:tc>
          <w:tcPr>
            <w:tcW w:w="25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lang w:val="ru-RU"/>
              </w:rPr>
            </w:pPr>
            <w:r>
              <w:rPr>
                <w:lang w:val="ru-RU"/>
              </w:rPr>
              <w:t>Наименование услуг/ этапа услуг</w:t>
            </w:r>
          </w:p>
        </w:tc>
        <w:tc>
          <w:tcPr>
            <w:tcW w:w="2978" w:type="dxa"/>
            <w:tcBorders>
              <w:top w:val="single" w:sz="4" w:space="0" w:color="000000"/>
              <w:left w:val="single" w:sz="4" w:space="0" w:color="000000"/>
              <w:bottom w:val="single" w:sz="4" w:space="0" w:color="000000"/>
              <w:right w:val="single" w:sz="4" w:space="0" w:color="000000"/>
            </w:tcBorders>
          </w:tcPr>
          <w:p>
            <w:pPr>
              <w:pStyle w:val="Normal"/>
              <w:suppressAutoHyphens w:val="false"/>
              <w:jc w:val="center"/>
              <w:rPr>
                <w:lang w:val="ru-RU"/>
              </w:rPr>
            </w:pPr>
            <w:r>
              <w:rPr>
                <w:lang w:val="ru-RU"/>
              </w:rPr>
              <w:t>Требования к началу срока оказания услуг/ этапа услуг</w:t>
            </w:r>
          </w:p>
        </w:tc>
        <w:tc>
          <w:tcPr>
            <w:tcW w:w="311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lang w:val="ru-RU"/>
              </w:rPr>
            </w:pPr>
            <w:r>
              <w:rPr>
                <w:lang w:val="ru-RU"/>
              </w:rPr>
              <w:t>Требования к окончанию срока оказания услуг / этапа услуг</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center"/>
              <w:rPr>
                <w:lang w:val="ru-RU"/>
              </w:rPr>
            </w:pPr>
            <w:r>
              <w:rPr>
                <w:b/>
                <w:lang w:val="ru-RU"/>
              </w:rPr>
              <w:t>1</w:t>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false"/>
              <w:jc w:val="center"/>
              <w:rPr>
                <w:lang w:val="ru-RU"/>
              </w:rPr>
            </w:pPr>
            <w:r>
              <w:rPr>
                <w:b/>
                <w:lang w:val="ru-RU"/>
              </w:rPr>
              <w:t>2</w:t>
            </w:r>
          </w:p>
        </w:tc>
        <w:tc>
          <w:tcPr>
            <w:tcW w:w="297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before="40" w:after="40"/>
              <w:ind w:left="57" w:right="57"/>
              <w:jc w:val="center"/>
              <w:rPr>
                <w:lang w:val="ru-RU"/>
              </w:rPr>
            </w:pPr>
            <w:r>
              <w:rPr>
                <w:b/>
                <w:lang w:val="ru-RU"/>
              </w:rPr>
              <w:t>3</w:t>
            </w:r>
          </w:p>
        </w:tc>
        <w:tc>
          <w:tcPr>
            <w:tcW w:w="311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before="40" w:after="40"/>
              <w:ind w:left="57" w:right="57"/>
              <w:jc w:val="center"/>
              <w:rPr>
                <w:lang w:val="ru-RU"/>
              </w:rPr>
            </w:pPr>
            <w:r>
              <w:rPr>
                <w:b/>
                <w:lang w:val="ru-RU"/>
              </w:rPr>
              <w:t>4</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28"/>
              </w:numPr>
              <w:suppressAutoHyphens w:val="false"/>
              <w:spacing w:before="0" w:after="0"/>
              <w:contextualSpacing/>
              <w:rPr>
                <w:rFonts w:eastAsia="Calibri"/>
                <w:lang w:val="ru-RU"/>
              </w:rPr>
            </w:pPr>
            <w:r>
              <w:rPr>
                <w:rFonts w:eastAsia="Calibri"/>
                <w:lang w:val="ru-RU"/>
              </w:rPr>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tabs>
                <w:tab w:val="clear" w:pos="709"/>
                <w:tab w:val="left" w:pos="426" w:leader="none"/>
              </w:tabs>
              <w:suppressAutoHyphens w:val="true"/>
              <w:bidi w:val="0"/>
              <w:spacing w:before="0" w:after="0"/>
              <w:jc w:val="center"/>
              <w:rPr>
                <w:rFonts w:ascii="Times New Roman" w:hAnsi="Times New Roman" w:eastAsia="Times New Roman" w:cs="Times New Roman"/>
                <w:iCs/>
                <w:color w:val="auto"/>
                <w:kern w:val="0"/>
                <w:sz w:val="24"/>
                <w:szCs w:val="28"/>
                <w:lang w:val="ru-RU" w:eastAsia="ru-RU" w:bidi="ar-SA"/>
              </w:rPr>
            </w:pPr>
            <w:r>
              <w:rPr>
                <w:rFonts w:eastAsia="Times New Roman" w:cs="Times New Roman"/>
                <w:iCs/>
                <w:color w:val="auto"/>
                <w:kern w:val="0"/>
                <w:sz w:val="24"/>
                <w:szCs w:val="28"/>
                <w:lang w:val="ru-RU" w:eastAsia="ru-RU" w:bidi="ar-SA"/>
              </w:rPr>
              <w:t>ОКПД 2: 33.17.19.000 Услуги по текущему ремонту бульдозера ТМ10.11 ГСТ9 для нужд Камчатского филиала АО «ТК РусГидро»</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lang w:val="ru-RU"/>
              </w:rPr>
            </w:pPr>
            <w:r>
              <w:rPr>
                <w:lang w:val="ru-RU"/>
              </w:rPr>
              <w:t>С даты заключения договора</w:t>
            </w:r>
          </w:p>
        </w:tc>
        <w:tc>
          <w:tcPr>
            <w:tcW w:w="311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jc w:val="center"/>
              <w:rPr>
                <w:lang w:val="ru-RU"/>
              </w:rPr>
            </w:pPr>
            <w:bookmarkStart w:id="34" w:name="_Toc46743510"/>
            <w:r>
              <w:rPr>
                <w:lang w:val="ru-RU"/>
              </w:rPr>
              <w:t>31.12.2026</w:t>
            </w:r>
            <w:bookmarkEnd w:id="34"/>
          </w:p>
        </w:tc>
      </w:tr>
    </w:tbl>
    <w:p>
      <w:pPr>
        <w:sectPr>
          <w:headerReference w:type="even" r:id="rId5"/>
          <w:headerReference w:type="default" r:id="rId6"/>
          <w:headerReference w:type="first" r:id="rId7"/>
          <w:footnotePr>
            <w:numFmt w:val="decimal"/>
          </w:footnotePr>
          <w:type w:val="nextPage"/>
          <w:pgSz w:w="11906" w:h="16838"/>
          <w:pgMar w:left="1134" w:right="851" w:gutter="0" w:header="680" w:top="1134" w:footer="0" w:bottom="992"/>
          <w:pgNumType w:fmt="decimal"/>
          <w:formProt w:val="false"/>
          <w:titlePg/>
          <w:textDirection w:val="lrTb"/>
          <w:docGrid w:type="default" w:linePitch="360" w:charSpace="0"/>
        </w:sectPr>
      </w:pPr>
    </w:p>
    <w:p>
      <w:pPr>
        <w:pStyle w:val="Normal"/>
        <w:keepNext w:val="true"/>
        <w:numPr>
          <w:ilvl w:val="0"/>
          <w:numId w:val="0"/>
        </w:numPr>
        <w:suppressAutoHyphens w:val="false"/>
        <w:spacing w:before="120" w:after="60"/>
        <w:ind w:hanging="432" w:left="432"/>
        <w:outlineLvl w:val="3"/>
        <w:rPr>
          <w:rFonts w:eastAsia="Calibri"/>
          <w:b/>
          <w:bCs/>
          <w:lang w:val="x-none" w:eastAsia="x-none"/>
        </w:rPr>
      </w:pPr>
      <w:bookmarkStart w:id="35" w:name="_Toc54643709"/>
      <w:bookmarkStart w:id="36" w:name="_Toc51339698"/>
      <w:bookmarkStart w:id="37" w:name="_Toc54643708"/>
      <w:bookmarkStart w:id="38" w:name="_Toc46743511"/>
      <w:r>
        <w:rPr>
          <w:rFonts w:eastAsia="Calibri"/>
          <w:b/>
          <w:bCs/>
          <w:lang w:val="x-none" w:eastAsia="x-none"/>
        </w:rPr>
        <w:t xml:space="preserve">Требования к </w:t>
      </w:r>
      <w:bookmarkEnd w:id="38"/>
      <w:r>
        <w:rPr>
          <w:rFonts w:eastAsia="Calibri"/>
          <w:b/>
          <w:bCs/>
          <w:lang w:val="ru-RU" w:eastAsia="x-none"/>
        </w:rPr>
        <w:t xml:space="preserve">качеству </w:t>
      </w:r>
      <w:bookmarkEnd w:id="37"/>
      <w:r>
        <w:rPr>
          <w:rFonts w:eastAsia="Calibri"/>
          <w:b/>
          <w:bCs/>
          <w:lang w:val="ru-RU" w:eastAsia="x-none"/>
        </w:rPr>
        <w:t>продукции</w:t>
      </w:r>
    </w:p>
    <w:p>
      <w:pPr>
        <w:pStyle w:val="Normal"/>
        <w:keepNext w:val="true"/>
        <w:keepLines/>
        <w:numPr>
          <w:ilvl w:val="0"/>
          <w:numId w:val="0"/>
        </w:numPr>
        <w:suppressAutoHyphens w:val="false"/>
        <w:spacing w:before="240" w:after="60"/>
        <w:ind w:hanging="0" w:left="0"/>
        <w:outlineLvl w:val="0"/>
        <w:rPr>
          <w:rFonts w:eastAsia="Calibri"/>
          <w:b/>
          <w:lang w:val="x-none" w:eastAsia="x-none"/>
        </w:rPr>
      </w:pPr>
      <w:r>
        <w:rPr>
          <w:rFonts w:eastAsia="Calibri"/>
          <w:b/>
          <w:lang w:val="x-none" w:eastAsia="x-none"/>
        </w:rPr>
        <w:t>Таблица </w:t>
      </w:r>
      <w:r>
        <w:rPr>
          <w:rFonts w:eastAsia="Calibri"/>
          <w:b/>
          <w:lang w:val="ru-RU" w:eastAsia="x-none"/>
        </w:rPr>
        <w:t>4</w:t>
      </w:r>
      <w:r>
        <w:rPr>
          <w:rFonts w:eastAsia="Calibri"/>
          <w:b/>
          <w:lang w:val="x-none" w:eastAsia="x-none"/>
        </w:rPr>
        <w:t xml:space="preserve">. Требования к </w:t>
      </w:r>
      <w:bookmarkEnd w:id="36"/>
      <w:r>
        <w:rPr>
          <w:rFonts w:eastAsia="Calibri"/>
          <w:b/>
          <w:lang w:val="ru-RU" w:eastAsia="x-none"/>
        </w:rPr>
        <w:t xml:space="preserve">качеству </w:t>
      </w:r>
      <w:bookmarkEnd w:id="35"/>
      <w:r>
        <w:rPr>
          <w:rFonts w:eastAsia="Calibri"/>
          <w:b/>
          <w:lang w:val="ru-RU" w:eastAsia="x-none"/>
        </w:rPr>
        <w:t>продукции</w:t>
      </w:r>
    </w:p>
    <w:p>
      <w:pPr>
        <w:pStyle w:val="Normal"/>
        <w:suppressAutoHyphens w:val="false"/>
        <w:rPr>
          <w:i/>
          <w:i/>
          <w:iCs/>
          <w:sz w:val="28"/>
          <w:szCs w:val="28"/>
          <w:shd w:fill="FFFF99" w:val="clear"/>
          <w:lang w:val="ru-RU"/>
        </w:rPr>
      </w:pPr>
      <w:r>
        <w:rPr>
          <w:b/>
          <w:bCs/>
          <w:lang w:val="ru-RU"/>
        </w:rPr>
        <w:t xml:space="preserve">Наименование услуг/этапа услуг (позиция №1 Таблицы 2): </w:t>
      </w:r>
      <w:r>
        <w:rPr>
          <w:rFonts w:eastAsia="Times New Roman" w:cs="Times New Roman"/>
          <w:b w:val="false"/>
          <w:bCs w:val="false"/>
          <w:iCs/>
          <w:color w:val="auto"/>
          <w:kern w:val="0"/>
          <w:sz w:val="24"/>
          <w:szCs w:val="28"/>
          <w:lang w:val="ru-RU" w:eastAsia="ru-RU" w:bidi="ar-SA"/>
        </w:rPr>
        <w:t>ОКПД 2: 33.17.19.000 Услуги по текущему ремонту бульдозера ТМ10.11 ГСТ9 для нужд Камчатского филиала АО «ТК РусГидро»</w:t>
      </w:r>
    </w:p>
    <w:tbl>
      <w:tblPr>
        <w:tblStyle w:val="15"/>
        <w:tblW w:w="9923"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851"/>
        <w:gridCol w:w="2266"/>
        <w:gridCol w:w="6806"/>
      </w:tblGrid>
      <w:tr>
        <w:trPr>
          <w:trHeight w:val="276" w:hRule="atLeast"/>
        </w:trPr>
        <w:tc>
          <w:tcPr>
            <w:tcW w:w="851" w:type="dxa"/>
            <w:vMerge w:val="restart"/>
            <w:tcBorders/>
            <w:vAlign w:val="center"/>
          </w:tcPr>
          <w:p>
            <w:pPr>
              <w:pStyle w:val="Normal"/>
              <w:widowControl/>
              <w:suppressAutoHyphens w:val="false"/>
              <w:spacing w:before="0" w:after="0"/>
              <w:jc w:val="center"/>
              <w:rPr>
                <w:b/>
                <w:bCs/>
                <w:lang w:val="ru-RU"/>
              </w:rPr>
            </w:pPr>
            <w:r>
              <w:rPr>
                <w:rFonts w:eastAsia="Times New Roman" w:cs="Times New Roman"/>
                <w:b/>
                <w:bCs/>
                <w:kern w:val="0"/>
                <w:lang w:val="ru-RU" w:eastAsia="ru-RU" w:bidi="ar-SA"/>
              </w:rPr>
              <w:t xml:space="preserve">№ </w:t>
            </w:r>
            <w:r>
              <w:rPr>
                <w:rFonts w:eastAsia="Times New Roman" w:cs="Times New Roman"/>
                <w:b/>
                <w:bCs/>
                <w:kern w:val="0"/>
                <w:lang w:val="ru-RU" w:eastAsia="ru-RU" w:bidi="ar-SA"/>
              </w:rPr>
              <w:t>п/п</w:t>
            </w:r>
          </w:p>
        </w:tc>
        <w:tc>
          <w:tcPr>
            <w:tcW w:w="2266" w:type="dxa"/>
            <w:vMerge w:val="restart"/>
            <w:tcBorders/>
            <w:vAlign w:val="center"/>
          </w:tcPr>
          <w:p>
            <w:pPr>
              <w:pStyle w:val="Normal"/>
              <w:widowControl/>
              <w:suppressAutoHyphens w:val="false"/>
              <w:spacing w:before="0" w:after="0"/>
              <w:jc w:val="center"/>
              <w:rPr>
                <w:b/>
                <w:bCs/>
                <w:lang w:val="ru-RU"/>
              </w:rPr>
            </w:pPr>
            <w:r>
              <w:rPr>
                <w:rFonts w:eastAsia="Times New Roman" w:cs="Times New Roman"/>
                <w:b/>
                <w:bCs/>
                <w:kern w:val="0"/>
                <w:lang w:val="ru-RU" w:eastAsia="ru-RU" w:bidi="ar-SA"/>
              </w:rPr>
              <w:t>Наименование параметра</w:t>
            </w:r>
          </w:p>
        </w:tc>
        <w:tc>
          <w:tcPr>
            <w:tcW w:w="6806" w:type="dxa"/>
            <w:vMerge w:val="restart"/>
            <w:tcBorders/>
            <w:vAlign w:val="center"/>
          </w:tcPr>
          <w:p>
            <w:pPr>
              <w:pStyle w:val="Normal"/>
              <w:widowControl/>
              <w:suppressAutoHyphens w:val="false"/>
              <w:spacing w:before="0" w:after="0"/>
              <w:jc w:val="center"/>
              <w:rPr>
                <w:b/>
                <w:bCs/>
                <w:lang w:val="ru-RU"/>
              </w:rPr>
            </w:pPr>
            <w:r>
              <w:rPr>
                <w:rFonts w:eastAsia="Times New Roman" w:cs="Times New Roman"/>
                <w:b/>
                <w:bCs/>
                <w:kern w:val="0"/>
                <w:lang w:val="ru-RU" w:eastAsia="ru-RU" w:bidi="ar-SA"/>
              </w:rPr>
              <w:t>Требование заказчика</w:t>
            </w:r>
          </w:p>
        </w:tc>
      </w:tr>
      <w:tr>
        <w:trPr>
          <w:trHeight w:val="276" w:hRule="atLeast"/>
        </w:trPr>
        <w:tc>
          <w:tcPr>
            <w:tcW w:w="851" w:type="dxa"/>
            <w:vMerge w:val="continue"/>
            <w:tcBorders/>
            <w:vAlign w:val="center"/>
          </w:tcPr>
          <w:p>
            <w:pPr>
              <w:pStyle w:val="Normal"/>
              <w:widowControl/>
              <w:suppressAutoHyphens w:val="false"/>
              <w:spacing w:before="0" w:after="0"/>
              <w:jc w:val="left"/>
              <w:rPr>
                <w:b/>
                <w:bCs/>
                <w:lang w:val="ru-RU"/>
              </w:rPr>
            </w:pPr>
            <w:r>
              <w:rPr>
                <w:b/>
                <w:bCs/>
                <w:lang w:val="ru-RU"/>
              </w:rPr>
            </w:r>
          </w:p>
        </w:tc>
        <w:tc>
          <w:tcPr>
            <w:tcW w:w="2266" w:type="dxa"/>
            <w:vMerge w:val="continue"/>
            <w:tcBorders/>
            <w:vAlign w:val="center"/>
          </w:tcPr>
          <w:p>
            <w:pPr>
              <w:pStyle w:val="Normal"/>
              <w:widowControl/>
              <w:suppressAutoHyphens w:val="false"/>
              <w:spacing w:before="0" w:after="0"/>
              <w:jc w:val="left"/>
              <w:rPr>
                <w:b/>
                <w:bCs/>
                <w:lang w:val="ru-RU"/>
              </w:rPr>
            </w:pPr>
            <w:r>
              <w:rPr>
                <w:b/>
                <w:bCs/>
                <w:lang w:val="ru-RU"/>
              </w:rPr>
            </w:r>
          </w:p>
        </w:tc>
        <w:tc>
          <w:tcPr>
            <w:tcW w:w="6806" w:type="dxa"/>
            <w:vMerge w:val="continue"/>
            <w:tcBorders/>
            <w:vAlign w:val="center"/>
          </w:tcPr>
          <w:p>
            <w:pPr>
              <w:pStyle w:val="Normal"/>
              <w:widowControl/>
              <w:suppressAutoHyphens w:val="false"/>
              <w:spacing w:before="0" w:after="0"/>
              <w:jc w:val="left"/>
              <w:rPr>
                <w:b/>
                <w:bCs/>
                <w:lang w:val="ru-RU"/>
              </w:rPr>
            </w:pPr>
            <w:r>
              <w:rPr>
                <w:b/>
                <w:bCs/>
                <w:lang w:val="ru-RU"/>
              </w:rPr>
            </w:r>
          </w:p>
        </w:tc>
      </w:tr>
      <w:tr>
        <w:trPr/>
        <w:tc>
          <w:tcPr>
            <w:tcW w:w="851" w:type="dxa"/>
            <w:tcBorders/>
            <w:vAlign w:val="center"/>
          </w:tcPr>
          <w:p>
            <w:pPr>
              <w:pStyle w:val="Normal"/>
              <w:widowControl/>
              <w:suppressAutoHyphens w:val="false"/>
              <w:spacing w:before="0" w:after="0"/>
              <w:jc w:val="center"/>
              <w:rPr>
                <w:b/>
                <w:bCs/>
                <w:lang w:val="ru-RU"/>
              </w:rPr>
            </w:pPr>
            <w:bookmarkStart w:id="39" w:name="_Toc53499667"/>
            <w:r>
              <w:rPr>
                <w:rFonts w:eastAsia="Times New Roman" w:cs="Times New Roman"/>
                <w:b/>
                <w:bCs/>
                <w:kern w:val="0"/>
                <w:lang w:val="ru-RU" w:eastAsia="ru-RU" w:bidi="ar-SA"/>
              </w:rPr>
              <w:t>1</w:t>
            </w:r>
            <w:bookmarkEnd w:id="39"/>
          </w:p>
        </w:tc>
        <w:tc>
          <w:tcPr>
            <w:tcW w:w="2266" w:type="dxa"/>
            <w:tcBorders/>
            <w:vAlign w:val="center"/>
          </w:tcPr>
          <w:p>
            <w:pPr>
              <w:pStyle w:val="Normal"/>
              <w:widowControl/>
              <w:suppressAutoHyphens w:val="false"/>
              <w:spacing w:before="0" w:after="0"/>
              <w:jc w:val="center"/>
              <w:rPr>
                <w:b/>
                <w:bCs/>
                <w:lang w:val="ru-RU"/>
              </w:rPr>
            </w:pPr>
            <w:r>
              <w:rPr>
                <w:rFonts w:eastAsia="Times New Roman" w:cs="Times New Roman"/>
                <w:b/>
                <w:bCs/>
                <w:kern w:val="0"/>
                <w:lang w:val="ru-RU" w:eastAsia="ru-RU" w:bidi="ar-SA"/>
              </w:rPr>
              <w:t>2</w:t>
            </w:r>
          </w:p>
        </w:tc>
        <w:tc>
          <w:tcPr>
            <w:tcW w:w="6806" w:type="dxa"/>
            <w:tcBorders/>
            <w:vAlign w:val="center"/>
          </w:tcPr>
          <w:p>
            <w:pPr>
              <w:pStyle w:val="Normal"/>
              <w:widowControl/>
              <w:suppressAutoHyphens w:val="false"/>
              <w:spacing w:before="0" w:after="0"/>
              <w:jc w:val="center"/>
              <w:rPr>
                <w:b/>
                <w:bCs/>
                <w:lang w:val="ru-RU"/>
              </w:rPr>
            </w:pPr>
            <w:r>
              <w:rPr>
                <w:rFonts w:eastAsia="Times New Roman" w:cs="Times New Roman"/>
                <w:b/>
                <w:bCs/>
                <w:kern w:val="0"/>
                <w:lang w:val="ru-RU" w:eastAsia="ru-RU" w:bidi="ar-SA"/>
              </w:rPr>
              <w:t>3</w:t>
            </w:r>
          </w:p>
        </w:tc>
      </w:tr>
      <w:tr>
        <w:trPr/>
        <w:tc>
          <w:tcPr>
            <w:tcW w:w="851" w:type="dxa"/>
            <w:tcBorders/>
            <w:vAlign w:val="center"/>
          </w:tcPr>
          <w:p>
            <w:pPr>
              <w:pStyle w:val="Normal"/>
              <w:widowControl/>
              <w:numPr>
                <w:ilvl w:val="0"/>
                <w:numId w:val="25"/>
              </w:numPr>
              <w:suppressAutoHyphens w:val="false"/>
              <w:spacing w:before="60" w:after="60"/>
              <w:contextualSpacing/>
              <w:jc w:val="center"/>
              <w:rPr>
                <w:rFonts w:eastAsia="Calibri"/>
                <w:lang w:val="ru-RU"/>
              </w:rPr>
            </w:pPr>
            <w:r>
              <w:rPr>
                <w:rFonts w:eastAsia="Calibri"/>
                <w:lang w:val="ru-RU"/>
              </w:rPr>
            </w:r>
          </w:p>
        </w:tc>
        <w:tc>
          <w:tcPr>
            <w:tcW w:w="9072" w:type="dxa"/>
            <w:gridSpan w:val="2"/>
            <w:tcBorders/>
            <w:vAlign w:val="center"/>
          </w:tcPr>
          <w:p>
            <w:pPr>
              <w:pStyle w:val="Normal"/>
              <w:widowControl/>
              <w:suppressAutoHyphens w:val="false"/>
              <w:spacing w:before="0" w:after="0"/>
              <w:jc w:val="left"/>
              <w:rPr>
                <w:b/>
                <w:lang w:val="ru-RU"/>
              </w:rPr>
            </w:pPr>
            <w:r>
              <w:rPr>
                <w:rFonts w:eastAsia="Times New Roman" w:cs="Times New Roman"/>
                <w:b/>
                <w:kern w:val="0"/>
                <w:lang w:val="ru-RU" w:eastAsia="ru-RU" w:bidi="ar-SA"/>
              </w:rPr>
              <w:t xml:space="preserve">Требования к оказанию услуг </w:t>
            </w:r>
          </w:p>
        </w:tc>
      </w:tr>
      <w:tr>
        <w:trPr/>
        <w:tc>
          <w:tcPr>
            <w:tcW w:w="851" w:type="dxa"/>
            <w:tcBorders/>
            <w:vAlign w:val="center"/>
          </w:tcPr>
          <w:p>
            <w:pPr>
              <w:pStyle w:val="Normal"/>
              <w:widowControl/>
              <w:numPr>
                <w:ilvl w:val="1"/>
                <w:numId w:val="25"/>
              </w:numPr>
              <w:suppressAutoHyphens w:val="false"/>
              <w:spacing w:before="60" w:after="60"/>
              <w:ind w:firstLine="142" w:left="-117"/>
              <w:contextualSpacing/>
              <w:jc w:val="center"/>
              <w:rPr>
                <w:rFonts w:eastAsia="Calibri"/>
                <w:b/>
                <w:bCs/>
                <w:lang w:val="ru-RU"/>
              </w:rPr>
            </w:pPr>
            <w:r>
              <w:rPr>
                <w:rFonts w:eastAsia="Calibri"/>
                <w:b/>
                <w:bCs/>
                <w:lang w:val="ru-RU"/>
              </w:rPr>
            </w:r>
          </w:p>
        </w:tc>
        <w:tc>
          <w:tcPr>
            <w:tcW w:w="9072" w:type="dxa"/>
            <w:gridSpan w:val="2"/>
            <w:tcBorders/>
            <w:vAlign w:val="center"/>
          </w:tcPr>
          <w:p>
            <w:pPr>
              <w:pStyle w:val="Normal"/>
              <w:widowControl/>
              <w:suppressAutoHyphens w:val="false"/>
              <w:spacing w:before="60" w:after="60"/>
              <w:jc w:val="left"/>
              <w:rPr>
                <w:b/>
                <w:lang w:val="ru-RU"/>
              </w:rPr>
            </w:pPr>
            <w:r>
              <w:rPr>
                <w:rFonts w:eastAsia="Times New Roman" w:cs="Times New Roman"/>
                <w:b/>
                <w:kern w:val="0"/>
                <w:lang w:val="ru-RU" w:eastAsia="ru-RU" w:bidi="ar-SA"/>
              </w:rPr>
              <w:t xml:space="preserve">Общие требования к оказанию услуг </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Объём услуг</w:t>
            </w:r>
          </w:p>
        </w:tc>
        <w:tc>
          <w:tcPr>
            <w:tcW w:w="680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В рамках оказания услуг, Участник обязан выполнить следующие работы:</w:t>
            </w:r>
          </w:p>
          <w:p>
            <w:pPr>
              <w:pStyle w:val="Normal"/>
              <w:widowControl/>
              <w:numPr>
                <w:ilvl w:val="0"/>
                <w:numId w:val="31"/>
              </w:numPr>
              <w:suppressAutoHyphens w:val="false"/>
              <w:spacing w:before="0" w:after="0"/>
              <w:contextualSpacing/>
              <w:jc w:val="both"/>
              <w:rPr>
                <w:rFonts w:eastAsia="Calibri"/>
                <w:lang w:val="ru-RU"/>
              </w:rPr>
            </w:pPr>
            <w:r>
              <w:rPr>
                <w:rFonts w:eastAsia="Calibri" w:cs="Times New Roman"/>
                <w:kern w:val="0"/>
                <w:lang w:val="ru-RU" w:eastAsia="ru-RU" w:bidi="ar-SA"/>
              </w:rPr>
              <w:t>Диагностические работы;</w:t>
            </w:r>
          </w:p>
          <w:p>
            <w:pPr>
              <w:pStyle w:val="Normal"/>
              <w:widowControl/>
              <w:numPr>
                <w:ilvl w:val="0"/>
                <w:numId w:val="31"/>
              </w:numPr>
              <w:suppressAutoHyphens w:val="false"/>
              <w:spacing w:before="0" w:after="0"/>
              <w:contextualSpacing/>
              <w:jc w:val="both"/>
              <w:rPr>
                <w:rFonts w:eastAsia="Calibri"/>
                <w:lang w:val="ru-RU"/>
              </w:rPr>
            </w:pPr>
            <w:r>
              <w:rPr>
                <w:rFonts w:eastAsia="Calibri" w:cs="Times New Roman"/>
                <w:iCs/>
                <w:kern w:val="0"/>
                <w:lang w:val="ru-RU" w:eastAsia="ru-RU" w:bidi="ar-SA"/>
              </w:rPr>
              <w:t>Демонтаж и монтаж гидравлического насоса привода левой гусеницы;</w:t>
            </w:r>
          </w:p>
          <w:p>
            <w:pPr>
              <w:pStyle w:val="Normal"/>
              <w:widowControl/>
              <w:numPr>
                <w:ilvl w:val="0"/>
                <w:numId w:val="31"/>
              </w:numPr>
              <w:suppressAutoHyphens w:val="false"/>
              <w:spacing w:before="0" w:after="0"/>
              <w:contextualSpacing/>
              <w:jc w:val="both"/>
              <w:rPr>
                <w:rFonts w:eastAsia="Calibri"/>
                <w:lang w:val="ru-RU"/>
              </w:rPr>
            </w:pPr>
            <w:r>
              <w:rPr>
                <w:rFonts w:eastAsia="Times New Roman" w:cs="Times New Roman"/>
                <w:iCs/>
                <w:kern w:val="0"/>
                <w:lang w:val="ru-RU" w:eastAsia="ru-RU" w:bidi="ar-SA"/>
              </w:rPr>
              <w:t>Ремонт гидравлического насоса привода левой гусеницы;</w:t>
            </w:r>
          </w:p>
          <w:p>
            <w:pPr>
              <w:pStyle w:val="Normal"/>
              <w:widowControl/>
              <w:numPr>
                <w:ilvl w:val="0"/>
                <w:numId w:val="31"/>
              </w:numPr>
              <w:suppressAutoHyphens w:val="false"/>
              <w:spacing w:before="0" w:after="0"/>
              <w:contextualSpacing/>
              <w:jc w:val="both"/>
              <w:rPr>
                <w:rFonts w:eastAsia="Calibri"/>
                <w:lang w:val="ru-RU"/>
              </w:rPr>
            </w:pPr>
            <w:r>
              <w:rPr>
                <w:rFonts w:eastAsia="Times New Roman" w:cs="Times New Roman"/>
                <w:iCs/>
                <w:kern w:val="0"/>
                <w:lang w:val="ru-RU" w:eastAsia="ru-RU" w:bidi="ar-SA"/>
              </w:rPr>
              <w:t>Демонтаж и монтаж кожуха двигателя;</w:t>
            </w:r>
          </w:p>
          <w:p>
            <w:pPr>
              <w:pStyle w:val="Normal"/>
              <w:widowControl/>
              <w:numPr>
                <w:ilvl w:val="0"/>
                <w:numId w:val="31"/>
              </w:numPr>
              <w:suppressAutoHyphens w:val="false"/>
              <w:spacing w:before="0" w:after="0"/>
              <w:contextualSpacing/>
              <w:jc w:val="both"/>
              <w:rPr>
                <w:rFonts w:eastAsia="Calibri"/>
                <w:lang w:val="ru-RU"/>
              </w:rPr>
            </w:pPr>
            <w:r>
              <w:rPr>
                <w:rFonts w:eastAsia="Times New Roman" w:cs="Times New Roman"/>
                <w:iCs/>
                <w:kern w:val="0"/>
                <w:lang w:val="ru-RU" w:eastAsia="ru-RU" w:bidi="ar-SA"/>
              </w:rPr>
              <w:t xml:space="preserve">Замена муфты </w:t>
            </w:r>
            <w:r>
              <w:rPr>
                <w:rFonts w:eastAsia="Times New Roman" w:cs="Times New Roman"/>
                <w:iCs/>
                <w:kern w:val="0"/>
                <w:lang w:val="en-US" w:eastAsia="ru-RU" w:bidi="ar-SA"/>
              </w:rPr>
              <w:t>BoWex</w:t>
            </w:r>
            <w:r>
              <w:rPr>
                <w:rFonts w:eastAsia="Times New Roman" w:cs="Times New Roman"/>
                <w:iCs/>
                <w:kern w:val="0"/>
                <w:lang w:val="ru-RU" w:eastAsia="ru-RU" w:bidi="ar-SA"/>
              </w:rPr>
              <w:t xml:space="preserve"> в комплекте с обжимной ступицей;</w:t>
            </w:r>
          </w:p>
          <w:p>
            <w:pPr>
              <w:pStyle w:val="Normal"/>
              <w:widowControl/>
              <w:numPr>
                <w:ilvl w:val="0"/>
                <w:numId w:val="31"/>
              </w:numPr>
              <w:suppressAutoHyphens w:val="false"/>
              <w:spacing w:before="0" w:after="0"/>
              <w:contextualSpacing/>
              <w:jc w:val="both"/>
              <w:rPr>
                <w:rFonts w:eastAsia="Calibri"/>
                <w:lang w:val="ru-RU"/>
              </w:rPr>
            </w:pPr>
            <w:r>
              <w:rPr>
                <w:rFonts w:eastAsia="Times New Roman" w:cs="Times New Roman"/>
                <w:iCs/>
                <w:kern w:val="0"/>
                <w:lang w:val="ru-RU" w:eastAsia="ru-RU" w:bidi="ar-SA"/>
              </w:rPr>
              <w:t>Монтаж и регулировка подвеса всех тандемов гидравлических насосов, с проведение слесарных и сварных работ;</w:t>
            </w:r>
          </w:p>
          <w:p>
            <w:pPr>
              <w:pStyle w:val="Normal"/>
              <w:widowControl/>
              <w:numPr>
                <w:ilvl w:val="0"/>
                <w:numId w:val="31"/>
              </w:numPr>
              <w:suppressAutoHyphens w:val="false"/>
              <w:spacing w:before="0" w:after="0"/>
              <w:contextualSpacing/>
              <w:jc w:val="both"/>
              <w:rPr>
                <w:rFonts w:eastAsia="Calibri"/>
                <w:lang w:val="ru-RU"/>
              </w:rPr>
            </w:pPr>
            <w:r>
              <w:rPr>
                <w:rFonts w:eastAsia="Times New Roman" w:cs="Times New Roman"/>
                <w:iCs/>
                <w:kern w:val="0"/>
                <w:lang w:val="ru-RU" w:eastAsia="ru-RU" w:bidi="ar-SA"/>
              </w:rPr>
              <w:t>Иные работы связанные с процессом восстановления технической готовности транспортного средства, выявленные в ходе оказания услуг.</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Соблюдение при выполнении работ норм и правил нормативно-технических документов</w:t>
            </w:r>
          </w:p>
        </w:tc>
        <w:tc>
          <w:tcPr>
            <w:tcW w:w="680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Участник, оказывающий услуги по текущему ремонту транспортных средств, обязан обеспечивать их проведение в соответствии с установленными нормами и правилами процедур ремонта транспортных средств, установленными заводом-изготовителем и правилами оказания услуг (выполнения работ) по техническому обслуживанию и ремонту транспортных средств Российской Федерации Утвержденными Постановлением Правительства РФ от 11 апреля 2001 г. N 290</w:t>
            </w:r>
          </w:p>
          <w:p>
            <w:pPr>
              <w:pStyle w:val="Normal"/>
              <w:widowControl/>
              <w:suppressAutoHyphens w:val="false"/>
              <w:spacing w:before="0" w:after="0"/>
              <w:jc w:val="left"/>
              <w:rPr>
                <w:lang w:val="ru-RU"/>
              </w:rPr>
            </w:pPr>
            <w:r>
              <w:rPr>
                <w:rFonts w:eastAsia="Times New Roman" w:cs="Times New Roman"/>
                <w:kern w:val="0"/>
                <w:lang w:val="ru-RU" w:eastAsia="ru-RU" w:bidi="ar-SA"/>
              </w:rPr>
              <w:t>"Об утверждении Правил оказания услуг (выполнения работ) по техническому обслуживанию и ремонту автомототранспортных средств"</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Сохранность и комплектность ТС</w:t>
            </w:r>
          </w:p>
        </w:tc>
        <w:tc>
          <w:tcPr>
            <w:tcW w:w="680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Участник обязан обеспечить сохранность и комплектность транспортных средств Заказчика на период оказания Услуг.</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Требования к ограничениям оказания услуг</w:t>
            </w:r>
          </w:p>
        </w:tc>
        <w:tc>
          <w:tcPr>
            <w:tcW w:w="680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Участник обязан извещать Заказчика о возникновении в ходе оказания Услуг новых обстоятельств технического состояния ремонтируемого транспортного средства, которые могут привести к снижению безопасности его эксплуатации</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Соответствие нормативным документам после проведения работ</w:t>
            </w:r>
          </w:p>
        </w:tc>
        <w:tc>
          <w:tcPr>
            <w:tcW w:w="680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Транспортные средства после ремонта должны удовлетворять требованиям Федерального закона от 02.07.2021 N 297-ФЗ "О самоходных машинах и других видах техники", Технического Регламента Таможенного Союза ТР ТС 010/2011 «О безопасности машин и оборудования» Утверждённого Решением Комиссии Таможенного союза от 18 октября 2011 года N 823</w:t>
            </w:r>
          </w:p>
        </w:tc>
      </w:tr>
      <w:tr>
        <w:trPr/>
        <w:tc>
          <w:tcPr>
            <w:tcW w:w="851" w:type="dxa"/>
            <w:tcBorders/>
            <w:vAlign w:val="center"/>
          </w:tcPr>
          <w:p>
            <w:pPr>
              <w:pStyle w:val="Normal"/>
              <w:widowControl/>
              <w:numPr>
                <w:ilvl w:val="1"/>
                <w:numId w:val="25"/>
              </w:numPr>
              <w:suppressAutoHyphens w:val="false"/>
              <w:spacing w:before="60" w:after="60"/>
              <w:ind w:firstLine="142" w:left="-117"/>
              <w:contextualSpacing/>
              <w:jc w:val="center"/>
              <w:rPr>
                <w:rFonts w:eastAsia="Calibri"/>
                <w:lang w:val="ru-RU"/>
              </w:rPr>
            </w:pPr>
            <w:r>
              <w:rPr>
                <w:rFonts w:eastAsia="Calibri"/>
                <w:lang w:val="ru-RU"/>
              </w:rPr>
            </w:r>
          </w:p>
        </w:tc>
        <w:tc>
          <w:tcPr>
            <w:tcW w:w="9072" w:type="dxa"/>
            <w:gridSpan w:val="2"/>
            <w:tcBorders/>
            <w:shd w:color="auto" w:fill="auto" w:val="clear"/>
          </w:tcPr>
          <w:p>
            <w:pPr>
              <w:pStyle w:val="Normal"/>
              <w:widowControl w:val="false"/>
              <w:tabs>
                <w:tab w:val="clear" w:pos="709"/>
                <w:tab w:val="left" w:pos="426" w:leader="none"/>
              </w:tabs>
              <w:suppressAutoHyphens w:val="false"/>
              <w:spacing w:before="60" w:after="0"/>
              <w:jc w:val="both"/>
              <w:rPr>
                <w:b/>
                <w:lang w:val="ru-RU"/>
              </w:rPr>
            </w:pPr>
            <w:r>
              <w:rPr>
                <w:rFonts w:eastAsia="Times New Roman" w:cs="Times New Roman"/>
                <w:b/>
                <w:kern w:val="0"/>
                <w:lang w:val="ru-RU" w:eastAsia="ru-RU" w:bidi="ar-SA"/>
              </w:rPr>
              <w:t>Требования к способам оказания услуг</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shd w:color="auto" w:fill="auto" w:val="clear"/>
          </w:tcPr>
          <w:p>
            <w:pPr>
              <w:pStyle w:val="Normal"/>
              <w:widowControl/>
              <w:suppressAutoHyphens w:val="false"/>
              <w:spacing w:before="0" w:after="0"/>
              <w:jc w:val="left"/>
              <w:rPr>
                <w:lang w:val="ru-RU"/>
              </w:rPr>
            </w:pPr>
            <w:r>
              <w:rPr>
                <w:rFonts w:eastAsia="Times New Roman" w:cs="Times New Roman"/>
                <w:kern w:val="0"/>
                <w:lang w:val="ru-RU" w:eastAsia="ru-RU" w:bidi="ar-SA"/>
              </w:rPr>
              <w:t>Способы оказания услуг</w:t>
            </w:r>
          </w:p>
        </w:tc>
        <w:tc>
          <w:tcPr>
            <w:tcW w:w="6806" w:type="dxa"/>
            <w:tcBorders/>
            <w:shd w:color="auto" w:fill="auto" w:val="clear"/>
          </w:tcPr>
          <w:p>
            <w:pPr>
              <w:pStyle w:val="Normal"/>
              <w:widowControl w:val="false"/>
              <w:tabs>
                <w:tab w:val="clear" w:pos="709"/>
                <w:tab w:val="left" w:pos="426" w:leader="none"/>
              </w:tabs>
              <w:suppressAutoHyphens w:val="false"/>
              <w:spacing w:before="60" w:after="0"/>
              <w:jc w:val="left"/>
              <w:rPr>
                <w:lang w:val="ru-RU"/>
              </w:rPr>
            </w:pPr>
            <w:r>
              <w:rPr>
                <w:rFonts w:eastAsia="Times New Roman" w:cs="Times New Roman"/>
                <w:kern w:val="0"/>
                <w:lang w:val="ru-RU" w:eastAsia="ru-RU" w:bidi="ar-SA"/>
              </w:rPr>
              <w:t>Услуги оказываются Исполнителем по заявке Заказчика</w:t>
            </w:r>
          </w:p>
        </w:tc>
      </w:tr>
      <w:tr>
        <w:trPr/>
        <w:tc>
          <w:tcPr>
            <w:tcW w:w="851" w:type="dxa"/>
            <w:tcBorders/>
            <w:vAlign w:val="center"/>
          </w:tcPr>
          <w:p>
            <w:pPr>
              <w:pStyle w:val="Normal"/>
              <w:widowControl/>
              <w:numPr>
                <w:ilvl w:val="1"/>
                <w:numId w:val="25"/>
              </w:numPr>
              <w:suppressAutoHyphens w:val="false"/>
              <w:spacing w:before="60" w:after="60"/>
              <w:ind w:firstLine="142" w:left="-117"/>
              <w:contextualSpacing/>
              <w:jc w:val="center"/>
              <w:rPr>
                <w:rFonts w:eastAsia="Calibri"/>
                <w:lang w:val="ru-RU"/>
              </w:rPr>
            </w:pPr>
            <w:r>
              <w:rPr>
                <w:rFonts w:eastAsia="Calibri"/>
                <w:lang w:val="ru-RU"/>
              </w:rPr>
            </w:r>
          </w:p>
        </w:tc>
        <w:tc>
          <w:tcPr>
            <w:tcW w:w="9072" w:type="dxa"/>
            <w:gridSpan w:val="2"/>
            <w:tcBorders/>
            <w:vAlign w:val="center"/>
          </w:tcPr>
          <w:p>
            <w:pPr>
              <w:pStyle w:val="Normal"/>
              <w:widowControl/>
              <w:suppressAutoHyphens w:val="false"/>
              <w:spacing w:before="60" w:after="0"/>
              <w:jc w:val="left"/>
              <w:rPr>
                <w:b/>
                <w:lang w:val="ru-RU"/>
              </w:rPr>
            </w:pPr>
            <w:r>
              <w:rPr>
                <w:rFonts w:eastAsia="Times New Roman" w:cs="Times New Roman"/>
                <w:b/>
                <w:kern w:val="0"/>
                <w:lang w:val="ru-RU" w:eastAsia="ru-RU" w:bidi="ar-SA"/>
              </w:rPr>
              <w:t>Требования к применяемым при оказании услуг оборудованию и материалам</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tcPr>
          <w:p>
            <w:pPr>
              <w:pStyle w:val="Normal"/>
              <w:widowControl w:val="false"/>
              <w:tabs>
                <w:tab w:val="clear" w:pos="709"/>
                <w:tab w:val="left" w:pos="426" w:leader="none"/>
              </w:tabs>
              <w:suppressAutoHyphens w:val="false"/>
              <w:spacing w:before="60" w:after="0"/>
              <w:jc w:val="left"/>
              <w:rPr>
                <w:lang w:val="ru-RU"/>
              </w:rPr>
            </w:pPr>
            <w:r>
              <w:rPr>
                <w:rFonts w:eastAsia="Times New Roman" w:cs="Times New Roman"/>
                <w:kern w:val="0"/>
                <w:lang w:val="ru-RU" w:eastAsia="ru-RU" w:bidi="ar-SA"/>
              </w:rPr>
              <w:t>Требования к применяемым при оказании услуг оборудованию и материалам</w:t>
            </w:r>
          </w:p>
        </w:tc>
        <w:tc>
          <w:tcPr>
            <w:tcW w:w="6806" w:type="dxa"/>
            <w:tcBorders/>
          </w:tcPr>
          <w:p>
            <w:pPr>
              <w:pStyle w:val="Normal"/>
              <w:widowControl/>
              <w:suppressAutoHyphens w:val="false"/>
              <w:spacing w:before="0" w:after="0"/>
              <w:jc w:val="left"/>
              <w:rPr>
                <w:lang w:val="ru-RU"/>
              </w:rPr>
            </w:pPr>
            <w:r>
              <w:rPr>
                <w:rFonts w:eastAsia="Times New Roman" w:cs="Times New Roman"/>
                <w:kern w:val="0"/>
                <w:lang w:val="ru-RU" w:eastAsia="ru-RU" w:bidi="ar-SA"/>
              </w:rPr>
              <w:t>В ходе оказания услуг Участник обязан:</w:t>
            </w:r>
          </w:p>
          <w:p>
            <w:pPr>
              <w:pStyle w:val="Normal"/>
              <w:widowControl/>
              <w:numPr>
                <w:ilvl w:val="0"/>
                <w:numId w:val="29"/>
              </w:numPr>
              <w:suppressAutoHyphens w:val="false"/>
              <w:spacing w:before="0" w:after="0"/>
              <w:ind w:hanging="360" w:left="30"/>
              <w:contextualSpacing/>
              <w:jc w:val="left"/>
              <w:rPr>
                <w:rFonts w:eastAsia="Calibri"/>
                <w:lang w:val="ru-RU"/>
              </w:rPr>
            </w:pPr>
            <w:r>
              <w:rPr>
                <w:rFonts w:eastAsia="Times New Roman" w:cs="Times New Roman"/>
                <w:kern w:val="0"/>
                <w:lang w:val="ru-RU" w:eastAsia="ru-RU" w:bidi="ar-SA"/>
              </w:rPr>
              <w:t>У</w:t>
            </w:r>
            <w:r>
              <w:rPr>
                <w:rFonts w:eastAsia="Calibri" w:cs="Times New Roman"/>
                <w:kern w:val="0"/>
                <w:lang w:val="ru-RU" w:eastAsia="ru-RU" w:bidi="ar-SA"/>
              </w:rPr>
              <w:t>станавливать на транспортные средства Заказчика только новые запасные части, в соответствии с каталожными номерами завода изготовителя. Запасные части, используемые Исполнителем, должны быть сертифицированы. Исполнитель по требованию Заказчика обязан предъявить сертификаты соответствия;</w:t>
            </w:r>
          </w:p>
          <w:p>
            <w:pPr>
              <w:pStyle w:val="Normal"/>
              <w:widowControl/>
              <w:numPr>
                <w:ilvl w:val="0"/>
                <w:numId w:val="29"/>
              </w:numPr>
              <w:suppressAutoHyphens w:val="false"/>
              <w:spacing w:before="0" w:after="0"/>
              <w:ind w:hanging="360" w:left="30"/>
              <w:contextualSpacing/>
              <w:jc w:val="left"/>
              <w:rPr>
                <w:rFonts w:eastAsia="Calibri"/>
                <w:lang w:val="ru-RU"/>
              </w:rPr>
            </w:pPr>
            <w:r>
              <w:rPr>
                <w:rFonts w:eastAsia="Calibri" w:cs="Times New Roman"/>
                <w:kern w:val="0"/>
                <w:lang w:val="ru-RU" w:eastAsia="ru-RU" w:bidi="ar-SA"/>
              </w:rPr>
              <w:t>Применять инструменты и оборудование заводского изготовления, рекомендованные заводом изготовителем ТС к применению в ходе определённых ремонтных работ.</w:t>
            </w:r>
          </w:p>
        </w:tc>
      </w:tr>
      <w:tr>
        <w:trPr/>
        <w:tc>
          <w:tcPr>
            <w:tcW w:w="851" w:type="dxa"/>
            <w:tcBorders/>
            <w:vAlign w:val="center"/>
          </w:tcPr>
          <w:p>
            <w:pPr>
              <w:pStyle w:val="Normal"/>
              <w:widowControl/>
              <w:numPr>
                <w:ilvl w:val="1"/>
                <w:numId w:val="25"/>
              </w:numPr>
              <w:suppressAutoHyphens w:val="false"/>
              <w:spacing w:before="60" w:after="60"/>
              <w:contextualSpacing/>
              <w:jc w:val="center"/>
              <w:rPr>
                <w:rFonts w:eastAsia="Calibri"/>
                <w:lang w:val="ru-RU"/>
              </w:rPr>
            </w:pPr>
            <w:r>
              <w:rPr>
                <w:rFonts w:eastAsia="Calibri"/>
                <w:lang w:val="ru-RU"/>
              </w:rPr>
            </w:r>
          </w:p>
        </w:tc>
        <w:tc>
          <w:tcPr>
            <w:tcW w:w="9072" w:type="dxa"/>
            <w:gridSpan w:val="2"/>
            <w:tcBorders/>
          </w:tcPr>
          <w:p>
            <w:pPr>
              <w:pStyle w:val="Normal"/>
              <w:widowControl/>
              <w:suppressAutoHyphens w:val="false"/>
              <w:spacing w:before="0" w:after="0"/>
              <w:jc w:val="left"/>
              <w:rPr>
                <w:b/>
                <w:lang w:val="ru-RU"/>
              </w:rPr>
            </w:pPr>
            <w:r>
              <w:rPr>
                <w:rFonts w:eastAsia="Times New Roman" w:cs="Times New Roman"/>
                <w:b/>
                <w:kern w:val="0"/>
                <w:lang w:val="ru-RU" w:eastAsia="ru-RU" w:bidi="ar-SA"/>
              </w:rPr>
              <w:t>Требования к персоналу исполнителя</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tcPr>
          <w:p>
            <w:pPr>
              <w:pStyle w:val="Normal"/>
              <w:widowControl w:val="false"/>
              <w:tabs>
                <w:tab w:val="clear" w:pos="709"/>
                <w:tab w:val="left" w:pos="426" w:leader="none"/>
              </w:tabs>
              <w:suppressAutoHyphens w:val="false"/>
              <w:spacing w:before="60" w:after="0"/>
              <w:jc w:val="left"/>
              <w:rPr>
                <w:lang w:val="ru-RU"/>
              </w:rPr>
            </w:pPr>
            <w:r>
              <w:rPr>
                <w:rFonts w:eastAsia="Times New Roman" w:cs="Times New Roman"/>
                <w:kern w:val="0"/>
                <w:lang w:val="ru-RU" w:eastAsia="ru-RU" w:bidi="ar-SA"/>
              </w:rPr>
              <w:t>Требования к персоналу исполнителя</w:t>
            </w:r>
          </w:p>
        </w:tc>
        <w:tc>
          <w:tcPr>
            <w:tcW w:w="6806" w:type="dxa"/>
            <w:tcBorders/>
          </w:tcPr>
          <w:p>
            <w:pPr>
              <w:pStyle w:val="Normal"/>
              <w:widowControl w:val="false"/>
              <w:tabs>
                <w:tab w:val="clear" w:pos="709"/>
                <w:tab w:val="left" w:pos="426" w:leader="none"/>
              </w:tabs>
              <w:suppressAutoHyphens w:val="false"/>
              <w:spacing w:before="60" w:after="0"/>
              <w:jc w:val="left"/>
              <w:rPr>
                <w:lang w:val="ru-RU"/>
              </w:rPr>
            </w:pPr>
            <w:r>
              <w:rPr>
                <w:rFonts w:eastAsia="Times New Roman" w:cs="Times New Roman"/>
                <w:kern w:val="0"/>
                <w:lang w:val="ru-RU" w:eastAsia="ru-RU" w:bidi="ar-SA"/>
              </w:rPr>
              <w:t>Участник должен оказывать Услуги силами только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оказание Услуг.</w:t>
            </w:r>
          </w:p>
        </w:tc>
      </w:tr>
      <w:tr>
        <w:trPr/>
        <w:tc>
          <w:tcPr>
            <w:tcW w:w="851" w:type="dxa"/>
            <w:tcBorders/>
            <w:vAlign w:val="center"/>
          </w:tcPr>
          <w:p>
            <w:pPr>
              <w:pStyle w:val="Normal"/>
              <w:widowControl/>
              <w:numPr>
                <w:ilvl w:val="0"/>
                <w:numId w:val="25"/>
              </w:numPr>
              <w:suppressAutoHyphens w:val="false"/>
              <w:spacing w:before="60" w:after="60"/>
              <w:contextualSpacing/>
              <w:jc w:val="center"/>
              <w:rPr>
                <w:rFonts w:eastAsia="Calibri"/>
                <w:lang w:val="ru-RU"/>
              </w:rPr>
            </w:pPr>
            <w:r>
              <w:rPr>
                <w:rFonts w:eastAsia="Calibri"/>
                <w:lang w:val="ru-RU"/>
              </w:rPr>
            </w:r>
          </w:p>
        </w:tc>
        <w:tc>
          <w:tcPr>
            <w:tcW w:w="9072" w:type="dxa"/>
            <w:gridSpan w:val="2"/>
            <w:tcBorders/>
            <w:vAlign w:val="center"/>
          </w:tcPr>
          <w:p>
            <w:pPr>
              <w:pStyle w:val="Normal"/>
              <w:widowControl/>
              <w:suppressAutoHyphens w:val="false"/>
              <w:spacing w:before="0" w:after="0"/>
              <w:jc w:val="left"/>
              <w:rPr>
                <w:b/>
                <w:bCs/>
                <w:lang w:val="ru-RU"/>
              </w:rPr>
            </w:pPr>
            <w:r>
              <w:rPr>
                <w:rFonts w:eastAsia="Times New Roman" w:cs="Times New Roman"/>
                <w:b/>
                <w:bCs/>
                <w:kern w:val="0"/>
                <w:lang w:val="ru-RU" w:eastAsia="ru-RU" w:bidi="ar-SA"/>
              </w:rPr>
              <w:t>Требования к результатам у</w:t>
            </w:r>
            <w:r>
              <w:rPr>
                <w:rFonts w:eastAsia="Times New Roman" w:cs="Times New Roman"/>
                <w:b/>
                <w:kern w:val="0"/>
                <w:lang w:val="ru-RU" w:eastAsia="ru-RU" w:bidi="ar-SA"/>
              </w:rPr>
              <w:t>слуг</w:t>
            </w:r>
          </w:p>
        </w:tc>
      </w:tr>
      <w:tr>
        <w:trPr/>
        <w:tc>
          <w:tcPr>
            <w:tcW w:w="851" w:type="dxa"/>
            <w:tcBorders/>
            <w:vAlign w:val="center"/>
          </w:tcPr>
          <w:p>
            <w:pPr>
              <w:pStyle w:val="Normal"/>
              <w:widowControl/>
              <w:numPr>
                <w:ilvl w:val="1"/>
                <w:numId w:val="25"/>
              </w:numPr>
              <w:suppressAutoHyphens w:val="false"/>
              <w:spacing w:before="60" w:after="60"/>
              <w:ind w:firstLine="142" w:left="-117"/>
              <w:contextualSpacing/>
              <w:jc w:val="center"/>
              <w:rPr>
                <w:rFonts w:eastAsia="Calibri"/>
                <w:lang w:val="ru-RU"/>
              </w:rPr>
            </w:pPr>
            <w:r>
              <w:rPr>
                <w:rFonts w:eastAsia="Calibri"/>
                <w:lang w:val="ru-RU"/>
              </w:rPr>
            </w:r>
          </w:p>
        </w:tc>
        <w:tc>
          <w:tcPr>
            <w:tcW w:w="9072" w:type="dxa"/>
            <w:gridSpan w:val="2"/>
            <w:tcBorders/>
            <w:vAlign w:val="center"/>
          </w:tcPr>
          <w:p>
            <w:pPr>
              <w:pStyle w:val="Normal"/>
              <w:widowControl/>
              <w:suppressAutoHyphens w:val="false"/>
              <w:spacing w:before="0" w:after="0"/>
              <w:jc w:val="left"/>
              <w:rPr>
                <w:b/>
                <w:bCs/>
                <w:lang w:val="ru-RU"/>
              </w:rPr>
            </w:pPr>
            <w:r>
              <w:rPr>
                <w:rFonts w:eastAsia="Times New Roman" w:cs="Times New Roman"/>
                <w:b/>
                <w:bCs/>
                <w:kern w:val="0"/>
                <w:lang w:val="ru-RU" w:eastAsia="ru-RU" w:bidi="ar-SA"/>
              </w:rPr>
              <w:t>Общие требования к результатам услуг</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tcPr>
          <w:p>
            <w:pPr>
              <w:pStyle w:val="Normal"/>
              <w:widowControl w:val="false"/>
              <w:tabs>
                <w:tab w:val="clear" w:pos="709"/>
                <w:tab w:val="left" w:pos="426" w:leader="none"/>
              </w:tabs>
              <w:suppressAutoHyphens w:val="false"/>
              <w:spacing w:before="60" w:after="0"/>
              <w:jc w:val="left"/>
              <w:rPr>
                <w:lang w:val="ru-RU"/>
              </w:rPr>
            </w:pPr>
            <w:r>
              <w:rPr>
                <w:rFonts w:eastAsia="Times New Roman" w:cs="Times New Roman"/>
                <w:kern w:val="0"/>
                <w:lang w:val="ru-RU" w:eastAsia="ru-RU" w:bidi="ar-SA"/>
              </w:rPr>
              <w:t>Требования к результатам услуг</w:t>
            </w:r>
          </w:p>
        </w:tc>
        <w:tc>
          <w:tcPr>
            <w:tcW w:w="6806" w:type="dxa"/>
            <w:tcBorders/>
          </w:tcPr>
          <w:p>
            <w:pPr>
              <w:pStyle w:val="Normal"/>
              <w:widowControl/>
              <w:suppressAutoHyphens w:val="false"/>
              <w:spacing w:before="0" w:after="0"/>
              <w:jc w:val="left"/>
              <w:rPr>
                <w:lang w:val="ru-RU"/>
              </w:rPr>
            </w:pPr>
            <w:r>
              <w:rPr>
                <w:rFonts w:eastAsia="Times New Roman" w:cs="Times New Roman"/>
                <w:kern w:val="0"/>
                <w:lang w:val="ru-RU" w:eastAsia="ru-RU" w:bidi="ar-SA"/>
              </w:rPr>
              <w:t>Результатом оказания услуг является факт возврата Заказчику ТС в надлежащем техническом состоянии достаточном для эксплуатации ТС по назначению</w:t>
            </w:r>
          </w:p>
        </w:tc>
      </w:tr>
      <w:tr>
        <w:trPr/>
        <w:tc>
          <w:tcPr>
            <w:tcW w:w="851" w:type="dxa"/>
            <w:tcBorders/>
            <w:vAlign w:val="center"/>
          </w:tcPr>
          <w:p>
            <w:pPr>
              <w:pStyle w:val="Normal"/>
              <w:widowControl/>
              <w:numPr>
                <w:ilvl w:val="1"/>
                <w:numId w:val="25"/>
              </w:numPr>
              <w:suppressAutoHyphens w:val="false"/>
              <w:spacing w:before="60" w:after="60"/>
              <w:ind w:firstLine="142" w:left="-117"/>
              <w:contextualSpacing/>
              <w:jc w:val="center"/>
              <w:rPr>
                <w:rFonts w:eastAsia="Calibri"/>
                <w:lang w:val="ru-RU"/>
              </w:rPr>
            </w:pPr>
            <w:r>
              <w:rPr>
                <w:rFonts w:eastAsia="Calibri"/>
                <w:lang w:val="ru-RU"/>
              </w:rPr>
            </w:r>
          </w:p>
        </w:tc>
        <w:tc>
          <w:tcPr>
            <w:tcW w:w="9072" w:type="dxa"/>
            <w:gridSpan w:val="2"/>
            <w:tcBorders/>
            <w:vAlign w:val="center"/>
          </w:tcPr>
          <w:p>
            <w:pPr>
              <w:pStyle w:val="Normal"/>
              <w:widowControl/>
              <w:suppressAutoHyphens w:val="false"/>
              <w:spacing w:before="0" w:after="0"/>
              <w:jc w:val="left"/>
              <w:rPr>
                <w:bCs/>
                <w:lang w:val="ru-RU"/>
              </w:rPr>
            </w:pPr>
            <w:r>
              <w:rPr>
                <w:rFonts w:eastAsia="Times New Roman" w:cs="Times New Roman"/>
                <w:b/>
                <w:bCs/>
                <w:kern w:val="0"/>
                <w:lang w:val="ru-RU" w:eastAsia="ru-RU" w:bidi="ar-SA"/>
              </w:rPr>
              <w:t>Требования к приемке результата оказания у</w:t>
            </w:r>
            <w:r>
              <w:rPr>
                <w:rFonts w:eastAsia="Times New Roman" w:cs="Times New Roman"/>
                <w:b/>
                <w:kern w:val="0"/>
                <w:lang w:val="ru-RU" w:eastAsia="ru-RU" w:bidi="ar-SA"/>
              </w:rPr>
              <w:t>слуг</w:t>
            </w:r>
            <w:r>
              <w:rPr>
                <w:rFonts w:eastAsia="Times New Roman" w:cs="Times New Roman"/>
                <w:bCs/>
                <w:kern w:val="0"/>
                <w:lang w:val="ru-RU" w:eastAsia="ru-RU" w:bidi="ar-SA"/>
              </w:rPr>
              <w:t xml:space="preserve"> </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tcPr>
          <w:p>
            <w:pPr>
              <w:pStyle w:val="Normal"/>
              <w:widowControl w:val="false"/>
              <w:tabs>
                <w:tab w:val="clear" w:pos="709"/>
                <w:tab w:val="left" w:pos="426" w:leader="none"/>
              </w:tabs>
              <w:suppressAutoHyphens w:val="false"/>
              <w:spacing w:before="60" w:after="0"/>
              <w:jc w:val="left"/>
              <w:rPr>
                <w:lang w:val="ru-RU"/>
              </w:rPr>
            </w:pPr>
            <w:r>
              <w:rPr>
                <w:rFonts w:eastAsia="Times New Roman" w:cs="Times New Roman"/>
                <w:kern w:val="0"/>
                <w:lang w:val="ru-RU" w:eastAsia="ru-RU" w:bidi="ar-SA"/>
              </w:rPr>
              <w:t>Приемка результата оказания услуг</w:t>
            </w:r>
          </w:p>
        </w:tc>
        <w:tc>
          <w:tcPr>
            <w:tcW w:w="6806" w:type="dxa"/>
            <w:tcBorders/>
          </w:tcPr>
          <w:p>
            <w:pPr>
              <w:pStyle w:val="Normal"/>
              <w:widowControl w:val="false"/>
              <w:tabs>
                <w:tab w:val="clear" w:pos="709"/>
                <w:tab w:val="left" w:pos="426" w:leader="none"/>
              </w:tabs>
              <w:suppressAutoHyphens w:val="false"/>
              <w:spacing w:before="60" w:after="0"/>
              <w:jc w:val="left"/>
              <w:rPr>
                <w:lang w:val="ru-RU"/>
              </w:rPr>
            </w:pPr>
            <w:r>
              <w:rPr>
                <w:rFonts w:eastAsia="Times New Roman" w:cs="Times New Roman"/>
                <w:kern w:val="0"/>
                <w:lang w:val="ru-RU" w:eastAsia="ru-RU" w:bidi="ar-SA"/>
              </w:rPr>
              <w:t>Результат оказания услуг принимается Заказчиком путём подписания Акта сдачи приёмки услуг в соответствии с условиями Договора и после проведения ходовых испытаний ТС.</w:t>
            </w:r>
          </w:p>
        </w:tc>
      </w:tr>
      <w:tr>
        <w:trPr/>
        <w:tc>
          <w:tcPr>
            <w:tcW w:w="851" w:type="dxa"/>
            <w:tcBorders/>
            <w:vAlign w:val="center"/>
          </w:tcPr>
          <w:p>
            <w:pPr>
              <w:pStyle w:val="Normal"/>
              <w:widowControl/>
              <w:numPr>
                <w:ilvl w:val="1"/>
                <w:numId w:val="25"/>
              </w:numPr>
              <w:suppressAutoHyphens w:val="false"/>
              <w:spacing w:before="60" w:after="60"/>
              <w:ind w:firstLine="142" w:left="-117"/>
              <w:contextualSpacing/>
              <w:jc w:val="center"/>
              <w:rPr>
                <w:rFonts w:eastAsia="Calibri"/>
                <w:lang w:val="ru-RU"/>
              </w:rPr>
            </w:pPr>
            <w:r>
              <w:rPr>
                <w:rFonts w:eastAsia="Calibri"/>
                <w:lang w:val="ru-RU"/>
              </w:rPr>
            </w:r>
          </w:p>
        </w:tc>
        <w:tc>
          <w:tcPr>
            <w:tcW w:w="9072" w:type="dxa"/>
            <w:gridSpan w:val="2"/>
            <w:tcBorders/>
            <w:vAlign w:val="center"/>
          </w:tcPr>
          <w:p>
            <w:pPr>
              <w:pStyle w:val="Normal"/>
              <w:widowControl/>
              <w:suppressAutoHyphens w:val="false"/>
              <w:spacing w:before="60" w:after="0"/>
              <w:jc w:val="left"/>
              <w:rPr>
                <w:b/>
                <w:lang w:val="ru-RU"/>
              </w:rPr>
            </w:pPr>
            <w:r>
              <w:rPr>
                <w:rFonts w:eastAsia="Times New Roman" w:cs="Times New Roman"/>
                <w:b/>
                <w:kern w:val="0"/>
                <w:lang w:val="ru-RU" w:eastAsia="ru-RU" w:bidi="ar-SA"/>
              </w:rPr>
              <w:t>Требования к документации, описывающей результат оказания услуг</w:t>
            </w:r>
          </w:p>
        </w:tc>
      </w:tr>
      <w:tr>
        <w:trPr/>
        <w:tc>
          <w:tcPr>
            <w:tcW w:w="851" w:type="dxa"/>
            <w:tcBorders/>
            <w:vAlign w:val="center"/>
          </w:tcPr>
          <w:p>
            <w:pPr>
              <w:pStyle w:val="Normal"/>
              <w:widowControl/>
              <w:numPr>
                <w:ilvl w:val="2"/>
                <w:numId w:val="25"/>
              </w:numPr>
              <w:suppressAutoHyphens w:val="false"/>
              <w:spacing w:before="60" w:after="60"/>
              <w:ind w:hanging="1199" w:left="1224"/>
              <w:contextualSpacing/>
              <w:jc w:val="center"/>
              <w:rPr>
                <w:rFonts w:eastAsia="Calibri"/>
                <w:lang w:val="ru-RU"/>
              </w:rPr>
            </w:pPr>
            <w:r>
              <w:rPr>
                <w:rFonts w:eastAsia="Calibri"/>
                <w:lang w:val="ru-RU"/>
              </w:rPr>
            </w:r>
          </w:p>
        </w:tc>
        <w:tc>
          <w:tcPr>
            <w:tcW w:w="2266" w:type="dxa"/>
            <w:tcBorders/>
          </w:tcPr>
          <w:p>
            <w:pPr>
              <w:pStyle w:val="Normal"/>
              <w:widowControl/>
              <w:suppressAutoHyphens w:val="false"/>
              <w:spacing w:before="0" w:after="0"/>
              <w:jc w:val="left"/>
              <w:rPr>
                <w:lang w:val="ru-RU"/>
              </w:rPr>
            </w:pPr>
            <w:r>
              <w:rPr>
                <w:rFonts w:eastAsia="Times New Roman" w:cs="Times New Roman"/>
                <w:kern w:val="0"/>
                <w:lang w:val="ru-RU" w:eastAsia="ru-RU" w:bidi="ar-SA"/>
              </w:rPr>
              <w:t>Документации, описывающие результат оказания услуг</w:t>
            </w:r>
          </w:p>
        </w:tc>
        <w:tc>
          <w:tcPr>
            <w:tcW w:w="6806" w:type="dxa"/>
            <w:tcBorders/>
            <w:vAlign w:val="center"/>
          </w:tcPr>
          <w:p>
            <w:pPr>
              <w:pStyle w:val="Normal"/>
              <w:widowControl/>
              <w:suppressAutoHyphens w:val="false"/>
              <w:spacing w:before="0" w:after="0"/>
              <w:jc w:val="left"/>
              <w:rPr>
                <w:lang w:val="ru-RU"/>
              </w:rPr>
            </w:pPr>
            <w:r>
              <w:rPr>
                <w:rFonts w:eastAsia="Times New Roman" w:cs="Times New Roman"/>
                <w:kern w:val="0"/>
                <w:lang w:val="ru-RU" w:eastAsia="ru-RU" w:bidi="ar-SA"/>
              </w:rPr>
              <w:t>По окончанию оказания услуг, Исполнитель направляет Заказчику следующий пакет документов:</w:t>
            </w:r>
          </w:p>
          <w:p>
            <w:pPr>
              <w:pStyle w:val="Normal"/>
              <w:widowControl/>
              <w:numPr>
                <w:ilvl w:val="0"/>
                <w:numId w:val="30"/>
              </w:numPr>
              <w:suppressAutoHyphens w:val="false"/>
              <w:spacing w:before="0" w:after="0"/>
              <w:contextualSpacing/>
              <w:jc w:val="left"/>
              <w:rPr>
                <w:rFonts w:eastAsia="Calibri"/>
                <w:lang w:val="ru-RU"/>
              </w:rPr>
            </w:pPr>
            <w:r>
              <w:rPr>
                <w:rFonts w:eastAsia="Calibri" w:cs="Times New Roman"/>
                <w:kern w:val="0"/>
                <w:lang w:val="ru-RU" w:eastAsia="ru-RU" w:bidi="ar-SA"/>
              </w:rPr>
              <w:t>Счёт;</w:t>
            </w:r>
          </w:p>
          <w:p>
            <w:pPr>
              <w:pStyle w:val="Normal"/>
              <w:widowControl/>
              <w:numPr>
                <w:ilvl w:val="0"/>
                <w:numId w:val="30"/>
              </w:numPr>
              <w:suppressAutoHyphens w:val="false"/>
              <w:spacing w:before="0" w:after="0"/>
              <w:contextualSpacing/>
              <w:jc w:val="left"/>
              <w:rPr>
                <w:rFonts w:eastAsia="Calibri"/>
                <w:lang w:val="ru-RU"/>
              </w:rPr>
            </w:pPr>
            <w:r>
              <w:rPr>
                <w:rFonts w:eastAsia="Calibri" w:cs="Times New Roman"/>
                <w:kern w:val="0"/>
                <w:lang w:val="ru-RU" w:eastAsia="ru-RU" w:bidi="ar-SA"/>
              </w:rPr>
              <w:t>Счёт-фактуру или УПД;</w:t>
            </w:r>
          </w:p>
          <w:p>
            <w:pPr>
              <w:pStyle w:val="Normal"/>
              <w:widowControl/>
              <w:numPr>
                <w:ilvl w:val="0"/>
                <w:numId w:val="30"/>
              </w:numPr>
              <w:suppressAutoHyphens w:val="false"/>
              <w:spacing w:before="0" w:after="0"/>
              <w:contextualSpacing/>
              <w:jc w:val="left"/>
              <w:rPr>
                <w:rFonts w:eastAsia="Calibri"/>
                <w:lang w:val="ru-RU"/>
              </w:rPr>
            </w:pPr>
            <w:r>
              <w:rPr>
                <w:rFonts w:eastAsia="Calibri" w:cs="Times New Roman"/>
                <w:kern w:val="0"/>
                <w:lang w:val="ru-RU" w:eastAsia="ru-RU" w:bidi="ar-SA"/>
              </w:rPr>
              <w:t>Акт сдачи-приёмки услуг.</w:t>
            </w:r>
          </w:p>
        </w:tc>
      </w:tr>
      <w:tr>
        <w:trPr/>
        <w:tc>
          <w:tcPr>
            <w:tcW w:w="851" w:type="dxa"/>
            <w:tcBorders/>
            <w:vAlign w:val="center"/>
          </w:tcPr>
          <w:p>
            <w:pPr>
              <w:pStyle w:val="Normal"/>
              <w:widowControl/>
              <w:numPr>
                <w:ilvl w:val="0"/>
                <w:numId w:val="25"/>
              </w:numPr>
              <w:suppressAutoHyphens w:val="false"/>
              <w:spacing w:before="60" w:after="60"/>
              <w:contextualSpacing/>
              <w:jc w:val="center"/>
              <w:rPr>
                <w:rFonts w:eastAsia="Calibri"/>
                <w:lang w:val="ru-RU"/>
              </w:rPr>
            </w:pPr>
            <w:r>
              <w:rPr>
                <w:rFonts w:eastAsia="Calibri"/>
                <w:lang w:val="ru-RU"/>
              </w:rPr>
            </w:r>
          </w:p>
        </w:tc>
        <w:tc>
          <w:tcPr>
            <w:tcW w:w="9072" w:type="dxa"/>
            <w:gridSpan w:val="2"/>
            <w:tcBorders/>
            <w:vAlign w:val="center"/>
          </w:tcPr>
          <w:p>
            <w:pPr>
              <w:pStyle w:val="Normal"/>
              <w:widowControl/>
              <w:suppressAutoHyphens w:val="false"/>
              <w:spacing w:before="20" w:after="0"/>
              <w:jc w:val="both"/>
              <w:rPr>
                <w:b/>
                <w:lang w:val="ru-RU"/>
              </w:rPr>
            </w:pPr>
            <w:r>
              <w:rPr>
                <w:rFonts w:eastAsia="Times New Roman" w:cs="Times New Roman"/>
                <w:b/>
                <w:kern w:val="0"/>
                <w:lang w:val="ru-RU" w:eastAsia="ru-RU" w:bidi="ar-SA"/>
              </w:rPr>
              <w:t>Требования к ответственности и гарантиям исполнителя</w:t>
            </w:r>
          </w:p>
        </w:tc>
      </w:tr>
      <w:tr>
        <w:trPr/>
        <w:tc>
          <w:tcPr>
            <w:tcW w:w="851" w:type="dxa"/>
            <w:tcBorders/>
            <w:vAlign w:val="center"/>
          </w:tcPr>
          <w:p>
            <w:pPr>
              <w:pStyle w:val="Normal"/>
              <w:widowControl/>
              <w:numPr>
                <w:ilvl w:val="1"/>
                <w:numId w:val="25"/>
              </w:numPr>
              <w:suppressAutoHyphens w:val="false"/>
              <w:spacing w:before="60" w:after="60"/>
              <w:ind w:hanging="0" w:left="0"/>
              <w:contextualSpacing/>
              <w:jc w:val="center"/>
              <w:rPr>
                <w:rFonts w:eastAsia="Calibri"/>
                <w:lang w:val="ru-RU"/>
              </w:rPr>
            </w:pPr>
            <w:r>
              <w:rPr>
                <w:rFonts w:eastAsia="Calibri"/>
                <w:lang w:val="ru-RU"/>
              </w:rPr>
            </w:r>
          </w:p>
        </w:tc>
        <w:tc>
          <w:tcPr>
            <w:tcW w:w="2266" w:type="dxa"/>
            <w:tcBorders/>
          </w:tcPr>
          <w:p>
            <w:pPr>
              <w:pStyle w:val="Normal"/>
              <w:widowControl/>
              <w:suppressAutoHyphens w:val="false"/>
              <w:spacing w:before="0" w:after="0"/>
              <w:jc w:val="left"/>
              <w:rPr>
                <w:lang w:val="ru-RU"/>
              </w:rPr>
            </w:pPr>
            <w:r>
              <w:rPr>
                <w:rFonts w:eastAsia="Times New Roman" w:cs="Times New Roman"/>
                <w:kern w:val="0"/>
                <w:lang w:val="ru-RU" w:eastAsia="ru-RU" w:bidi="ar-SA"/>
              </w:rPr>
              <w:t>Ответственность и гарантии исполнителя</w:t>
            </w:r>
          </w:p>
        </w:tc>
        <w:tc>
          <w:tcPr>
            <w:tcW w:w="6806" w:type="dxa"/>
            <w:tcBorders/>
          </w:tcPr>
          <w:p>
            <w:pPr>
              <w:pStyle w:val="Normal"/>
              <w:widowControl/>
              <w:suppressAutoHyphens w:val="false"/>
              <w:spacing w:before="0" w:after="0"/>
              <w:jc w:val="left"/>
              <w:rPr>
                <w:lang w:val="ru-RU"/>
              </w:rPr>
            </w:pPr>
            <w:r>
              <w:rPr>
                <w:rFonts w:eastAsia="Times New Roman" w:cs="Times New Roman"/>
                <w:kern w:val="0"/>
                <w:lang w:val="ru-RU" w:eastAsia="ru-RU" w:bidi="ar-SA"/>
              </w:rPr>
              <w:t>Исполнитель несёт перед Заказчиком ответственность за надлежащее качество оказанных услуг, а также за надлежащее качество материалов, использованных при их оказании, при этом гарантийные обязательства на оказанные услуги должны составлять не менее 3 (Трёх) месяцев, гарантийный срок на замененные в процессе ремонта детали и механизмы должен составлять не менее установленного заводом изготовителем этих материалов.</w:t>
            </w:r>
          </w:p>
        </w:tc>
      </w:tr>
    </w:tbl>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rPr>
              <w:t xml:space="preserve">_______________ </w:t>
            </w:r>
          </w:p>
          <w:p>
            <w:pPr>
              <w:pStyle w:val="Normal"/>
              <w:widowControl w:val="false"/>
              <w:rPr>
                <w:lang w:val="ru-RU"/>
              </w:rPr>
            </w:pPr>
            <w:r>
              <w:rPr>
                <w:lang w:val="ru-RU"/>
              </w:rPr>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___.202_ №______________</w:t>
      </w:r>
    </w:p>
    <w:p>
      <w:pPr>
        <w:pStyle w:val="Normal"/>
        <w:tabs>
          <w:tab w:val="clear" w:pos="709"/>
          <w:tab w:val="left" w:pos="2700" w:leader="none"/>
        </w:tabs>
        <w:jc w:val="center"/>
        <w:rPr>
          <w:lang w:val="ru-RU"/>
        </w:rPr>
      </w:pPr>
      <w:r>
        <w:rPr>
          <w:lang w:val="ru-RU"/>
        </w:rPr>
      </w:r>
    </w:p>
    <w:p>
      <w:pPr>
        <w:pStyle w:val="ListParagraph"/>
        <w:numPr>
          <w:ilvl w:val="0"/>
          <w:numId w:val="14"/>
        </w:numPr>
        <w:tabs>
          <w:tab w:val="clear" w:pos="709"/>
          <w:tab w:val="left" w:pos="1134" w:leader="none"/>
        </w:tabs>
        <w:ind w:firstLine="709" w:left="0"/>
        <w:rPr/>
      </w:pPr>
      <w:r>
        <w:rPr/>
        <w:t>Виды услуг:</w:t>
      </w:r>
    </w:p>
    <w:p>
      <w:pPr>
        <w:pStyle w:val="ListParagraph"/>
        <w:numPr>
          <w:ilvl w:val="0"/>
          <w:numId w:val="14"/>
        </w:numPr>
        <w:tabs>
          <w:tab w:val="clear" w:pos="709"/>
          <w:tab w:val="left" w:pos="1134" w:leader="none"/>
        </w:tabs>
        <w:ind w:firstLine="709" w:left="0"/>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rPr>
              <w:t xml:space="preserve">_______________ </w:t>
            </w:r>
          </w:p>
          <w:p>
            <w:pPr>
              <w:pStyle w:val="Normal"/>
              <w:widowControl w:val="false"/>
              <w:rPr>
                <w:lang w:val="ru-RU"/>
              </w:rPr>
            </w:pPr>
            <w:r>
              <w:rPr>
                <w:lang w:val="ru-RU"/>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2"/>
        <w:gridCol w:w="776"/>
        <w:gridCol w:w="670"/>
        <w:gridCol w:w="1210"/>
        <w:gridCol w:w="2297"/>
        <w:gridCol w:w="1354"/>
        <w:gridCol w:w="2170"/>
        <w:gridCol w:w="651"/>
      </w:tblGrid>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rHeight w:val="100" w:hRule="atLeast"/>
        </w:trPr>
        <w:tc>
          <w:tcPr>
            <w:tcW w:w="1112"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2" w:type="dxa"/>
            <w:gridSpan w:val="5"/>
            <w:tcBorders>
              <w:top w:val="single" w:sz="4" w:space="0" w:color="000000"/>
            </w:tcBorders>
          </w:tcPr>
          <w:p>
            <w:pPr>
              <w:pStyle w:val="Normal"/>
              <w:widowControl w:val="false"/>
              <w:rPr>
                <w:b/>
                <w:lang w:val="ru-RU"/>
              </w:rPr>
            </w:pPr>
            <w:r>
              <w:rPr>
                <w:b/>
                <w:lang w:val="ru-RU"/>
              </w:rPr>
            </w:r>
          </w:p>
        </w:tc>
      </w:tr>
    </w:tbl>
    <w:p>
      <w:pPr>
        <w:pStyle w:val="Normal"/>
        <w:ind w:left="57"/>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pPr>
        <w:pStyle w:val="Normal"/>
        <w:rPr>
          <w:sz w:val="20"/>
          <w:szCs w:val="20"/>
          <w:lang w:val="ru-RU"/>
        </w:rPr>
      </w:pPr>
      <w:r>
        <w:rPr>
          <w:sz w:val="20"/>
          <w:szCs w:val="20"/>
          <w:lang w:val="ru-RU"/>
        </w:rPr>
      </w:r>
    </w:p>
    <w:p>
      <w:pPr>
        <w:pStyle w:val="ListParagraph"/>
        <w:ind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 xml:space="preserve">_______________ / _______________ </w:t>
            </w:r>
          </w:p>
          <w:p>
            <w:pPr>
              <w:pStyle w:val="Normal"/>
              <w:widowControl w:val="false"/>
              <w:rPr>
                <w:lang w:val="ru-RU"/>
              </w:rPr>
            </w:pPr>
            <w:r>
              <w:rPr>
                <w:lang w:val="ru-RU"/>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both"/>
        <w:rPr>
          <w:lang w:val="ru-RU"/>
        </w:rPr>
      </w:pPr>
      <w:r>
        <w:rPr>
          <w:lang w:val="ru-RU"/>
        </w:rPr>
      </w:r>
      <w:bookmarkStart w:id="40" w:name="_GoBack"/>
      <w:bookmarkStart w:id="41" w:name="_GoBack"/>
      <w:bookmarkEnd w:id="41"/>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Cs w:val="24"/>
        </w:rPr>
        <w:footnoteReference w:id="7"/>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rPr>
                <w:i/>
                <w:i/>
                <w:iCs/>
              </w:rPr>
            </w:pPr>
            <w:r>
              <w:rPr>
                <w:i/>
                <w:iCs/>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u w:val="single"/>
                <w:lang w:val="ru-RU"/>
              </w:rPr>
            </w:pPr>
            <w:r>
              <w:rPr>
                <w:b/>
                <w:bCs/>
                <w:lang w:val="ru-RU"/>
              </w:rPr>
              <w:tab/>
            </w:r>
            <w:r>
              <w:rP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lang w:val="ru-RU"/>
              </w:rPr>
            </w:pPr>
            <w:r>
              <w:rPr>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 xml:space="preserve">_______________ / </w:t>
            </w:r>
            <w:r>
              <w:rPr>
                <w:lang w:val="ru-RU"/>
              </w:rPr>
              <w:t xml:space="preserve">_______________ </w:t>
            </w:r>
          </w:p>
          <w:p>
            <w:pPr>
              <w:pStyle w:val="Normal"/>
              <w:widowControl w:val="false"/>
              <w:rPr>
                <w:lang w:val="ru-RU"/>
              </w:rPr>
            </w:pPr>
            <w:r>
              <w:rPr>
                <w:lang w:val="ru-RU"/>
              </w:rPr>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 xml:space="preserve">_______________ / _______________ </w:t>
            </w:r>
          </w:p>
        </w:tc>
      </w:tr>
    </w:tbl>
    <w:p>
      <w:pPr>
        <w:pStyle w:val="Normal"/>
        <w:ind w:left="4820"/>
        <w:rPr>
          <w:lang w:val="ru-RU"/>
        </w:rPr>
      </w:pPr>
      <w:r>
        <w:rPr>
          <w:lang w:val="ru-RU"/>
        </w:rPr>
        <w:t xml:space="preserve"> </w:t>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rPr>
            </w:pPr>
            <w:r>
              <w:rPr>
                <w:b/>
              </w:rPr>
            </w:r>
          </w:p>
        </w:tc>
        <w:tc>
          <w:tcPr>
            <w:tcW w:w="8789" w:type="dxa"/>
            <w:tcBorders/>
          </w:tcPr>
          <w:p>
            <w:pPr>
              <w:pStyle w:val="Normal"/>
              <w:widowControl w:val="false"/>
              <w:rPr>
                <w:b/>
              </w:rPr>
            </w:pPr>
            <w:r>
              <w:rPr>
                <w:b/>
              </w:rPr>
            </w:r>
          </w:p>
        </w:tc>
      </w:tr>
      <w:tr>
        <w:trPr/>
        <w:tc>
          <w:tcPr>
            <w:tcW w:w="4961" w:type="dxa"/>
            <w:tcBorders/>
          </w:tcPr>
          <w:p>
            <w:pPr>
              <w:pStyle w:val="Normal"/>
              <w:widowControl w:val="false"/>
              <w:rPr>
                <w:sz w:val="22"/>
                <w:szCs w:val="22"/>
              </w:rPr>
            </w:pPr>
            <w:r>
              <w:rPr>
                <w:sz w:val="22"/>
                <w:szCs w:val="22"/>
              </w:rPr>
            </w:r>
          </w:p>
        </w:tc>
        <w:tc>
          <w:tcPr>
            <w:tcW w:w="8789" w:type="dxa"/>
            <w:tcBorders/>
          </w:tcPr>
          <w:p>
            <w:pPr>
              <w:pStyle w:val="Normal"/>
              <w:widowControl w:val="false"/>
              <w:rPr>
                <w:sz w:val="22"/>
                <w:szCs w:val="22"/>
              </w:rPr>
            </w:pPr>
            <w:r>
              <w:rPr>
                <w:sz w:val="22"/>
                <w:szCs w:val="22"/>
              </w:rPr>
            </w:r>
          </w:p>
        </w:tc>
      </w:tr>
    </w:tbl>
    <w:p>
      <w:pPr>
        <w:sectPr>
          <w:headerReference w:type="default" r:id="rId8"/>
          <w:headerReference w:type="first" r:id="rId9"/>
          <w:footerReference w:type="default" r:id="rId10"/>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rPr>
          <w:i/>
          <w:i/>
          <w:color w:val="FF0000"/>
          <w:lang w:val="ru-RU"/>
        </w:rPr>
      </w:pPr>
      <w:r>
        <w:rPr>
          <w:i/>
          <w:color w:val="FF0000"/>
          <w:lang w:val="ru-RU"/>
        </w:rPr>
      </w:r>
    </w:p>
    <w:sectPr>
      <w:headerReference w:type="default" r:id="rId11"/>
      <w:headerReference w:type="first" r:id="rId12"/>
      <w:footerReference w:type="default" r:id="rId13"/>
      <w:footerReference w:type="first" r:id="rId14"/>
      <w:footnotePr>
        <w:numFmt w:val="decimal"/>
      </w:footnotePr>
      <w:type w:val="nextPage"/>
      <w:pgSz w:orient="landscape" w:w="16838" w:h="11906"/>
      <w:pgMar w:left="567" w:right="851" w:gutter="0" w:header="567" w:top="992" w:footer="709"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p>
    <w:pPr>
      <w:pStyle w:val="Normal"/>
      <w:rPr/>
    </w:pPr>
    <w:r>
      <w:rPr/>
    </w:r>
  </w:p>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27</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5"/>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rPr>
          <w:lang w:val="ru-RU"/>
        </w:rPr>
      </w:pPr>
      <w:r>
        <w:rPr>
          <w:rStyle w:val="Style5"/>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4">
    <w:p>
      <w:pPr>
        <w:pStyle w:val="FootnoteText"/>
        <w:rPr>
          <w:lang w:val="ru-RU"/>
        </w:rPr>
      </w:pPr>
      <w:r>
        <w:rPr>
          <w:rStyle w:val="Style5"/>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5">
    <w:p>
      <w:pPr>
        <w:pStyle w:val="FootnoteText"/>
        <w:rPr>
          <w:lang w:val="ru-RU"/>
        </w:rPr>
      </w:pPr>
      <w:r>
        <w:rPr>
          <w:rStyle w:val="Style5"/>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pPr>
        <w:pStyle w:val="FootnoteText"/>
        <w:jc w:val="both"/>
        <w:rPr>
          <w:lang w:val="ru-RU"/>
        </w:rPr>
      </w:pPr>
      <w:r>
        <w:rPr>
          <w:rStyle w:val="Style5"/>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rPr>
          <w:lang w:val="ru-RU"/>
        </w:rPr>
      </w:pPr>
      <w:r>
        <w:rPr>
          <w:rStyle w:val="Style5"/>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20</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6</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p>
    <w:pPr>
      <w:pStyle w:val="Normal"/>
      <w:rPr/>
    </w:pPr>
    <w:r>
      <w:rPr/>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p>
    <w:pPr>
      <w:pStyle w:val="Normal"/>
      <w:rPr/>
    </w:pPr>
    <w:r>
      <w:rPr/>
    </w:r>
  </w:p>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5">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8">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0">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1">
    <w:lvl w:ilvl="0">
      <w:start w:val="7"/>
      <w:numFmt w:val="decimal"/>
      <w:lvlText w:val="%1."/>
      <w:lvlJc w:val="left"/>
      <w:pPr>
        <w:tabs>
          <w:tab w:val="num" w:pos="0"/>
        </w:tabs>
        <w:ind w:left="360" w:hanging="360"/>
      </w:pPr>
      <w:rPr>
        <w:sz w:val="24"/>
        <w:b w:val="false"/>
        <w:kern w:val="0"/>
        <w:szCs w:val="24"/>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2">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25">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9">
    <w:lvl w:ilvl="0">
      <w:start w:val="1"/>
      <w:numFmt w:val="decimal"/>
      <w:lvlText w:val="%1."/>
      <w:lvlJc w:val="left"/>
      <w:pPr>
        <w:tabs>
          <w:tab w:val="num" w:pos="0"/>
        </w:tabs>
        <w:ind w:left="720" w:hanging="360"/>
      </w:pPr>
      <w:rPr>
        <w:rFonts w:eastAsia="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semiHidden/>
    <w:unhideWhenUsed/>
    <w:qFormat/>
    <w:rsid w:val="00cb6fde"/>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link w:val="12"/>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Linenumber">
    <w:name w:val="line number"/>
    <w:qFormat/>
    <w:rPr/>
  </w:style>
  <w:style w:type="character" w:styleId="Style15"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cb6fde"/>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cb6fde"/>
    <w:rPr/>
  </w:style>
  <w:style w:type="paragraph" w:styleId="Style16">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8"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19" w:customStyle="1">
    <w:name w:val="Пункт"/>
    <w:basedOn w:val="Normal"/>
    <w:qFormat/>
    <w:rsid w:val="005f1e81"/>
    <w:pPr>
      <w:numPr>
        <w:ilvl w:val="2"/>
        <w:numId w:val="1"/>
      </w:numPr>
      <w:jc w:val="both"/>
    </w:pPr>
    <w:rPr>
      <w:sz w:val="28"/>
      <w:lang w:val="ru-RU"/>
    </w:rPr>
  </w:style>
  <w:style w:type="paragraph" w:styleId="Style20" w:customStyle="1">
    <w:name w:val="Подпункт"/>
    <w:basedOn w:val="Style19"/>
    <w:qFormat/>
    <w:rsid w:val="005f1e81"/>
    <w:pPr>
      <w:numPr>
        <w:ilvl w:val="3"/>
      </w:numPr>
    </w:pPr>
    <w:rPr/>
  </w:style>
  <w:style w:type="paragraph" w:styleId="Style21" w:customStyle="1">
    <w:name w:val="Подподпункт"/>
    <w:basedOn w:val="Style20"/>
    <w:qFormat/>
    <w:rsid w:val="005f1e81"/>
    <w:pPr>
      <w:numPr>
        <w:ilvl w:val="4"/>
      </w:numPr>
    </w:pPr>
    <w:rPr/>
  </w:style>
  <w:style w:type="paragraph" w:styleId="Style22" w:customStyle="1">
    <w:name w:val="Пункт договора"/>
    <w:basedOn w:val="Normal"/>
    <w:qFormat/>
    <w:rsid w:val="005f1e81"/>
    <w:pPr>
      <w:widowControl w:val="false"/>
      <w:jc w:val="both"/>
    </w:pPr>
    <w:rPr>
      <w:rFonts w:ascii="Arial" w:hAnsi="Arial"/>
      <w:sz w:val="20"/>
      <w:szCs w:val="20"/>
      <w:lang w:val="ru-RU"/>
    </w:rPr>
  </w:style>
  <w:style w:type="paragraph" w:styleId="Style23"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4" w:customStyle="1">
    <w:name w:val="Раздел договора"/>
    <w:basedOn w:val="Normal"/>
    <w:next w:val="Style22"/>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5"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9"/>
    <w:qFormat/>
    <w:rsid w:val="006375b6"/>
    <w:pPr>
      <w:widowControl w:val="false"/>
      <w:overflowPunct w:val="false"/>
      <w:spacing w:before="0" w:after="120"/>
      <w:jc w:val="center"/>
      <w:textAlignment w:val="baseline"/>
    </w:pPr>
    <w:rPr>
      <w:b/>
      <w:bCs/>
      <w:sz w:val="32"/>
      <w:szCs w:val="20"/>
      <w:lang w:val="ru-RU"/>
    </w:rPr>
  </w:style>
  <w:style w:type="paragraph" w:styleId="Style26" w:customStyle="1">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35" w:customStyle="1">
    <w:name w:val="Нумерованный список ур3"/>
    <w:basedOn w:val="Normal"/>
    <w:qFormat/>
    <w:rsid w:val="00cb6fde"/>
    <w:pPr>
      <w:numPr>
        <w:ilvl w:val="2"/>
        <w:numId w:val="24"/>
      </w:numPr>
      <w:suppressAutoHyphens w:val="false"/>
      <w:jc w:val="both"/>
    </w:pPr>
    <w:rPr>
      <w:rFonts w:ascii="Garamond" w:hAnsi="Garamond"/>
      <w:szCs w:val="20"/>
      <w:lang w:val="ru-RU"/>
    </w:rPr>
  </w:style>
  <w:style w:type="paragraph" w:styleId="ListBullet4" w:customStyle="1">
    <w:name w:val="List Bullet 4"/>
    <w:basedOn w:val="Normal"/>
    <w:rsid w:val="00cb6fde"/>
    <w:pPr>
      <w:numPr>
        <w:ilvl w:val="0"/>
        <w:numId w:val="24"/>
      </w:numPr>
      <w:suppressAutoHyphens w:val="false"/>
      <w:spacing w:before="120" w:after="0"/>
      <w:jc w:val="both"/>
    </w:pPr>
    <w:rPr>
      <w:rFonts w:ascii="Garamond" w:hAnsi="Garamond"/>
      <w:szCs w:val="20"/>
      <w:lang w:val="ru-RU"/>
    </w:rPr>
  </w:style>
  <w:style w:type="paragraph" w:styleId="22" w:customStyle="1">
    <w:name w:val="Нумерованный список ур2"/>
    <w:basedOn w:val="Normal"/>
    <w:qFormat/>
    <w:rsid w:val="00cb6fde"/>
    <w:pPr>
      <w:numPr>
        <w:ilvl w:val="1"/>
        <w:numId w:val="24"/>
      </w:numPr>
      <w:suppressAutoHyphens w:val="false"/>
      <w:spacing w:before="120" w:after="0"/>
      <w:jc w:val="both"/>
    </w:pPr>
    <w:rPr>
      <w:rFonts w:ascii="Garamond" w:hAnsi="Garamond"/>
      <w:szCs w:val="20"/>
      <w:lang w:val="ru-RU"/>
    </w:rPr>
  </w:style>
  <w:style w:type="paragraph" w:styleId="Style27">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Сетка таблицы1"/>
    <w:basedOn w:val="a4"/>
    <w:uiPriority w:val="39"/>
    <w:rsid w:val="00cb6f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Relationship Id="rId23" Type="http://schemas.openxmlformats.org/officeDocument/2006/relationships/customXml" Target="../customXml/item4.xml"/><Relationship Id="rId24" Type="http://schemas.openxmlformats.org/officeDocument/2006/relationships/customXml" Target="../customXml/item5.xml"/><Relationship Id="rId25" Type="http://schemas.openxmlformats.org/officeDocument/2006/relationships/customXml" Target="../customXml/item6.xml"/><Relationship Id="rId26"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41CB10-6484-43CF-827D-3D98519542D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62CE6B0-BC4F-4194-A948-B830E2C98B6B}">
  <ds:schemaRefs>
    <ds:schemaRef ds:uri="http://schemas.openxmlformats.org/officeDocument/2006/bibliography"/>
  </ds:schemaRefs>
</ds:datastoreItem>
</file>

<file path=customXml/itemProps6.xml><?xml version="1.0" encoding="utf-8"?>
<ds:datastoreItem xmlns:ds="http://schemas.openxmlformats.org/officeDocument/2006/customXml" ds:itemID="{C2DE9B10-A2EE-4334-A0EB-9F2C6AB25F2D}">
  <ds:schemaRefs>
    <ds:schemaRef ds:uri="http://schemas.openxmlformats.org/officeDocument/2006/bibliography"/>
  </ds:schemaRefs>
</ds:datastoreItem>
</file>

<file path=customXml/itemProps7.xml><?xml version="1.0" encoding="utf-8"?>
<ds:datastoreItem xmlns:ds="http://schemas.openxmlformats.org/officeDocument/2006/customXml" ds:itemID="{8B290C93-50E7-4822-9B40-2721B3E0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Application>AlterOffice/2026.2.0.0$Linux_X86_64 LibreOffice_project/bc4ef1adf80b36c7a6365f8ed6cbf29021361edd</Application>
  <AppVersion>15.0000</AppVersion>
  <Pages>27</Pages>
  <Words>8675</Words>
  <Characters>61193</Characters>
  <CharactersWithSpaces>69491</CharactersWithSpaces>
  <Paragraphs>507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
  <cp:lastPrinted>2016-12-15T13:00:00Z</cp:lastPrinted>
  <dcterms:modified xsi:type="dcterms:W3CDTF">2026-11-02T11:29:21Z</dcterms:modified>
  <cp:revision>26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