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jc w:val="center"/>
        <w:rPr>
          <w:b/>
          <w:bCs/>
          <w:sz w:val="24"/>
          <w:szCs w:val="24"/>
        </w:rPr>
      </w:pPr>
      <w:r>
        <w:rPr>
          <w:b/>
          <w:bCs/>
          <w:sz w:val="24"/>
          <w:szCs w:val="24"/>
        </w:rPr>
        <w:t>Договор поставки</w:t>
      </w:r>
    </w:p>
    <w:p>
      <w:pPr>
        <w:pStyle w:val="Normal"/>
        <w:shd w:val="clear" w:color="auto" w:fill="FFFFFF"/>
        <w:tabs>
          <w:tab w:val="clear" w:pos="708"/>
          <w:tab w:val="left" w:pos="6926" w:leader="none"/>
        </w:tabs>
        <w:jc w:val="center"/>
        <w:rPr>
          <w:b/>
          <w:sz w:val="24"/>
          <w:szCs w:val="24"/>
        </w:rPr>
      </w:pPr>
      <w:r>
        <w:rPr>
          <w:b/>
          <w:bCs/>
          <w:sz w:val="24"/>
          <w:szCs w:val="24"/>
        </w:rPr>
        <w:t>№</w:t>
      </w:r>
      <w:r>
        <w:rPr>
          <w:b/>
          <w:sz w:val="24"/>
          <w:szCs w:val="24"/>
        </w:rPr>
        <w:t xml:space="preserve"> </w:t>
      </w:r>
    </w:p>
    <w:p>
      <w:pPr>
        <w:pStyle w:val="Normal"/>
        <w:shd w:val="clear" w:color="auto" w:fill="FFFFFF"/>
        <w:tabs>
          <w:tab w:val="clear" w:pos="708"/>
          <w:tab w:val="right" w:pos="9639" w:leader="none"/>
        </w:tabs>
        <w:jc w:val="right"/>
        <w:rPr>
          <w:bCs/>
          <w:sz w:val="24"/>
          <w:szCs w:val="24"/>
        </w:rPr>
      </w:pPr>
      <w:r>
        <w:rPr>
          <w:bCs/>
          <w:sz w:val="24"/>
          <w:szCs w:val="24"/>
        </w:rPr>
        <w:t>г. Саяногорск</w:t>
        <w:tab/>
        <w:t xml:space="preserve">   «___» _________ 2026 г.</w:t>
      </w:r>
    </w:p>
    <w:p>
      <w:pPr>
        <w:pStyle w:val="Normal"/>
        <w:shd w:val="clear" w:color="auto" w:fill="FFFFFF"/>
        <w:tabs>
          <w:tab w:val="clear" w:pos="708"/>
          <w:tab w:val="right" w:pos="9639" w:leader="none"/>
        </w:tabs>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Публичное акционерное общество «Федеральная гидрогенерирующая компания – РусГидро» </w:t>
      </w:r>
      <w:r>
        <w:rPr>
          <w:sz w:val="24"/>
          <w:szCs w:val="24"/>
        </w:rPr>
        <w:t>(ПАО «РусГидро»)</w:t>
      </w:r>
      <w:r>
        <w:rPr>
          <w:spacing w:val="2"/>
          <w:sz w:val="24"/>
          <w:szCs w:val="24"/>
        </w:rPr>
        <w:t xml:space="preserve"> (далее – </w:t>
      </w:r>
      <w:r>
        <w:rPr>
          <w:sz w:val="24"/>
          <w:szCs w:val="24"/>
        </w:rPr>
        <w:t>«Покупатель»),</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t>по результатам проведенной Покупателем закупочной процедуры по лоту № хх-хххх-2026-СШГЭС</w:t>
      </w:r>
    </w:p>
    <w:p>
      <w:pPr>
        <w:pStyle w:val="Normal"/>
        <w:ind w:firstLine="709"/>
        <w:jc w:val="both"/>
        <w:rPr>
          <w:spacing w:val="10"/>
          <w:sz w:val="24"/>
          <w:szCs w:val="24"/>
        </w:rPr>
      </w:pPr>
      <w:r>
        <w:rPr>
          <w:sz w:val="24"/>
          <w:szCs w:val="24"/>
        </w:rPr>
        <w:t>заключили настоящий договор поставки (далее – «Договор») о нижеследующем:</w:t>
      </w:r>
    </w:p>
    <w:p>
      <w:pPr>
        <w:pStyle w:val="Normal"/>
        <w:shd w:val="clear" w:color="auto" w:fill="FFFFFF"/>
        <w:rPr>
          <w:bCs/>
          <w:sz w:val="24"/>
          <w:szCs w:val="24"/>
        </w:rPr>
      </w:pPr>
      <w:r>
        <w:rPr>
          <w:bCs/>
          <w:sz w:val="24"/>
          <w:szCs w:val="24"/>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ТОРГ-2 «Акт об установленном расхождении по количеству и качеству при приемке товарно-материальных ценностей» и № ТОРГ</w:t>
      </w:r>
      <w:r>
        <w:rPr>
          <w:sz w:val="24"/>
          <w:szCs w:val="24"/>
        </w:rPr>
        <w:t>-</w:t>
      </w:r>
      <w:r>
        <w:rPr>
          <w:sz w:val="24"/>
          <w:szCs w:val="24"/>
          <w:lang w:eastAsia="en-US"/>
        </w:rPr>
        <w:t xml:space="preserve">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567" w:leader="none"/>
          <w:tab w:val="left" w:pos="1134" w:leader="none"/>
        </w:tabs>
        <w:overflowPunct w:val="true"/>
        <w:ind w:firstLine="708" w:left="0"/>
        <w:jc w:val="both"/>
        <w:textAlignment w:val="baseline"/>
        <w:rPr>
          <w:sz w:val="24"/>
          <w:szCs w:val="24"/>
          <w:lang w:eastAsia="en-US"/>
        </w:rPr>
      </w:pPr>
      <w:r>
        <w:rPr>
          <w:b/>
          <w:sz w:val="24"/>
          <w:szCs w:val="24"/>
          <w:lang w:eastAsia="en-US"/>
        </w:rPr>
        <w:t xml:space="preserve"> </w:t>
      </w: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8"/>
          <w:tab w:val="left" w:pos="0" w:leader="none"/>
        </w:tabs>
        <w:overflowPunct w:val="tru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8"/>
          <w:tab w:val="left" w:pos="0" w:leader="none"/>
        </w:tabs>
        <w:overflowPunct w:val="tru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8"/>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в случаях, установленных Договором. </w:t>
      </w:r>
    </w:p>
    <w:p>
      <w:pPr>
        <w:pStyle w:val="Heading3"/>
        <w:keepNext w:val="false"/>
        <w:tabs>
          <w:tab w:val="clear" w:pos="708"/>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 xml:space="preserve"> </w:t>
      </w: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8"/>
        <w:jc w:val="both"/>
        <w:rPr>
          <w:sz w:val="24"/>
          <w:szCs w:val="24"/>
          <w:lang w:eastAsia="en-US"/>
        </w:rPr>
      </w:pPr>
      <w:r>
        <w:rPr>
          <w:b/>
          <w:sz w:val="24"/>
          <w:szCs w:val="24"/>
          <w:lang w:eastAsia="en-US"/>
        </w:rPr>
        <w:t xml:space="preserve"> </w:t>
      </w: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overflowPunct w:val="tru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Поставщик обязуется в порядке и сроки, установленные Договором, передать в собственность Покупателю </w:t>
      </w:r>
      <w:bookmarkStart w:id="0" w:name="_GoBack"/>
      <w:bookmarkEnd w:id="0"/>
      <w:r>
        <w:rPr>
          <w:b/>
          <w:bCs/>
          <w:sz w:val="24"/>
          <w:szCs w:val="24"/>
        </w:rPr>
        <w:t>_______</w:t>
      </w:r>
      <w:r>
        <w:rPr>
          <w:b/>
          <w:bCs/>
          <w:sz w:val="24"/>
          <w:szCs w:val="24"/>
        </w:rPr>
        <w:t xml:space="preserve"> </w:t>
      </w:r>
      <w:r>
        <w:rPr>
          <w:bCs/>
          <w:sz w:val="24"/>
          <w:szCs w:val="24"/>
        </w:rPr>
        <w:t>(далее – «Товар») в соответствии со Спецификацией (Приложение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Филиала ПАО «РусГидро»-«Саяно-Шушенская ГЭС имени П.С. Непорожнего».</w:t>
      </w:r>
    </w:p>
    <w:p>
      <w:pPr>
        <w:pStyle w:val="Normal"/>
        <w:numPr>
          <w:ilvl w:val="1"/>
          <w:numId w:val="2"/>
        </w:numPr>
        <w:shd w:val="clear" w:color="auto" w:fill="FFFFFF"/>
        <w:tabs>
          <w:tab w:val="clear" w:pos="708"/>
          <w:tab w:val="left" w:pos="0" w:leader="none"/>
          <w:tab w:val="left" w:pos="1134" w:leader="none"/>
          <w:tab w:val="left" w:pos="1855" w:leader="none"/>
        </w:tabs>
        <w:ind w:firstLine="709" w:left="0"/>
        <w:jc w:val="both"/>
        <w:rPr>
          <w:bCs/>
          <w:sz w:val="24"/>
          <w:szCs w:val="24"/>
        </w:rPr>
      </w:pPr>
      <w:r>
        <w:rPr>
          <w:bCs/>
          <w:sz w:val="24"/>
          <w:szCs w:val="24"/>
        </w:rPr>
        <w:t>Место поставки Товара: Республика Хакасия, г. Саяногорск. рп. Черемушки, 106, БГСО (далее – «Место поставки»).</w:t>
      </w:r>
    </w:p>
    <w:p>
      <w:pPr>
        <w:pStyle w:val="Normal"/>
        <w:numPr>
          <w:ilvl w:val="1"/>
          <w:numId w:val="2"/>
        </w:numPr>
        <w:shd w:val="clear" w:color="auto" w:fill="FFFFFF"/>
        <w:tabs>
          <w:tab w:val="clear" w:pos="708"/>
          <w:tab w:val="left" w:pos="0" w:leader="none"/>
          <w:tab w:val="left" w:pos="1134" w:leader="none"/>
          <w:tab w:val="left" w:pos="1855" w:leader="none"/>
        </w:tabs>
        <w:ind w:firstLine="709" w:left="0"/>
        <w:jc w:val="both"/>
        <w:rPr>
          <w:bCs/>
          <w:sz w:val="24"/>
          <w:szCs w:val="24"/>
        </w:rPr>
      </w:pPr>
      <w:r>
        <w:rPr>
          <w:bCs/>
          <w:sz w:val="24"/>
          <w:szCs w:val="24"/>
        </w:rPr>
        <w:t xml:space="preserve">Общий срок поставки Товара: </w:t>
      </w:r>
    </w:p>
    <w:p>
      <w:pPr>
        <w:pStyle w:val="ListParagraph"/>
        <w:numPr>
          <w:ilvl w:val="2"/>
          <w:numId w:val="2"/>
        </w:numPr>
        <w:shd w:val="clear" w:color="auto" w:fill="FFFFFF"/>
        <w:tabs>
          <w:tab w:val="clear" w:pos="708"/>
          <w:tab w:val="left" w:pos="3763" w:leader="none"/>
        </w:tabs>
        <w:jc w:val="both"/>
        <w:rPr>
          <w:bCs/>
          <w:sz w:val="24"/>
          <w:szCs w:val="24"/>
        </w:rPr>
      </w:pPr>
      <w:r>
        <w:rPr>
          <w:bCs/>
          <w:sz w:val="24"/>
          <w:szCs w:val="24"/>
        </w:rPr>
        <w:t xml:space="preserve">Начало срока поставки Товара: </w:t>
      </w:r>
      <w:r>
        <w:rPr>
          <w:bCs/>
          <w:sz w:val="24"/>
          <w:szCs w:val="24"/>
        </w:rPr>
        <w:t>________</w:t>
      </w:r>
      <w:r>
        <w:rPr>
          <w:bCs/>
          <w:sz w:val="24"/>
          <w:szCs w:val="24"/>
          <w:lang w:val="en-US"/>
        </w:rPr>
        <w:t>;</w:t>
      </w:r>
    </w:p>
    <w:p>
      <w:pPr>
        <w:pStyle w:val="ListParagraph"/>
        <w:numPr>
          <w:ilvl w:val="2"/>
          <w:numId w:val="2"/>
        </w:numPr>
        <w:shd w:val="clear" w:color="auto" w:fill="FFFFFF"/>
        <w:tabs>
          <w:tab w:val="clear" w:pos="708"/>
          <w:tab w:val="left" w:pos="3763" w:leader="none"/>
        </w:tabs>
        <w:jc w:val="both"/>
        <w:rPr>
          <w:bCs/>
          <w:sz w:val="24"/>
          <w:szCs w:val="24"/>
        </w:rPr>
      </w:pPr>
      <w:r>
        <w:rPr>
          <w:bCs/>
          <w:sz w:val="24"/>
          <w:szCs w:val="24"/>
        </w:rPr>
        <w:t xml:space="preserve">Окончание срока поставки Товара: не позднее </w:t>
      </w:r>
      <w:r>
        <w:rPr>
          <w:bCs/>
          <w:sz w:val="24"/>
          <w:szCs w:val="24"/>
        </w:rPr>
        <w:t>11</w:t>
      </w:r>
      <w:r>
        <w:rPr>
          <w:bCs/>
          <w:sz w:val="24"/>
          <w:szCs w:val="24"/>
        </w:rPr>
        <w:t>.</w:t>
      </w:r>
      <w:r>
        <w:rPr>
          <w:bCs/>
          <w:sz w:val="24"/>
          <w:szCs w:val="24"/>
        </w:rPr>
        <w:t>12</w:t>
      </w:r>
      <w:r>
        <w:rPr>
          <w:bCs/>
          <w:sz w:val="24"/>
          <w:szCs w:val="24"/>
        </w:rPr>
        <w:t>.202</w:t>
      </w:r>
      <w:r>
        <w:rPr>
          <w:bCs/>
          <w:sz w:val="24"/>
          <w:szCs w:val="24"/>
        </w:rPr>
        <w:t>6.</w:t>
      </w:r>
    </w:p>
    <w:p>
      <w:pPr>
        <w:pStyle w:val="Normal"/>
        <w:shd w:val="clear" w:color="auto" w:fill="FFFFFF"/>
        <w:tabs>
          <w:tab w:val="clear" w:pos="708"/>
          <w:tab w:val="left" w:pos="540" w:leader="none"/>
          <w:tab w:val="left" w:pos="1134" w:leader="none"/>
        </w:tabs>
        <w:ind w:left="709"/>
        <w:jc w:val="both"/>
        <w:rPr>
          <w:bCs/>
          <w:sz w:val="24"/>
          <w:szCs w:val="24"/>
        </w:rPr>
      </w:pPr>
      <w:r>
        <w:rPr>
          <w:bCs/>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твердой и составляет </w:t>
      </w:r>
      <w:r>
        <w:rPr>
          <w:color w:val="000000"/>
          <w:sz w:val="24"/>
          <w:szCs w:val="24"/>
        </w:rPr>
        <w:t>ХХ рублей</w:t>
      </w:r>
      <w:r>
        <w:rPr>
          <w:bCs/>
          <w:sz w:val="24"/>
          <w:szCs w:val="24"/>
        </w:rPr>
        <w:t xml:space="preserve"> без учета НДС, при этом НДС исчисляется дополнительно по ставке, установленной статьей 164 Налогового Кодекса Российской Федерации (далее – НК РФ).</w:t>
      </w:r>
    </w:p>
    <w:p>
      <w:pPr>
        <w:pStyle w:val="Norma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и размещение персонала Поставщика;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8"/>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8"/>
          <w:tab w:val="left" w:pos="0" w:leader="none"/>
          <w:tab w:val="left" w:pos="1134" w:leader="none"/>
        </w:tabs>
        <w:ind w:firstLine="709" w:left="0"/>
        <w:jc w:val="both"/>
        <w:rPr>
          <w:sz w:val="24"/>
          <w:szCs w:val="24"/>
        </w:rPr>
      </w:pPr>
      <w:r>
        <w:rPr>
          <w:sz w:val="24"/>
          <w:szCs w:val="24"/>
        </w:rPr>
        <w:t>Оплата по Договору осуществляется Покупателем в следующем порядке:</w:t>
      </w:r>
    </w:p>
    <w:p>
      <w:pPr>
        <w:pStyle w:val="ListParagraph"/>
        <w:widowControl/>
        <w:numPr>
          <w:ilvl w:val="2"/>
          <w:numId w:val="12"/>
        </w:numPr>
        <w:tabs>
          <w:tab w:val="clear" w:pos="708"/>
          <w:tab w:val="left" w:pos="1855" w:leader="none"/>
        </w:tabs>
        <w:ind w:firstLine="709" w:left="0"/>
        <w:jc w:val="both"/>
        <w:rPr>
          <w:sz w:val="24"/>
          <w:szCs w:val="24"/>
        </w:rPr>
      </w:pPr>
      <w:r>
        <w:rPr>
          <w:sz w:val="24"/>
          <w:szCs w:val="24"/>
        </w:rPr>
        <w:t>Платеж в размере 100 % (ста процентов) от Цены Договора</w:t>
      </w:r>
      <w:r>
        <w:rPr>
          <w:bCs/>
          <w:sz w:val="24"/>
          <w:szCs w:val="24"/>
        </w:rPr>
        <w:t>,</w:t>
      </w:r>
      <w:r>
        <w:rPr>
          <w:sz w:val="24"/>
          <w:szCs w:val="24"/>
        </w:rPr>
        <w:t xml:space="preserve"> выплачивается Поставщику в течение </w:t>
      </w:r>
      <w:r>
        <w:rPr>
          <w:sz w:val="24"/>
        </w:rPr>
        <w:t xml:space="preserve">7 (семи) рабочих дней, </w:t>
      </w:r>
      <w:r>
        <w:rPr>
          <w:sz w:val="24"/>
          <w:szCs w:val="24"/>
        </w:rPr>
        <w:t>с даты подписания Сторонами накладной ТОРГ-12, на основании счета, выставленного Поставщиком, и с учетом пункта 2.4.2 Договора.</w:t>
      </w:r>
    </w:p>
    <w:p>
      <w:pPr>
        <w:pStyle w:val="ListParagraph"/>
        <w:widowControl/>
        <w:numPr>
          <w:ilvl w:val="2"/>
          <w:numId w:val="2"/>
        </w:numPr>
        <w:shd w:val="clear" w:color="auto" w:fill="FFFFFF"/>
        <w:tabs>
          <w:tab w:val="clear" w:pos="708"/>
          <w:tab w:val="left" w:pos="0" w:leader="none"/>
          <w:tab w:val="left" w:pos="1418" w:leader="none"/>
          <w:tab w:val="left" w:pos="1855"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ListParagraph"/>
        <w:numPr>
          <w:ilvl w:val="1"/>
          <w:numId w:val="2"/>
        </w:numPr>
        <w:tabs>
          <w:tab w:val="clear" w:pos="708"/>
          <w:tab w:val="left" w:pos="709" w:leader="none"/>
        </w:tabs>
        <w:ind w:firstLine="709" w:left="0"/>
        <w:jc w:val="both"/>
        <w:rPr>
          <w:sz w:val="24"/>
          <w:szCs w:val="24"/>
        </w:rPr>
      </w:pPr>
      <w:r>
        <w:rPr>
          <w:sz w:val="24"/>
          <w:szCs w:val="24"/>
        </w:rPr>
        <w:t xml:space="preserve">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w:t>
      </w:r>
    </w:p>
    <w:p>
      <w:pPr>
        <w:pStyle w:val="ListParagraph"/>
        <w:numPr>
          <w:ilvl w:val="1"/>
          <w:numId w:val="2"/>
        </w:numPr>
        <w:tabs>
          <w:tab w:val="clear" w:pos="708"/>
          <w:tab w:val="left" w:pos="1418"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tabs>
          <w:tab w:val="clear" w:pos="708"/>
          <w:tab w:val="left" w:pos="1134"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в том числе (включая, но не ограничиваясь),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widowControl/>
        <w:shd w:val="clear" w:color="auto" w:fill="FFFFFF"/>
        <w:tabs>
          <w:tab w:val="clear" w:pos="708"/>
          <w:tab w:val="left" w:pos="1134" w:leader="none"/>
        </w:tabs>
        <w:ind w:firstLine="709"/>
        <w:jc w:val="both"/>
        <w:rPr>
          <w:bCs/>
          <w:sz w:val="24"/>
          <w:szCs w:val="24"/>
        </w:rPr>
      </w:pPr>
      <w:r>
        <w:rPr>
          <w:bCs/>
          <w:sz w:val="24"/>
          <w:szCs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 в том числе указанным в Спецификации (Приложение № 1 к Договору), а также Применимого права.</w:t>
      </w:r>
    </w:p>
    <w:p>
      <w:pPr>
        <w:pStyle w:val="Normal"/>
        <w:widowControl/>
        <w:shd w:val="clear" w:color="auto" w:fill="FFFFFF"/>
        <w:tabs>
          <w:tab w:val="clear" w:pos="708"/>
          <w:tab w:val="left" w:pos="1134" w:leader="none"/>
        </w:tabs>
        <w:ind w:firstLine="709"/>
        <w:jc w:val="both"/>
        <w:rPr>
          <w:bCs/>
          <w:sz w:val="24"/>
          <w:szCs w:val="24"/>
        </w:rPr>
      </w:pPr>
      <w:r>
        <w:rPr>
          <w:bCs/>
          <w:sz w:val="24"/>
          <w:szCs w:val="24"/>
        </w:rPr>
        <w:t xml:space="preserve">Поставщик не вправе производить </w:t>
      </w:r>
      <w:r>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8"/>
          <w:tab w:val="left" w:pos="1418" w:leader="none"/>
        </w:tabs>
        <w:ind w:firstLine="709" w:left="0"/>
        <w:jc w:val="both"/>
        <w:rPr>
          <w:sz w:val="24"/>
          <w:szCs w:val="24"/>
        </w:rPr>
      </w:pPr>
      <w:r>
        <w:rPr>
          <w:sz w:val="24"/>
          <w:szCs w:val="24"/>
        </w:rPr>
        <w:t>сертификат качества в 1 (одном) экз.;</w:t>
      </w:r>
    </w:p>
    <w:p>
      <w:pPr>
        <w:pStyle w:val="Normal"/>
        <w:numPr>
          <w:ilvl w:val="0"/>
          <w:numId w:val="4"/>
        </w:numPr>
        <w:tabs>
          <w:tab w:val="clear" w:pos="708"/>
          <w:tab w:val="left" w:pos="1418" w:leader="none"/>
        </w:tabs>
        <w:ind w:firstLine="709" w:left="0"/>
        <w:jc w:val="both"/>
        <w:rPr>
          <w:sz w:val="24"/>
          <w:szCs w:val="24"/>
        </w:rPr>
      </w:pPr>
      <w:r>
        <w:rPr>
          <w:sz w:val="24"/>
          <w:szCs w:val="24"/>
        </w:rPr>
        <w:t>инструкция (руководство) по эксплуатации на русском языке в 1 (одном) экз.;</w:t>
      </w:r>
    </w:p>
    <w:p>
      <w:pPr>
        <w:pStyle w:val="Normal"/>
        <w:numPr>
          <w:ilvl w:val="0"/>
          <w:numId w:val="4"/>
        </w:numPr>
        <w:tabs>
          <w:tab w:val="clear" w:pos="708"/>
          <w:tab w:val="left" w:pos="1418" w:leader="none"/>
        </w:tabs>
        <w:ind w:firstLine="709" w:left="0"/>
        <w:jc w:val="both"/>
        <w:rPr>
          <w:sz w:val="24"/>
          <w:szCs w:val="24"/>
        </w:rPr>
      </w:pPr>
      <w:r>
        <w:rPr>
          <w:sz w:val="24"/>
          <w:szCs w:val="24"/>
        </w:rPr>
        <w:t>технический паспорт в 1 (одном) экз.;</w:t>
      </w:r>
    </w:p>
    <w:p>
      <w:pPr>
        <w:pStyle w:val="Normal"/>
        <w:numPr>
          <w:ilvl w:val="0"/>
          <w:numId w:val="4"/>
        </w:numPr>
        <w:tabs>
          <w:tab w:val="clear" w:pos="708"/>
          <w:tab w:val="left" w:pos="1418" w:leader="none"/>
        </w:tabs>
        <w:ind w:firstLine="709" w:left="0"/>
        <w:jc w:val="both"/>
        <w:rPr>
          <w:sz w:val="24"/>
          <w:szCs w:val="24"/>
        </w:rPr>
      </w:pPr>
      <w:r>
        <w:rPr>
          <w:sz w:val="24"/>
          <w:szCs w:val="24"/>
        </w:rPr>
        <w:t>протоколы заводских испытаний в 1 (одном) экз.;</w:t>
      </w:r>
    </w:p>
    <w:p>
      <w:pPr>
        <w:pStyle w:val="Normal"/>
        <w:numPr>
          <w:ilvl w:val="0"/>
          <w:numId w:val="4"/>
        </w:numPr>
        <w:tabs>
          <w:tab w:val="clear" w:pos="708"/>
          <w:tab w:val="left" w:pos="1418" w:leader="none"/>
        </w:tabs>
        <w:ind w:firstLine="709" w:left="0"/>
        <w:jc w:val="both"/>
        <w:rPr>
          <w:sz w:val="24"/>
          <w:szCs w:val="24"/>
        </w:rPr>
      </w:pPr>
      <w:r>
        <w:rPr>
          <w:sz w:val="24"/>
          <w:szCs w:val="24"/>
        </w:rPr>
        <w:t>упаковочный ярлык в 1 (одном) экз.;</w:t>
      </w:r>
    </w:p>
    <w:p>
      <w:pPr>
        <w:pStyle w:val="Normal"/>
        <w:numPr>
          <w:ilvl w:val="0"/>
          <w:numId w:val="4"/>
        </w:numPr>
        <w:tabs>
          <w:tab w:val="clear" w:pos="708"/>
          <w:tab w:val="left" w:pos="1418" w:leader="none"/>
        </w:tabs>
        <w:ind w:firstLine="709" w:left="0"/>
        <w:jc w:val="both"/>
        <w:rPr>
          <w:sz w:val="24"/>
          <w:szCs w:val="24"/>
        </w:rPr>
      </w:pPr>
      <w:r>
        <w:rPr>
          <w:sz w:val="24"/>
          <w:szCs w:val="24"/>
        </w:rPr>
        <w:t>упаковочный лист в 1 (одном) экз.;</w:t>
      </w:r>
    </w:p>
    <w:p>
      <w:pPr>
        <w:pStyle w:val="Normal"/>
        <w:numPr>
          <w:ilvl w:val="0"/>
          <w:numId w:val="3"/>
        </w:numPr>
        <w:tabs>
          <w:tab w:val="clear" w:pos="708"/>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8"/>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2 (двух) экз.;</w:t>
      </w:r>
    </w:p>
    <w:p>
      <w:pPr>
        <w:pStyle w:val="Normal"/>
        <w:numPr>
          <w:ilvl w:val="0"/>
          <w:numId w:val="3"/>
        </w:numPr>
        <w:shd w:val="clear" w:color="auto" w:fill="FFFFFF"/>
        <w:tabs>
          <w:tab w:val="clear" w:pos="708"/>
          <w:tab w:val="left" w:pos="1418" w:leader="none"/>
        </w:tabs>
        <w:ind w:firstLine="709" w:left="0"/>
        <w:jc w:val="both"/>
        <w:rPr>
          <w:sz w:val="24"/>
          <w:szCs w:val="24"/>
        </w:rPr>
      </w:pPr>
      <w:r>
        <w:rPr>
          <w:sz w:val="24"/>
          <w:szCs w:val="24"/>
        </w:rPr>
        <w:t>накладная ТОРГ-12 в 2 (двух) экз.</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bookmarkStart w:id="1" w:name="_Ref361408232"/>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shd w:val="clear" w:color="auto" w:fill="FFFFFF"/>
        <w:tabs>
          <w:tab w:val="clear" w:pos="708"/>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bookmarkStart w:id="2"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2"/>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8"/>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8"/>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 xml:space="preserve">Погрузка, доставка, разгрузка Товара </w:t>
      </w:r>
      <w:r>
        <w:rPr>
          <w:bCs/>
          <w:sz w:val="24"/>
          <w:szCs w:val="24"/>
        </w:rPr>
        <w:t>осуществляется</w:t>
      </w:r>
      <w:r>
        <w:rPr>
          <w:sz w:val="24"/>
          <w:szCs w:val="24"/>
        </w:rPr>
        <w:t xml:space="preserve"> Поставщиком. Стоимость погрузки, доставки, разгрузки Товара включена в стоимость Товара.</w:t>
      </w:r>
    </w:p>
    <w:p>
      <w:pPr>
        <w:pStyle w:val="ListParagraph"/>
        <w:widowContro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bookmarkStart w:id="3" w:name="_Ref361396594"/>
      <w:r>
        <w:rPr>
          <w:sz w:val="24"/>
          <w:szCs w:val="24"/>
        </w:rPr>
        <w:t xml:space="preserve">Датой поставки Товара является дата подписания Сторонами накладной </w:t>
        <w:br/>
        <w:t>ТОРГ-12.</w:t>
      </w:r>
      <w:bookmarkEnd w:id="3"/>
      <w:r>
        <w:rPr>
          <w:sz w:val="24"/>
          <w:szCs w:val="24"/>
        </w:rPr>
        <w:t xml:space="preserve">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 </w:t>
      </w:r>
    </w:p>
    <w:p>
      <w:pPr>
        <w:pStyle w:val="ListParagraph"/>
        <w:shd w:val="clear" w:color="auto" w:fill="FFFFFF"/>
        <w:tabs>
          <w:tab w:val="clear" w:pos="708"/>
          <w:tab w:val="left" w:pos="1418" w:leader="none"/>
        </w:tabs>
        <w:ind w:firstLine="709" w:left="0"/>
        <w:jc w:val="both"/>
        <w:rPr>
          <w:sz w:val="24"/>
          <w:szCs w:val="24"/>
        </w:rPr>
      </w:pPr>
      <w:bookmarkStart w:id="4"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4"/>
      <w:r>
        <w:rPr>
          <w:sz w:val="24"/>
          <w:szCs w:val="24"/>
        </w:rPr>
        <w:t xml:space="preserve"> </w:t>
      </w:r>
    </w:p>
    <w:p>
      <w:pPr>
        <w:pStyle w:val="ListParagraph"/>
        <w:widowControl/>
        <w:numPr>
          <w:ilvl w:val="1"/>
          <w:numId w:val="2"/>
        </w:numPr>
        <w:shd w:val="clear" w:color="auto" w:fill="FFFFFF"/>
        <w:tabs>
          <w:tab w:val="clear" w:pos="708"/>
          <w:tab w:val="left" w:pos="709" w:leader="none"/>
          <w:tab w:val="left" w:pos="1418"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в присутствии представителя Поставщика в порядке и сроки, предусмотренные п.п. 5 таблицы 4 пункта 2.3 </w:t>
      </w:r>
      <w:r>
        <w:rPr>
          <w:bCs/>
          <w:sz w:val="24"/>
          <w:szCs w:val="24"/>
        </w:rPr>
        <w:t>Технических требований (Приложение № 2 к Договору)</w:t>
      </w:r>
      <w:r>
        <w:rPr>
          <w:sz w:val="24"/>
          <w:szCs w:val="24"/>
        </w:rPr>
        <w:t>. В случае отсутствия замечаний Покупатель подписывает накладную ТОРГ-12.</w:t>
      </w:r>
    </w:p>
    <w:p>
      <w:pPr>
        <w:pStyle w:val="Normal"/>
        <w:numPr>
          <w:ilvl w:val="1"/>
          <w:numId w:val="2"/>
        </w:numPr>
        <w:shd w:val="clear" w:color="auto" w:fill="FFFFFF"/>
        <w:tabs>
          <w:tab w:val="clear" w:pos="708"/>
          <w:tab w:val="left" w:pos="568" w:leader="none"/>
          <w:tab w:val="left" w:pos="1134" w:leader="none"/>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неудовлетворительных результатов испытаний,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numPr>
          <w:ilvl w:val="1"/>
          <w:numId w:val="2"/>
        </w:numPr>
        <w:shd w:val="clear" w:color="auto" w:fill="FFFFFF"/>
        <w:tabs>
          <w:tab w:val="clear" w:pos="708"/>
          <w:tab w:val="left" w:pos="1418"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которого отказался Покупатель, возвратить его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абзаца 3 пункта 30, 35, 38-42).</w:t>
      </w:r>
      <w:r>
        <w:rPr>
          <w:b/>
          <w:bCs/>
          <w:color w:val="000000"/>
          <w:sz w:val="24"/>
          <w:szCs w:val="24"/>
        </w:rPr>
        <w:t xml:space="preserve">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8"/>
          <w:tab w:val="left" w:pos="284" w:leader="none"/>
        </w:tabs>
        <w:ind w:hanging="357" w:left="357"/>
        <w:jc w:val="center"/>
        <w:rPr>
          <w:b/>
          <w:sz w:val="24"/>
          <w:szCs w:val="24"/>
        </w:rPr>
      </w:pPr>
      <w:r>
        <w:rPr>
          <w:b/>
          <w:sz w:val="24"/>
          <w:szCs w:val="24"/>
        </w:rPr>
        <w:t>Гарантийный срок</w:t>
      </w:r>
    </w:p>
    <w:p>
      <w:pPr>
        <w:pStyle w:val="ListParagraph"/>
        <w:numPr>
          <w:ilvl w:val="1"/>
          <w:numId w:val="2"/>
        </w:numPr>
        <w:tabs>
          <w:tab w:val="clear" w:pos="708"/>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36 (тридцать шесть) месяцев и начинает течь с даты подписания Сторонами накладной ТОРГ-12. 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5" w:name="OLE_LINK6"/>
      <w:bookmarkStart w:id="6" w:name="OLE_LINK5"/>
      <w:r>
        <w:rPr>
          <w:sz w:val="24"/>
          <w:szCs w:val="24"/>
        </w:rPr>
        <w:t>Покупателем в соответствии с пунктом 4.3 Договора</w:t>
      </w:r>
      <w:bookmarkEnd w:id="5"/>
      <w:bookmarkEnd w:id="6"/>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rPr>
          <w:b/>
          <w:bCs/>
          <w:sz w:val="24"/>
          <w:szCs w:val="24"/>
        </w:rPr>
      </w:pPr>
      <w:r>
        <w:rPr>
          <w:b/>
          <w:bCs/>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8"/>
          <w:tab w:val="left" w:pos="1134" w:leader="none"/>
        </w:tabs>
        <w:ind w:firstLine="709" w:left="0"/>
        <w:jc w:val="both"/>
        <w:rPr>
          <w:bCs/>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8"/>
          <w:tab w:val="left" w:pos="1134"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pPr>
        <w:pStyle w:val="Normal"/>
        <w:widowControl/>
        <w:numPr>
          <w:ilvl w:val="1"/>
          <w:numId w:val="2"/>
        </w:numPr>
        <w:tabs>
          <w:tab w:val="clear" w:pos="708"/>
          <w:tab w:val="left" w:pos="1134" w:leader="none"/>
        </w:tabs>
        <w:ind w:firstLine="709" w:left="0"/>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xml:space="preserve">, Покупатель вправе требовать уплаты Поставщиком </w:t>
      </w:r>
      <w:r>
        <w:rPr>
          <w:sz w:val="24"/>
          <w:szCs w:val="24"/>
          <w:lang w:eastAsia="en-US"/>
        </w:rPr>
        <w:t>неустойки в размере 0,1 (ноль целых и одна десятая) процента от Цены Договора за каждый день просрочки</w:t>
      </w:r>
    </w:p>
    <w:p>
      <w:pPr>
        <w:pStyle w:val="ListParagraph"/>
        <w:widowControl/>
        <w:numPr>
          <w:ilvl w:val="1"/>
          <w:numId w:val="2"/>
        </w:numPr>
        <w:tabs>
          <w:tab w:val="clear" w:pos="708"/>
          <w:tab w:val="left" w:pos="1141" w:leader="none"/>
        </w:tabs>
        <w:ind w:firstLine="709" w:left="0"/>
        <w:jc w:val="both"/>
        <w:rPr>
          <w:sz w:val="24"/>
          <w:szCs w:val="24"/>
        </w:rPr>
      </w:pPr>
      <w:r>
        <w:rPr>
          <w:sz w:val="24"/>
          <w:szCs w:val="24"/>
        </w:rPr>
        <w:t xml:space="preserve">В случае несвоевременного устранения Поставщиком выявленных недостатков Товара, Покупатель вправе потребовать уплаты Поставщиком: </w:t>
      </w:r>
    </w:p>
    <w:p>
      <w:pPr>
        <w:pStyle w:val="ListParagraph"/>
        <w:widowControl/>
        <w:numPr>
          <w:ilvl w:val="2"/>
          <w:numId w:val="2"/>
        </w:numPr>
        <w:tabs>
          <w:tab w:val="clear" w:pos="708"/>
          <w:tab w:val="left" w:pos="1276" w:leader="none"/>
        </w:tabs>
        <w:ind w:firstLine="709" w:left="0"/>
        <w:jc w:val="both"/>
        <w:rPr>
          <w:bCs/>
          <w:sz w:val="24"/>
          <w:szCs w:val="24"/>
        </w:rPr>
      </w:pPr>
      <w:r>
        <w:rPr>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pPr>
        <w:pStyle w:val="ListParagraph"/>
        <w:widowControl/>
        <w:numPr>
          <w:ilvl w:val="2"/>
          <w:numId w:val="2"/>
        </w:numPr>
        <w:tabs>
          <w:tab w:val="clear" w:pos="708"/>
          <w:tab w:val="left" w:pos="1276" w:leader="none"/>
        </w:tabs>
        <w:ind w:firstLine="709" w:left="0"/>
        <w:jc w:val="both"/>
        <w:rPr>
          <w:bCs/>
          <w:sz w:val="24"/>
          <w:szCs w:val="24"/>
        </w:rPr>
      </w:pPr>
      <w:r>
        <w:rPr>
          <w:sz w:val="24"/>
          <w:szCs w:val="24"/>
        </w:rPr>
        <w:t>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8"/>
          <w:tab w:val="left" w:pos="1134" w:leader="none"/>
        </w:tabs>
        <w:ind w:firstLine="709" w:left="0"/>
        <w:jc w:val="both"/>
        <w:rPr>
          <w:bCs/>
          <w:sz w:val="24"/>
          <w:szCs w:val="24"/>
        </w:rPr>
      </w:pPr>
      <w:r>
        <w:rPr>
          <w:bCs/>
          <w:sz w:val="24"/>
          <w:szCs w:val="24"/>
        </w:rPr>
        <w:t>В случае нарушения Поставщиком сроков предоставления счетов-фактур, установленных пунктом 2.7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В случае если неисполнение / ненадлежащее исполнение Поставщиком обязательств по Договору повлекло за собой нарушение Покупателем обязательств на оптовом и / или розничных рынках электрической энергии и мощности, Поставщик несет ответственность перед Покупателем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Покупателем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Поставщиком своих обязательств.</w:t>
      </w:r>
    </w:p>
    <w:p>
      <w:pPr>
        <w:pStyle w:val="Normal"/>
        <w:tabs>
          <w:tab w:val="clear" w:pos="708"/>
          <w:tab w:val="left" w:pos="1418" w:leader="none"/>
        </w:tabs>
        <w:ind w:firstLine="709"/>
        <w:jc w:val="both"/>
        <w:rPr>
          <w:sz w:val="24"/>
          <w:szCs w:val="24"/>
        </w:rPr>
      </w:pPr>
      <w:r>
        <w:rPr>
          <w:sz w:val="24"/>
          <w:szCs w:val="24"/>
        </w:rPr>
        <w:t xml:space="preserve">Кроме суммы реального ущерба, Поставщик компенсирует </w:t>
      </w:r>
      <w:r>
        <w:rPr>
          <w:bCs/>
          <w:sz w:val="24"/>
          <w:szCs w:val="24"/>
        </w:rPr>
        <w:t>Покупателем</w:t>
      </w:r>
      <w:r>
        <w:rPr>
          <w:sz w:val="24"/>
          <w:szCs w:val="24"/>
        </w:rPr>
        <w:t xml:space="preserve">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pPr>
        <w:pStyle w:val="Normal"/>
        <w:tabs>
          <w:tab w:val="clear" w:pos="708"/>
          <w:tab w:val="left" w:pos="1418" w:leader="none"/>
        </w:tabs>
        <w:ind w:firstLine="709"/>
        <w:jc w:val="both"/>
        <w:rPr>
          <w:sz w:val="24"/>
          <w:szCs w:val="24"/>
        </w:rPr>
      </w:pPr>
      <w:r>
        <w:rPr>
          <w:sz w:val="24"/>
          <w:szCs w:val="24"/>
        </w:rPr>
        <w:t xml:space="preserve">Размер упущенной выгоды (выручки) подтверждается (по выбору </w:t>
      </w:r>
      <w:r>
        <w:rPr>
          <w:bCs/>
          <w:sz w:val="24"/>
          <w:szCs w:val="24"/>
        </w:rPr>
        <w:t>Покупателя</w:t>
      </w:r>
      <w:r>
        <w:rPr>
          <w:sz w:val="24"/>
          <w:szCs w:val="24"/>
        </w:rPr>
        <w:t>):</w:t>
      </w:r>
    </w:p>
    <w:p>
      <w:pPr>
        <w:pStyle w:val="Normal"/>
        <w:widowControl/>
        <w:numPr>
          <w:ilvl w:val="0"/>
          <w:numId w:val="11"/>
        </w:numPr>
        <w:tabs>
          <w:tab w:val="clear" w:pos="708"/>
          <w:tab w:val="left" w:pos="1418" w:leader="none"/>
        </w:tabs>
        <w:spacing w:lineRule="auto" w:line="254"/>
        <w:ind w:firstLine="709" w:left="0"/>
        <w:jc w:val="both"/>
        <w:rPr>
          <w:sz w:val="24"/>
          <w:szCs w:val="24"/>
        </w:rPr>
      </w:pPr>
      <w:r>
        <w:rPr>
          <w:sz w:val="24"/>
          <w:szCs w:val="24"/>
        </w:rPr>
        <w:t>в ценовых зонах:</w:t>
      </w:r>
    </w:p>
    <w:p>
      <w:pPr>
        <w:pStyle w:val="Normal"/>
        <w:tabs>
          <w:tab w:val="clear" w:pos="708"/>
          <w:tab w:val="left" w:pos="1418" w:leader="none"/>
        </w:tabs>
        <w:ind w:firstLine="709"/>
        <w:jc w:val="both"/>
        <w:rPr>
          <w:sz w:val="24"/>
          <w:szCs w:val="24"/>
        </w:rPr>
      </w:pPr>
      <w:r>
        <w:rPr>
          <w:sz w:val="24"/>
          <w:szCs w:val="24"/>
        </w:rPr>
        <w:t xml:space="preserve">расчетом, подготовленным Коммерческим оператором оптового рынка; </w:t>
      </w:r>
    </w:p>
    <w:p>
      <w:pPr>
        <w:pStyle w:val="Normal"/>
        <w:tabs>
          <w:tab w:val="clear" w:pos="708"/>
          <w:tab w:val="left" w:pos="1418" w:leader="none"/>
        </w:tabs>
        <w:ind w:firstLine="709"/>
        <w:jc w:val="both"/>
        <w:rPr>
          <w:sz w:val="24"/>
          <w:szCs w:val="24"/>
        </w:rPr>
      </w:pPr>
      <w:r>
        <w:rPr>
          <w:sz w:val="24"/>
          <w:szCs w:val="24"/>
        </w:rPr>
        <w:t>и / или</w:t>
      </w:r>
    </w:p>
    <w:p>
      <w:pPr>
        <w:pStyle w:val="Normal"/>
        <w:tabs>
          <w:tab w:val="clear" w:pos="708"/>
          <w:tab w:val="left" w:pos="1418" w:leader="none"/>
        </w:tabs>
        <w:ind w:firstLine="709"/>
        <w:jc w:val="both"/>
        <w:rPr>
          <w:sz w:val="24"/>
          <w:szCs w:val="24"/>
        </w:rPr>
      </w:pPr>
      <w:r>
        <w:rPr>
          <w:sz w:val="24"/>
          <w:szCs w:val="24"/>
        </w:rPr>
        <w:t xml:space="preserve">расчетом, подготовленным </w:t>
      </w:r>
      <w:r>
        <w:rPr>
          <w:bCs/>
          <w:sz w:val="24"/>
          <w:szCs w:val="24"/>
        </w:rPr>
        <w:t>Покупателем</w:t>
      </w:r>
      <w:r>
        <w:rPr>
          <w:sz w:val="24"/>
          <w:szCs w:val="24"/>
        </w:rPr>
        <w:t xml:space="preserve">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(далее – Ассоциация «НП Совета рынка»).</w:t>
      </w:r>
    </w:p>
    <w:p>
      <w:pPr>
        <w:pStyle w:val="Normal"/>
        <w:tabs>
          <w:tab w:val="clear" w:pos="708"/>
          <w:tab w:val="left" w:pos="1418" w:leader="none"/>
        </w:tabs>
        <w:ind w:firstLine="709"/>
        <w:jc w:val="both"/>
        <w:rPr>
          <w:sz w:val="24"/>
          <w:szCs w:val="24"/>
        </w:rPr>
      </w:pPr>
      <w:r>
        <w:rPr>
          <w:sz w:val="24"/>
          <w:szCs w:val="24"/>
        </w:rPr>
        <w:t>В отношении вновь вводимого оборудования ГЭС – объектов ДПМ, ДПМ ВИЭ в ценовых зонах ОРЭМ Поставщик дополнительно компенсирует Покупателю упущенную выгоду (выручку) в связи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8"/>
          <w:tab w:val="left" w:pos="1276" w:leader="none"/>
          <w:tab w:val="left" w:pos="1418"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8"/>
          <w:tab w:val="left" w:pos="1276" w:leader="none"/>
          <w:tab w:val="left" w:pos="1418"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8"/>
          <w:tab w:val="left" w:pos="1276" w:leader="none"/>
          <w:tab w:val="left" w:pos="1418"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8"/>
          <w:tab w:val="left" w:pos="1276" w:leader="none"/>
          <w:tab w:val="left" w:pos="1418"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jc w:val="both"/>
        <w:rPr>
          <w:sz w:val="24"/>
          <w:szCs w:val="24"/>
        </w:rPr>
      </w:pPr>
      <w:r>
        <w:rPr>
          <w:sz w:val="24"/>
          <w:szCs w:val="24"/>
        </w:rPr>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0" w:leader="none"/>
          <w:tab w:val="left" w:pos="284"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bookmarkStart w:id="7"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7"/>
      <w:r>
        <w:rPr>
          <w:bCs/>
          <w:sz w:val="24"/>
          <w:szCs w:val="24"/>
        </w:rPr>
        <w:t xml:space="preserve">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6.6.7 Договора.</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bookmarkStart w:id="8"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8"/>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bookmarkStart w:id="9"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9"/>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Споры, указанные в пункте 7.1 Договора, которые не были урегулированы Сторонами путем переговоров, подлежат разрешению в Арбитражном суде Республики Хакасия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jc w:val="both"/>
        <w:rPr>
          <w:sz w:val="24"/>
          <w:szCs w:val="24"/>
        </w:rPr>
      </w:pPr>
      <w:r>
        <w:rPr>
          <w:sz w:val="24"/>
          <w:szCs w:val="24"/>
        </w:rPr>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8"/>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5 (пяти) рабочих дней с даты получения письменного уведомления.</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5 (пяти) календарных дней до даты прекращения действия Договора. </w:t>
      </w:r>
    </w:p>
    <w:p>
      <w:pPr>
        <w:pStyle w:val="Normal"/>
        <w:shd w:val="clear" w:color="auto" w:fill="FFFFFF"/>
        <w:tabs>
          <w:tab w:val="clear" w:pos="708"/>
          <w:tab w:val="left" w:pos="567" w:leader="none"/>
          <w:tab w:val="left" w:pos="1134" w:leader="none"/>
        </w:tabs>
        <w:ind w:firstLine="709"/>
        <w:jc w:val="both"/>
        <w:rPr>
          <w:color w:val="000000"/>
          <w:sz w:val="24"/>
          <w:szCs w:val="24"/>
        </w:rPr>
      </w:pPr>
      <w:r>
        <w:rPr>
          <w:color w:val="000000"/>
          <w:sz w:val="24"/>
          <w:szCs w:val="24"/>
        </w:rPr>
        <w:t xml:space="preserve">8.7.  Каналы связи Линии доверия Группы РусГидро: </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8"/>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ListParagraph"/>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r>
    </w:p>
    <w:p>
      <w:pPr>
        <w:pStyle w:val="Normal"/>
        <w:widowControl/>
        <w:numPr>
          <w:ilvl w:val="0"/>
          <w:numId w:val="2"/>
        </w:numPr>
        <w:shd w:val="clear" w:color="auto" w:fill="FFFFFF"/>
        <w:tabs>
          <w:tab w:val="clear" w:pos="708"/>
          <w:tab w:val="left" w:pos="426" w:leader="none"/>
        </w:tabs>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8"/>
          <w:tab w:val="left" w:pos="0" w:leader="none"/>
          <w:tab w:val="left" w:pos="568" w:leader="none"/>
          <w:tab w:val="left" w:pos="1419"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10.1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В случае нарушения Поставщиком обязательств, установленных пунктами 10.1, 10.2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Штраф, предусмотренный пунктом 10.4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10.3 Договора.</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8"/>
          <w:tab w:val="left" w:pos="1134" w:leader="none"/>
        </w:tabs>
        <w:ind w:firstLine="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 w:val="left" w:pos="567"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9"/>
        </w:numPr>
        <w:shd w:val="clear" w:color="auto" w:fill="FFFFFF"/>
        <w:tabs>
          <w:tab w:val="clear" w:pos="708"/>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clear" w:pos="708"/>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8"/>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8"/>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8"/>
          <w:tab w:val="left" w:pos="0" w:leader="none"/>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8"/>
          <w:tab w:val="left" w:pos="1134" w:leader="none"/>
          <w:tab w:val="left" w:pos="1418" w:leader="none"/>
        </w:tabs>
        <w:ind w:left="0"/>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8"/>
          <w:tab w:val="left" w:pos="0" w:leader="none"/>
          <w:tab w:val="left" w:pos="1418" w:leader="none"/>
        </w:tabs>
        <w:ind w:firstLine="709" w:left="0"/>
        <w:jc w:val="both"/>
        <w:rPr>
          <w:sz w:val="24"/>
          <w:szCs w:val="24"/>
        </w:rPr>
      </w:pPr>
      <w:r>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6"/>
        </w:numPr>
        <w:tabs>
          <w:tab w:val="clear" w:pos="708"/>
          <w:tab w:val="left" w:pos="0" w:leader="none"/>
          <w:tab w:val="left" w:pos="1418" w:leader="none"/>
        </w:tabs>
        <w:ind w:firstLine="709" w:left="0"/>
        <w:jc w:val="both"/>
        <w:rPr>
          <w:sz w:val="24"/>
          <w:szCs w:val="24"/>
        </w:rPr>
      </w:pPr>
      <w:r>
        <w:rPr>
          <w:sz w:val="24"/>
          <w:szCs w:val="24"/>
        </w:rPr>
        <w:t>нарушение Поставщиком общего срока поставки Товара по Договору, более чем на 60 (шестьдесят) календарных дней по причинам, не зависящим от Покупателя;</w:t>
      </w:r>
    </w:p>
    <w:p>
      <w:pPr>
        <w:pStyle w:val="ListParagraph"/>
        <w:widowControl/>
        <w:numPr>
          <w:ilvl w:val="0"/>
          <w:numId w:val="6"/>
        </w:numPr>
        <w:tabs>
          <w:tab w:val="clear" w:pos="708"/>
          <w:tab w:val="left" w:pos="0" w:leader="none"/>
          <w:tab w:val="left" w:pos="1418" w:leader="none"/>
        </w:tabs>
        <w:ind w:firstLine="709" w:left="0"/>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6"/>
        </w:numPr>
        <w:tabs>
          <w:tab w:val="clear" w:pos="708"/>
          <w:tab w:val="left" w:pos="0" w:leader="none"/>
          <w:tab w:val="left" w:pos="1418" w:leader="none"/>
        </w:tabs>
        <w:ind w:firstLine="709"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6"/>
        </w:numPr>
        <w:tabs>
          <w:tab w:val="clear" w:pos="708"/>
          <w:tab w:val="left" w:pos="0" w:leader="none"/>
          <w:tab w:val="left" w:pos="1418" w:leader="none"/>
        </w:tabs>
        <w:ind w:firstLine="709" w:left="0"/>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w:t>
        <w:br/>
        <w:t>об обстоятельствах, указанных в разделе 11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12.2,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8"/>
          <w:tab w:val="left" w:pos="1134" w:leader="none"/>
        </w:tabs>
        <w:ind w:left="0"/>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widowControl/>
        <w:shd w:val="clear" w:color="auto" w:fill="FFFFFF"/>
        <w:tabs>
          <w:tab w:val="clear" w:pos="708"/>
          <w:tab w:val="left" w:pos="0" w:leader="none"/>
        </w:tabs>
        <w:ind w:firstLine="709"/>
        <w:jc w:val="both"/>
        <w:rPr>
          <w:sz w:val="24"/>
          <w:szCs w:val="24"/>
        </w:rPr>
      </w:pPr>
      <w:r>
        <w:rPr>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13.7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13.8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 </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pPr>
        <w:pStyle w:val="Normal"/>
        <w:widowControl/>
        <w:numPr>
          <w:ilvl w:val="1"/>
          <w:numId w:val="2"/>
        </w:numPr>
        <w:tabs>
          <w:tab w:val="clear" w:pos="708"/>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Normal"/>
        <w:widowControl/>
        <w:numPr>
          <w:ilvl w:val="1"/>
          <w:numId w:val="2"/>
        </w:numPr>
        <w:tabs>
          <w:tab w:val="clear" w:pos="708"/>
          <w:tab w:val="left" w:pos="0" w:leader="none"/>
          <w:tab w:val="left" w:pos="1418" w:leader="none"/>
        </w:tabs>
        <w:ind w:firstLine="709" w:left="0"/>
        <w:jc w:val="both"/>
        <w:rPr>
          <w:bCs/>
          <w:sz w:val="24"/>
          <w:szCs w:val="24"/>
        </w:rPr>
      </w:pPr>
      <w:r>
        <w:rPr>
          <w:bCs/>
          <w:sz w:val="24"/>
          <w:szCs w:val="24"/>
        </w:rPr>
        <w:t>Уступка (передача), в том числе в залог, прав (требований) к Покупателю по денежным обязательствам, возникшим из Договора, и принадлежащих Поставщику, допускается только с предварительного письменного согласия Покупателя и оформляется трёхсторонним договором</w:t>
      </w:r>
      <w:r>
        <w:rPr>
          <w:rStyle w:val="FootnoteReference"/>
          <w:bCs/>
          <w:sz w:val="24"/>
          <w:szCs w:val="24"/>
        </w:rPr>
        <w:footnoteReference w:id="2"/>
      </w:r>
      <w:r>
        <w:rPr>
          <w:bCs/>
          <w:sz w:val="24"/>
          <w:szCs w:val="24"/>
        </w:rPr>
        <w:t>.</w:t>
      </w:r>
    </w:p>
    <w:p>
      <w:pPr>
        <w:pStyle w:val="ListParagraph"/>
        <w:numPr>
          <w:ilvl w:val="1"/>
          <w:numId w:val="2"/>
        </w:numPr>
        <w:tabs>
          <w:tab w:val="clear" w:pos="708"/>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ind w:left="709"/>
        <w:jc w:val="both"/>
        <w:rPr>
          <w:sz w:val="24"/>
          <w:szCs w:val="24"/>
        </w:rPr>
      </w:pPr>
      <w:r>
        <w:rPr>
          <w:sz w:val="24"/>
          <w:szCs w:val="24"/>
        </w:rPr>
      </w:r>
    </w:p>
    <w:p>
      <w:pPr>
        <w:pStyle w:val="Normal"/>
        <w:widowControl/>
        <w:numPr>
          <w:ilvl w:val="0"/>
          <w:numId w:val="2"/>
        </w:numPr>
        <w:shd w:val="clear" w:color="auto" w:fill="FFFFFF"/>
        <w:tabs>
          <w:tab w:val="clear" w:pos="708"/>
          <w:tab w:val="left" w:pos="284" w:leader="none"/>
          <w:tab w:val="left" w:pos="360" w:leader="none"/>
        </w:tabs>
        <w:spacing w:before="0" w:after="0"/>
        <w:ind w:hanging="360" w:left="0"/>
        <w:contextualSpacing/>
        <w:jc w:val="center"/>
        <w:rPr>
          <w:b/>
          <w:bCs/>
          <w:sz w:val="24"/>
          <w:szCs w:val="24"/>
        </w:rPr>
      </w:pPr>
      <w:r>
        <w:rPr>
          <w:b/>
          <w:bCs/>
          <w:sz w:val="24"/>
          <w:szCs w:val="24"/>
        </w:rPr>
        <w:t>Список приложений</w:t>
      </w:r>
    </w:p>
    <w:p>
      <w:pPr>
        <w:pStyle w:val="Normal"/>
        <w:widowControl/>
        <w:shd w:val="clear" w:color="auto" w:fill="FFFFFF"/>
        <w:tabs>
          <w:tab w:val="clear" w:pos="708"/>
          <w:tab w:val="left" w:pos="284" w:leader="none"/>
        </w:tabs>
        <w:spacing w:before="0" w:after="0"/>
        <w:ind w:firstLine="709"/>
        <w:contextualSpacing/>
        <w:rPr>
          <w:rFonts w:eastAsia="Calibri"/>
          <w:sz w:val="24"/>
          <w:szCs w:val="24"/>
          <w:lang w:eastAsia="en-US"/>
        </w:rPr>
      </w:pPr>
      <w:r>
        <w:rPr>
          <w:rFonts w:eastAsia="Calibri"/>
          <w:sz w:val="24"/>
          <w:szCs w:val="24"/>
          <w:lang w:eastAsia="en-US"/>
        </w:rPr>
        <w:t>Приложение № 1 – Спецификация.</w:t>
      </w:r>
    </w:p>
    <w:p>
      <w:pPr>
        <w:pStyle w:val="Normal"/>
        <w:widowControl/>
        <w:shd w:val="clear" w:color="auto" w:fill="FFFFFF"/>
        <w:tabs>
          <w:tab w:val="clear" w:pos="708"/>
          <w:tab w:val="left" w:pos="284" w:leader="none"/>
        </w:tabs>
        <w:spacing w:before="0" w:after="0"/>
        <w:ind w:firstLine="709"/>
        <w:contextualSpacing/>
        <w:rPr>
          <w:sz w:val="24"/>
          <w:szCs w:val="24"/>
          <w:lang w:eastAsia="x-none"/>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Normal"/>
        <w:ind w:firstLine="709"/>
        <w:jc w:val="both"/>
        <w:rPr>
          <w:bCs/>
          <w:sz w:val="24"/>
          <w:szCs w:val="24"/>
        </w:rPr>
      </w:pPr>
      <w:r>
        <w:rPr>
          <w:bCs/>
          <w:sz w:val="24"/>
          <w:szCs w:val="24"/>
        </w:rPr>
      </w:r>
    </w:p>
    <w:p>
      <w:pPr>
        <w:pStyle w:val="Normal"/>
        <w:ind w:firstLine="709"/>
        <w:jc w:val="both"/>
        <w:rPr>
          <w:bCs/>
          <w:sz w:val="24"/>
          <w:szCs w:val="24"/>
        </w:rPr>
      </w:pPr>
      <w:r>
        <w:rPr>
          <w:bCs/>
          <w:sz w:val="24"/>
          <w:szCs w:val="24"/>
        </w:rPr>
      </w:r>
    </w:p>
    <w:p>
      <w:pPr>
        <w:pStyle w:val="Normal"/>
        <w:ind w:firstLine="709"/>
        <w:jc w:val="both"/>
        <w:rPr>
          <w:bCs/>
          <w:sz w:val="24"/>
          <w:szCs w:val="24"/>
        </w:rPr>
      </w:pPr>
      <w:r>
        <w:rPr>
          <w:bCs/>
          <w:sz w:val="24"/>
          <w:szCs w:val="24"/>
        </w:rPr>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Адреса и платежные реквизиты Сторон</w:t>
      </w:r>
    </w:p>
    <w:tbl>
      <w:tblPr>
        <w:tblW w:w="10206" w:type="dxa"/>
        <w:jc w:val="left"/>
        <w:tblInd w:w="-5" w:type="dxa"/>
        <w:tblLayout w:type="fixed"/>
        <w:tblCellMar>
          <w:top w:w="0" w:type="dxa"/>
          <w:left w:w="108" w:type="dxa"/>
          <w:bottom w:w="0" w:type="dxa"/>
          <w:right w:w="108" w:type="dxa"/>
        </w:tblCellMar>
        <w:tblLook w:val="01e0" w:noHBand="0" w:noVBand="0" w:firstColumn="1" w:lastRow="1" w:lastColumn="1" w:firstRow="1"/>
      </w:tblPr>
      <w:tblGrid>
        <w:gridCol w:w="2522"/>
        <w:gridCol w:w="4141"/>
        <w:gridCol w:w="3543"/>
      </w:tblGrid>
      <w:tr>
        <w:trPr>
          <w:tblHeader w:val="true"/>
          <w:trHeight w:val="387"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ind w:left="360"/>
              <w:jc w:val="center"/>
              <w:rPr>
                <w:b/>
                <w:color w:val="000000"/>
                <w:sz w:val="24"/>
                <w:szCs w:val="24"/>
                <w:lang w:eastAsia="en-US"/>
              </w:rPr>
            </w:pPr>
            <w:r>
              <w:rPr>
                <w:b/>
                <w:color w:val="000000"/>
                <w:sz w:val="24"/>
                <w:szCs w:val="24"/>
                <w:lang w:eastAsia="en-US"/>
              </w:rPr>
              <w:t>Наименование реквизита</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jc w:val="center"/>
              <w:rPr>
                <w:b/>
                <w:color w:val="000000"/>
                <w:sz w:val="24"/>
                <w:szCs w:val="24"/>
                <w:lang w:eastAsia="en-US"/>
              </w:rPr>
            </w:pPr>
            <w:r>
              <w:rPr>
                <w:b/>
                <w:color w:val="000000"/>
                <w:sz w:val="24"/>
                <w:szCs w:val="24"/>
                <w:lang w:eastAsia="en-US"/>
              </w:rPr>
              <w:t>Покупатель</w:t>
            </w:r>
          </w:p>
        </w:tc>
        <w:tc>
          <w:tcPr>
            <w:tcW w:w="354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jc w:val="center"/>
              <w:rPr>
                <w:b/>
                <w:sz w:val="24"/>
                <w:szCs w:val="24"/>
                <w:lang w:eastAsia="en-US"/>
              </w:rPr>
            </w:pPr>
            <w:r>
              <w:rPr>
                <w:b/>
                <w:sz w:val="24"/>
                <w:szCs w:val="24"/>
                <w:lang w:eastAsia="en-US"/>
              </w:rPr>
              <w:t>Поставщик</w:t>
            </w:r>
          </w:p>
        </w:tc>
      </w:tr>
      <w:tr>
        <w:trPr>
          <w:trHeight w:val="558"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Полное наименование</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r>
      <w:tr>
        <w:trPr>
          <w:trHeight w:val="60"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Сокращенное наименование</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r>
      <w:tr>
        <w:trPr>
          <w:trHeight w:val="253"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Место нахождения Общества</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r>
      <w:tr>
        <w:trPr>
          <w:trHeight w:val="447"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Почтовый адрес для отправки корреспонденции</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r>
      <w:tr>
        <w:trPr>
          <w:trHeight w:val="921"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Полное наименование филиала</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16"/>
              <w:jc w:val="center"/>
              <w:rPr>
                <w:sz w:val="24"/>
                <w:szCs w:val="24"/>
                <w:lang w:eastAsia="en-US"/>
              </w:rPr>
            </w:pPr>
            <w:r>
              <w:rPr>
                <w:sz w:val="24"/>
                <w:szCs w:val="24"/>
                <w:lang w:eastAsia="en-US"/>
              </w:rPr>
            </w:r>
          </w:p>
        </w:tc>
      </w:tr>
      <w:tr>
        <w:trPr>
          <w:trHeight w:val="725"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Сокращенное наименование филиала</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16"/>
              <w:jc w:val="center"/>
              <w:rPr>
                <w:sz w:val="24"/>
                <w:szCs w:val="24"/>
                <w:lang w:eastAsia="en-US"/>
              </w:rPr>
            </w:pPr>
            <w:r>
              <w:rPr>
                <w:sz w:val="24"/>
                <w:szCs w:val="24"/>
                <w:lang w:eastAsia="en-US"/>
              </w:rPr>
            </w:r>
          </w:p>
        </w:tc>
      </w:tr>
      <w:tr>
        <w:trPr>
          <w:trHeight w:val="884"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Место нахождения филиала</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16"/>
              <w:jc w:val="center"/>
              <w:rPr>
                <w:sz w:val="24"/>
                <w:szCs w:val="24"/>
                <w:lang w:eastAsia="en-US"/>
              </w:rPr>
            </w:pPr>
            <w:r>
              <w:rPr>
                <w:sz w:val="24"/>
                <w:szCs w:val="24"/>
                <w:lang w:eastAsia="en-US"/>
              </w:rPr>
            </w:r>
          </w:p>
        </w:tc>
      </w:tr>
      <w:tr>
        <w:trPr>
          <w:trHeight w:val="663"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Получатель</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jc w:val="center"/>
              <w:rPr>
                <w:sz w:val="24"/>
                <w:szCs w:val="24"/>
                <w:lang w:eastAsia="en-US"/>
              </w:rPr>
            </w:pPr>
            <w:r>
              <w:rPr>
                <w:sz w:val="24"/>
                <w:szCs w:val="24"/>
                <w:lang w:eastAsia="en-US"/>
              </w:rPr>
            </w:r>
          </w:p>
        </w:tc>
      </w:tr>
      <w:tr>
        <w:trPr>
          <w:trHeight w:val="591"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Банк получателя</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exact" w:line="230"/>
              <w:ind w:left="-40"/>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spacing w:lineRule="auto" w:line="216"/>
              <w:rPr>
                <w:sz w:val="24"/>
                <w:szCs w:val="24"/>
                <w:lang w:eastAsia="en-US"/>
              </w:rPr>
            </w:pPr>
            <w:r>
              <w:rPr>
                <w:sz w:val="24"/>
                <w:szCs w:val="24"/>
                <w:lang w:eastAsia="en-US"/>
              </w:rPr>
            </w:r>
          </w:p>
        </w:tc>
      </w:tr>
      <w:tr>
        <w:trPr>
          <w:trHeight w:val="413"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Расчетный счет</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spacing w:lineRule="auto" w:line="216"/>
              <w:rPr>
                <w:sz w:val="24"/>
                <w:szCs w:val="24"/>
                <w:lang w:eastAsia="en-US"/>
              </w:rPr>
            </w:pPr>
            <w:r>
              <w:rPr>
                <w:sz w:val="24"/>
                <w:szCs w:val="24"/>
                <w:lang w:eastAsia="en-US"/>
              </w:rPr>
            </w:r>
          </w:p>
        </w:tc>
      </w:tr>
      <w:tr>
        <w:trPr>
          <w:trHeight w:val="231"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Корреспондентский счет</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spacing w:lineRule="auto" w:line="216"/>
              <w:rPr>
                <w:sz w:val="24"/>
                <w:szCs w:val="24"/>
                <w:lang w:eastAsia="en-US"/>
              </w:rPr>
            </w:pPr>
            <w:r>
              <w:rPr>
                <w:sz w:val="24"/>
                <w:szCs w:val="24"/>
                <w:lang w:eastAsia="en-US"/>
              </w:rPr>
            </w:r>
          </w:p>
        </w:tc>
      </w:tr>
      <w:tr>
        <w:trPr>
          <w:trHeight w:val="175"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БИК</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spacing w:lineRule="auto" w:line="216"/>
              <w:rPr>
                <w:sz w:val="24"/>
                <w:szCs w:val="24"/>
                <w:lang w:val="en-US" w:eastAsia="en-US"/>
              </w:rPr>
            </w:pPr>
            <w:r>
              <w:rPr>
                <w:sz w:val="24"/>
                <w:szCs w:val="24"/>
                <w:lang w:val="en-US" w:eastAsia="en-US"/>
              </w:rPr>
            </w:r>
          </w:p>
        </w:tc>
      </w:tr>
      <w:tr>
        <w:trPr>
          <w:trHeight w:val="157"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ИНН/КПП</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spacing w:lineRule="auto" w:line="216"/>
              <w:rPr>
                <w:sz w:val="24"/>
                <w:szCs w:val="24"/>
                <w:lang w:eastAsia="en-US"/>
              </w:rPr>
            </w:pPr>
            <w:r>
              <w:rPr>
                <w:sz w:val="24"/>
                <w:szCs w:val="24"/>
                <w:lang w:eastAsia="en-US"/>
              </w:rPr>
            </w:r>
          </w:p>
        </w:tc>
      </w:tr>
      <w:tr>
        <w:trPr>
          <w:trHeight w:val="157"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ОГРН</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val="en-US" w:eastAsia="en-US"/>
              </w:rPr>
            </w:pPr>
            <w:r>
              <w:rPr>
                <w:sz w:val="24"/>
                <w:szCs w:val="24"/>
                <w:lang w:val="en-US" w:eastAsia="en-US"/>
              </w:rPr>
            </w:r>
          </w:p>
        </w:tc>
      </w:tr>
      <w:tr>
        <w:trPr>
          <w:trHeight w:val="225"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Тел./ факс</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r>
      <w:tr>
        <w:trPr>
          <w:trHeight w:val="150"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Руководитель стороны Договора</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r>
      <w:tr>
        <w:trPr>
          <w:trHeight w:val="150"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color w:val="000000"/>
                <w:sz w:val="24"/>
                <w:szCs w:val="24"/>
                <w:lang w:eastAsia="en-US"/>
              </w:rPr>
            </w:pPr>
            <w:r>
              <w:rPr>
                <w:color w:val="000000"/>
                <w:sz w:val="24"/>
                <w:szCs w:val="24"/>
                <w:lang w:eastAsia="en-US"/>
              </w:rPr>
              <w:t>Руководитель Филиала</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16"/>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16"/>
              <w:jc w:val="center"/>
              <w:rPr>
                <w:sz w:val="24"/>
                <w:szCs w:val="24"/>
                <w:lang w:eastAsia="en-US"/>
              </w:rPr>
            </w:pPr>
            <w:r>
              <w:rPr>
                <w:sz w:val="24"/>
                <w:szCs w:val="24"/>
                <w:lang w:eastAsia="en-US"/>
              </w:rPr>
            </w:r>
          </w:p>
        </w:tc>
      </w:tr>
      <w:tr>
        <w:trPr>
          <w:trHeight w:val="266" w:hRule="atLeast"/>
        </w:trPr>
        <w:tc>
          <w:tcPr>
            <w:tcW w:w="25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napToGrid w:val="false"/>
              <w:spacing w:lineRule="auto" w:line="254"/>
              <w:rPr>
                <w:sz w:val="24"/>
                <w:szCs w:val="24"/>
                <w:lang w:eastAsia="en-US"/>
              </w:rPr>
            </w:pPr>
            <w:r>
              <w:rPr>
                <w:color w:val="000000"/>
                <w:sz w:val="24"/>
                <w:szCs w:val="24"/>
                <w:lang w:eastAsia="en-US"/>
              </w:rPr>
              <w:t>Контактное лицо</w:t>
            </w:r>
          </w:p>
        </w:tc>
        <w:tc>
          <w:tcPr>
            <w:tcW w:w="4141" w:type="dxa"/>
            <w:tcBorders>
              <w:top w:val="single" w:sz="4" w:space="0" w:color="000000"/>
              <w:left w:val="single" w:sz="4" w:space="0" w:color="000000"/>
              <w:bottom w:val="single" w:sz="4" w:space="0" w:color="000000"/>
              <w:right w:val="single" w:sz="4" w:space="0" w:color="000000"/>
            </w:tcBorders>
            <w:vAlign w:val="center"/>
          </w:tcPr>
          <w:p>
            <w:pPr>
              <w:pStyle w:val="Normal"/>
              <w:widowControl/>
              <w:rPr>
                <w:sz w:val="24"/>
                <w:szCs w:val="24"/>
                <w:lang w:eastAsia="en-US"/>
              </w:rPr>
            </w:pPr>
            <w:r>
              <w:rPr>
                <w:sz w:val="24"/>
                <w:szCs w:val="24"/>
                <w:lang w:eastAsia="en-US"/>
              </w:rPr>
            </w:r>
          </w:p>
        </w:tc>
        <w:tc>
          <w:tcPr>
            <w:tcW w:w="3543" w:type="dxa"/>
            <w:tcBorders>
              <w:top w:val="single" w:sz="4" w:space="0" w:color="000000"/>
              <w:left w:val="single" w:sz="4" w:space="0" w:color="000000"/>
              <w:bottom w:val="single" w:sz="4" w:space="0" w:color="000000"/>
              <w:right w:val="single" w:sz="4" w:space="0" w:color="000000"/>
            </w:tcBorders>
          </w:tcPr>
          <w:p>
            <w:pPr>
              <w:pStyle w:val="Normal"/>
              <w:widowControl/>
              <w:rPr>
                <w:sz w:val="24"/>
                <w:szCs w:val="24"/>
                <w:highlight w:val="yellow"/>
                <w:lang w:eastAsia="en-US"/>
              </w:rPr>
            </w:pPr>
            <w:r>
              <w:rPr>
                <w:sz w:val="24"/>
                <w:szCs w:val="24"/>
                <w:highlight w:val="yellow"/>
                <w:lang w:eastAsia="en-US"/>
              </w:rPr>
            </w:r>
          </w:p>
        </w:tc>
      </w:tr>
    </w:tbl>
    <w:p>
      <w:pPr>
        <w:pStyle w:val="ListParagraph"/>
        <w:widowControl/>
        <w:shd w:val="clear" w:color="auto" w:fill="FFFFFF"/>
        <w:tabs>
          <w:tab w:val="clear" w:pos="708"/>
          <w:tab w:val="left" w:pos="426" w:leader="none"/>
        </w:tabs>
        <w:ind w:left="0"/>
        <w:rPr>
          <w:b/>
          <w:bCs/>
          <w:sz w:val="24"/>
          <w:szCs w:val="24"/>
        </w:rPr>
      </w:pPr>
      <w:r>
        <w:rPr>
          <w:b/>
          <w:bCs/>
          <w:sz w:val="24"/>
          <w:szCs w:val="24"/>
        </w:rPr>
      </w:r>
    </w:p>
    <w:p>
      <w:pPr>
        <w:pStyle w:val="ListParagraph"/>
        <w:widowControl/>
        <w:shd w:val="clear" w:color="auto" w:fill="FFFFFF"/>
        <w:tabs>
          <w:tab w:val="clear" w:pos="708"/>
          <w:tab w:val="left" w:pos="426" w:leader="none"/>
        </w:tabs>
        <w:ind w:left="0"/>
        <w:rPr>
          <w:b/>
          <w:bCs/>
          <w:sz w:val="24"/>
          <w:szCs w:val="24"/>
        </w:rPr>
      </w:pPr>
      <w:r>
        <w:rPr>
          <w:b/>
          <w:bCs/>
          <w:sz w:val="24"/>
          <w:szCs w:val="24"/>
        </w:rPr>
      </w:r>
    </w:p>
    <w:tbl>
      <w:tblPr>
        <w:tblW w:w="49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4654"/>
        <w:gridCol w:w="294"/>
        <w:gridCol w:w="4642"/>
      </w:tblGrid>
      <w:tr>
        <w:trPr>
          <w:trHeight w:val="1625" w:hRule="atLeast"/>
        </w:trPr>
        <w:tc>
          <w:tcPr>
            <w:tcW w:w="4654" w:type="dxa"/>
            <w:tcBorders/>
          </w:tcPr>
          <w:p>
            <w:pPr>
              <w:pStyle w:val="Normal"/>
              <w:suppressAutoHyphens w:val="true"/>
              <w:spacing w:before="0" w:after="0"/>
              <w:contextualSpacing/>
              <w:jc w:val="both"/>
              <w:rPr>
                <w:b/>
                <w:sz w:val="24"/>
                <w:szCs w:val="24"/>
                <w:lang w:eastAsia="ar-SA"/>
              </w:rPr>
            </w:pPr>
            <w:r>
              <w:rPr>
                <w:b/>
                <w:sz w:val="24"/>
                <w:szCs w:val="24"/>
                <w:lang w:eastAsia="ar-SA"/>
              </w:rPr>
              <w:t>Покупатель:</w:t>
            </w:r>
          </w:p>
          <w:p>
            <w:pPr>
              <w:pStyle w:val="Normal"/>
              <w:spacing w:before="0" w:after="0"/>
              <w:contextualSpacing/>
              <w:rPr>
                <w:sz w:val="24"/>
                <w:szCs w:val="24"/>
              </w:rPr>
            </w:pPr>
            <w:r>
              <w:rPr>
                <w:sz w:val="24"/>
                <w:szCs w:val="24"/>
              </w:rPr>
              <w:t xml:space="preserve">Директор филиала ПАО «РусГидро» - </w:t>
            </w:r>
          </w:p>
          <w:p>
            <w:pPr>
              <w:pStyle w:val="Normal"/>
              <w:spacing w:before="0" w:after="0"/>
              <w:contextualSpacing/>
              <w:rPr>
                <w:sz w:val="24"/>
                <w:szCs w:val="24"/>
              </w:rPr>
            </w:pPr>
            <w:r>
              <w:rPr>
                <w:sz w:val="24"/>
                <w:szCs w:val="24"/>
              </w:rPr>
              <w:t xml:space="preserve">«Саяно-Шушенская ГЭС </w:t>
            </w:r>
          </w:p>
          <w:p>
            <w:pPr>
              <w:pStyle w:val="Normal"/>
              <w:spacing w:before="0" w:after="0"/>
              <w:contextualSpacing/>
              <w:rPr>
                <w:sz w:val="24"/>
                <w:szCs w:val="24"/>
              </w:rPr>
            </w:pPr>
            <w:r>
              <w:rPr>
                <w:sz w:val="24"/>
                <w:szCs w:val="24"/>
              </w:rPr>
              <w:t>имени П.С. Непорожнего»</w:t>
            </w:r>
          </w:p>
          <w:p>
            <w:pPr>
              <w:pStyle w:val="Normal"/>
              <w:spacing w:before="0" w:after="0"/>
              <w:contextualSpacing/>
              <w:rPr>
                <w:sz w:val="24"/>
                <w:szCs w:val="24"/>
              </w:rPr>
            </w:pPr>
            <w:r>
              <w:rPr>
                <w:sz w:val="24"/>
                <w:szCs w:val="24"/>
              </w:rPr>
            </w:r>
          </w:p>
          <w:p>
            <w:pPr>
              <w:pStyle w:val="Normal"/>
              <w:suppressAutoHyphens w:val="true"/>
              <w:spacing w:before="0" w:after="0"/>
              <w:contextualSpacing/>
              <w:jc w:val="both"/>
              <w:rPr>
                <w:sz w:val="24"/>
                <w:szCs w:val="24"/>
              </w:rPr>
            </w:pPr>
            <w:r>
              <w:rPr>
                <w:sz w:val="24"/>
                <w:szCs w:val="24"/>
              </w:rPr>
              <w:t>_______________ / С.И. Полтаранин</w:t>
            </w:r>
          </w:p>
        </w:tc>
        <w:tc>
          <w:tcPr>
            <w:tcW w:w="294" w:type="dxa"/>
            <w:tcBorders/>
          </w:tcPr>
          <w:p>
            <w:pPr>
              <w:pStyle w:val="Normal"/>
              <w:suppressAutoHyphens w:val="true"/>
              <w:spacing w:before="0" w:after="0"/>
              <w:ind w:firstLine="567"/>
              <w:contextualSpacing/>
              <w:rPr>
                <w:b/>
                <w:sz w:val="24"/>
                <w:szCs w:val="24"/>
              </w:rPr>
            </w:pPr>
            <w:r>
              <w:rPr>
                <w:b/>
                <w:sz w:val="24"/>
                <w:szCs w:val="24"/>
              </w:rPr>
            </w:r>
          </w:p>
        </w:tc>
        <w:tc>
          <w:tcPr>
            <w:tcW w:w="4642" w:type="dxa"/>
            <w:tcBorders/>
          </w:tcPr>
          <w:p>
            <w:pPr>
              <w:pStyle w:val="Normal"/>
              <w:suppressAutoHyphens w:val="true"/>
              <w:spacing w:before="0" w:after="0"/>
              <w:ind w:firstLine="263"/>
              <w:contextualSpacing/>
              <w:jc w:val="both"/>
              <w:rPr>
                <w:b/>
                <w:sz w:val="24"/>
                <w:szCs w:val="24"/>
              </w:rPr>
            </w:pPr>
            <w:r>
              <w:rPr>
                <w:b/>
                <w:sz w:val="24"/>
                <w:szCs w:val="24"/>
              </w:rPr>
              <w:t>Поставщик:</w:t>
            </w:r>
          </w:p>
          <w:p>
            <w:pPr>
              <w:pStyle w:val="Normal"/>
              <w:suppressAutoHyphens w:val="true"/>
              <w:spacing w:before="0" w:after="0"/>
              <w:contextualSpacing/>
              <w:rPr>
                <w:sz w:val="24"/>
                <w:szCs w:val="24"/>
              </w:rPr>
            </w:pPr>
            <w:r>
              <w:rPr>
                <w:sz w:val="24"/>
                <w:szCs w:val="24"/>
              </w:rPr>
            </w:r>
          </w:p>
        </w:tc>
      </w:tr>
    </w:tbl>
    <w:p>
      <w:pPr>
        <w:sectPr>
          <w:headerReference w:type="default" r:id="rId5"/>
          <w:headerReference w:type="first" r:id="rId6"/>
          <w:footerReference w:type="default" r:id="rId7"/>
          <w:footnotePr>
            <w:numFmt w:val="decimal"/>
          </w:footnotePr>
          <w:type w:val="nextPage"/>
          <w:pgSz w:w="11906" w:h="16838"/>
          <w:pgMar w:left="1418" w:right="702" w:gutter="0" w:header="709" w:top="993" w:footer="709" w:bottom="2268"/>
          <w:pgNumType w:fmt="decimal"/>
          <w:formProt w:val="false"/>
          <w:titlePg/>
          <w:textDirection w:val="lrTb"/>
          <w:docGrid w:type="default" w:linePitch="360" w:charSpace="0"/>
        </w:sectPr>
      </w:pPr>
    </w:p>
    <w:p>
      <w:pPr>
        <w:pStyle w:val="Normal"/>
        <w:suppressAutoHyphens w:val="true"/>
        <w:ind w:firstLine="6237"/>
        <w:jc w:val="right"/>
        <w:rPr>
          <w:sz w:val="24"/>
          <w:szCs w:val="24"/>
        </w:rPr>
      </w:pPr>
      <w:r>
        <w:rPr>
          <w:sz w:val="24"/>
          <w:szCs w:val="24"/>
        </w:rPr>
        <w:t>Приложение № 3</w:t>
      </w:r>
    </w:p>
    <w:p>
      <w:pPr>
        <w:pStyle w:val="Normal"/>
        <w:suppressAutoHyphens w:val="true"/>
        <w:ind w:firstLine="6237"/>
        <w:jc w:val="right"/>
        <w:rPr>
          <w:sz w:val="24"/>
          <w:szCs w:val="24"/>
        </w:rPr>
      </w:pPr>
      <w:r>
        <w:rPr>
          <w:sz w:val="24"/>
          <w:szCs w:val="24"/>
        </w:rPr>
        <w:t>к Договору поставки</w:t>
      </w:r>
    </w:p>
    <w:p>
      <w:pPr>
        <w:pStyle w:val="Normal"/>
        <w:suppressAutoHyphens w:val="true"/>
        <w:ind w:firstLine="6237"/>
        <w:jc w:val="right"/>
        <w:rPr>
          <w:sz w:val="24"/>
          <w:szCs w:val="24"/>
        </w:rPr>
      </w:pPr>
      <w:r>
        <w:rPr>
          <w:sz w:val="24"/>
          <w:szCs w:val="24"/>
        </w:rPr>
        <w:t xml:space="preserve">от «____» _________2026 г. </w:t>
      </w:r>
    </w:p>
    <w:p>
      <w:pPr>
        <w:pStyle w:val="Normal"/>
        <w:suppressAutoHyphens w:val="true"/>
        <w:ind w:firstLine="6237"/>
        <w:jc w:val="right"/>
        <w:rPr>
          <w:rFonts w:eastAsia="Calibri"/>
          <w:sz w:val="24"/>
          <w:szCs w:val="24"/>
          <w:lang w:eastAsia="en-US"/>
        </w:rPr>
      </w:pPr>
      <w:r>
        <w:rPr>
          <w:sz w:val="24"/>
          <w:szCs w:val="24"/>
        </w:rPr>
        <w:t>№</w:t>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bCs/>
          <w:sz w:val="24"/>
          <w:szCs w:val="24"/>
        </w:rPr>
      </w:pPr>
      <w:r>
        <w:rPr>
          <w:b/>
          <w:bCs/>
          <w:sz w:val="24"/>
          <w:szCs w:val="24"/>
        </w:rPr>
        <w:t>пожарной и промышленной безопасности</w:t>
      </w:r>
    </w:p>
    <w:p>
      <w:pPr>
        <w:pStyle w:val="Normal"/>
        <w:jc w:val="center"/>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1.1. Нарушение ППБ без возникновения пожара</w:t>
            </w:r>
          </w:p>
          <w:p>
            <w:pPr>
              <w:pStyle w:val="Normal"/>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25 000 (двадцать пять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50 000 (пятьдесят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- 50 000 (пятьдесят тысяч) рублей за каждый случай нарушения;</w:t>
            </w:r>
          </w:p>
          <w:p>
            <w:pPr>
              <w:pStyle w:val="Normal"/>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sz w:val="24"/>
          <w:szCs w:val="24"/>
        </w:rPr>
      </w:pPr>
      <w:r>
        <w:rPr>
          <w:sz w:val="24"/>
          <w:szCs w:val="24"/>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jc w:val="center"/>
        <w:outlineLvl w:val="0"/>
        <w:rPr>
          <w:b/>
          <w:bCs/>
          <w:sz w:val="24"/>
          <w:szCs w:val="24"/>
        </w:rPr>
      </w:pPr>
      <w:r>
        <w:rPr>
          <w:b/>
          <w:bCs/>
          <w:sz w:val="24"/>
          <w:szCs w:val="24"/>
        </w:rPr>
      </w:r>
    </w:p>
    <w:tbl>
      <w:tblPr>
        <w:tblW w:w="49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4725"/>
        <w:gridCol w:w="278"/>
        <w:gridCol w:w="4441"/>
      </w:tblGrid>
      <w:tr>
        <w:trPr>
          <w:trHeight w:val="1755" w:hRule="atLeast"/>
        </w:trPr>
        <w:tc>
          <w:tcPr>
            <w:tcW w:w="4725" w:type="dxa"/>
            <w:tcBorders/>
          </w:tcPr>
          <w:p>
            <w:pPr>
              <w:pStyle w:val="Normal"/>
              <w:suppressAutoHyphens w:val="true"/>
              <w:spacing w:before="0" w:after="0"/>
              <w:contextualSpacing/>
              <w:jc w:val="both"/>
              <w:rPr>
                <w:b/>
                <w:sz w:val="24"/>
                <w:szCs w:val="24"/>
                <w:lang w:eastAsia="ar-SA"/>
              </w:rPr>
            </w:pPr>
            <w:r>
              <w:rPr>
                <w:b/>
                <w:sz w:val="24"/>
                <w:szCs w:val="24"/>
                <w:lang w:eastAsia="ar-SA"/>
              </w:rPr>
              <w:t>Покупатель:</w:t>
            </w:r>
          </w:p>
          <w:p>
            <w:pPr>
              <w:pStyle w:val="Normal"/>
              <w:spacing w:before="0" w:after="0"/>
              <w:contextualSpacing/>
              <w:rPr>
                <w:sz w:val="24"/>
                <w:szCs w:val="24"/>
              </w:rPr>
            </w:pPr>
            <w:r>
              <w:rPr>
                <w:sz w:val="24"/>
                <w:szCs w:val="24"/>
              </w:rPr>
              <w:t xml:space="preserve">Директор филиала ПАО «РусГидро» - </w:t>
            </w:r>
          </w:p>
          <w:p>
            <w:pPr>
              <w:pStyle w:val="Normal"/>
              <w:spacing w:before="0" w:after="0"/>
              <w:contextualSpacing/>
              <w:rPr>
                <w:sz w:val="24"/>
                <w:szCs w:val="24"/>
              </w:rPr>
            </w:pPr>
            <w:r>
              <w:rPr>
                <w:sz w:val="24"/>
                <w:szCs w:val="24"/>
              </w:rPr>
              <w:t xml:space="preserve">«Саяно-Шушенская ГЭС </w:t>
            </w:r>
          </w:p>
          <w:p>
            <w:pPr>
              <w:pStyle w:val="Normal"/>
              <w:spacing w:before="0" w:after="0"/>
              <w:contextualSpacing/>
              <w:rPr>
                <w:sz w:val="24"/>
                <w:szCs w:val="24"/>
              </w:rPr>
            </w:pPr>
            <w:r>
              <w:rPr>
                <w:sz w:val="24"/>
                <w:szCs w:val="24"/>
              </w:rPr>
              <w:t>имени П.С. Непорожнего»</w:t>
            </w:r>
          </w:p>
          <w:p>
            <w:pPr>
              <w:pStyle w:val="Normal"/>
              <w:spacing w:before="0" w:after="0"/>
              <w:contextualSpacing/>
              <w:rPr>
                <w:sz w:val="24"/>
                <w:szCs w:val="24"/>
              </w:rPr>
            </w:pPr>
            <w:r>
              <w:rPr>
                <w:sz w:val="24"/>
                <w:szCs w:val="24"/>
              </w:rPr>
            </w:r>
          </w:p>
          <w:p>
            <w:pPr>
              <w:pStyle w:val="Normal"/>
              <w:suppressAutoHyphens w:val="true"/>
              <w:spacing w:before="0" w:after="0"/>
              <w:contextualSpacing/>
              <w:jc w:val="both"/>
              <w:rPr>
                <w:sz w:val="24"/>
                <w:szCs w:val="24"/>
              </w:rPr>
            </w:pPr>
            <w:r>
              <w:rPr>
                <w:sz w:val="24"/>
                <w:szCs w:val="24"/>
              </w:rPr>
              <w:t>_______________ / С.И. Полтаранин</w:t>
            </w:r>
          </w:p>
        </w:tc>
        <w:tc>
          <w:tcPr>
            <w:tcW w:w="278" w:type="dxa"/>
            <w:tcBorders/>
          </w:tcPr>
          <w:p>
            <w:pPr>
              <w:pStyle w:val="Normal"/>
              <w:suppressAutoHyphens w:val="true"/>
              <w:spacing w:before="0" w:after="0"/>
              <w:ind w:firstLine="567"/>
              <w:contextualSpacing/>
              <w:rPr>
                <w:b/>
                <w:sz w:val="24"/>
                <w:szCs w:val="24"/>
              </w:rPr>
            </w:pPr>
            <w:r>
              <w:rPr>
                <w:b/>
                <w:sz w:val="24"/>
                <w:szCs w:val="24"/>
              </w:rPr>
            </w:r>
          </w:p>
        </w:tc>
        <w:tc>
          <w:tcPr>
            <w:tcW w:w="4441" w:type="dxa"/>
            <w:tcBorders/>
          </w:tcPr>
          <w:p>
            <w:pPr>
              <w:pStyle w:val="Normal"/>
              <w:suppressAutoHyphens w:val="true"/>
              <w:spacing w:before="0" w:after="0"/>
              <w:ind w:firstLine="567"/>
              <w:contextualSpacing/>
              <w:jc w:val="both"/>
              <w:rPr>
                <w:b/>
                <w:sz w:val="24"/>
                <w:szCs w:val="24"/>
              </w:rPr>
            </w:pPr>
            <w:r>
              <w:rPr>
                <w:b/>
                <w:sz w:val="24"/>
                <w:szCs w:val="24"/>
              </w:rPr>
              <w:t>Поставщик:</w:t>
            </w:r>
          </w:p>
          <w:p>
            <w:pPr>
              <w:pStyle w:val="Normal"/>
              <w:suppressAutoHyphens w:val="true"/>
              <w:spacing w:before="0" w:after="0"/>
              <w:ind w:firstLine="567"/>
              <w:contextualSpacing/>
              <w:rPr>
                <w:sz w:val="24"/>
                <w:szCs w:val="24"/>
              </w:rPr>
            </w:pPr>
            <w:r>
              <w:rPr>
                <w:sz w:val="24"/>
                <w:szCs w:val="24"/>
              </w:rPr>
            </w:r>
          </w:p>
        </w:tc>
      </w:tr>
    </w:tbl>
    <w:p>
      <w:pPr>
        <w:pStyle w:val="Normal"/>
        <w:numPr>
          <w:ilvl w:val="0"/>
          <w:numId w:val="0"/>
        </w:numPr>
        <w:jc w:val="center"/>
        <w:outlineLvl w:val="0"/>
        <w:rPr>
          <w:bCs/>
          <w:sz w:val="24"/>
          <w:szCs w:val="24"/>
        </w:rPr>
      </w:pPr>
      <w:r>
        <w:rPr>
          <w:bCs/>
          <w:sz w:val="24"/>
          <w:szCs w:val="24"/>
        </w:rPr>
      </w:r>
    </w:p>
    <w:p>
      <w:pPr>
        <w:pStyle w:val="Normal"/>
        <w:rPr/>
      </w:pPr>
      <w:r>
        <w:rPr/>
      </w:r>
    </w:p>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709" w:top="1134" w:footer="709" w:bottom="226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Tahoma">
    <w:charset w:val="01"/>
    <w:family w:val="roman"/>
    <w:pitch w:val="variable"/>
  </w:font>
  <w:font w:name="PT Sans">
    <w:charset w:val="01"/>
    <w:family w:val="swiss"/>
    <w:pitch w:val="variable"/>
  </w:font>
  <w:font w:name="Courier New">
    <w:charset w:val="01"/>
    <w:family w:val="roman"/>
    <w:pitch w:val="variable"/>
  </w:font>
  <w:font w:name="Verdan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jc w:val="both"/>
        <w:rPr/>
      </w:pPr>
      <w:r>
        <w:rPr>
          <w:rStyle w:val="Style16"/>
        </w:rPr>
        <w:footnoteRef/>
      </w:r>
      <w:r>
        <w:rPr/>
        <w:t xml:space="preserve"> </w:t>
      </w:r>
      <w:r>
        <w:rPr/>
        <w:t xml:space="preserve">В случае если Поставщик является СМП </w:t>
      </w:r>
      <w:r>
        <w:rPr>
          <w:bCs/>
        </w:rPr>
        <w:t>уступка (передача) им прав (требований) к Покупателю по денежным обязательствам, возникшим из Договора  в пользу финансово- кредитных учреждений (факторинг), осуществляется при условии предварительного письменного уведомления Покупателя</w:t>
      </w:r>
      <w:r>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right" w:pos="8306" w:leader="none"/>
      </w:tabs>
      <w:jc w:val="right"/>
      <w:rPr/>
    </w:pPr>
    <w:r>
      <w:rPr/>
      <w:t xml:space="preserve">                                                                                                                                                </w:t>
    </w: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763"/>
        </w:tabs>
        <w:ind w:left="3763"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429"/>
        </w:tabs>
        <w:ind w:left="1213" w:hanging="504"/>
      </w:pPr>
      <w:rPr>
        <w:b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3763"/>
        </w:tabs>
        <w:ind w:left="3763"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429"/>
        </w:tabs>
        <w:ind w:left="1213" w:hanging="504"/>
      </w:pPr>
      <w:rPr>
        <w:b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2"/>
    <w:lvlOverride w:ilvl="0">
      <w:startOverride w:val="1"/>
    </w:lvlOverride>
    <w:lvlOverride w:ilvl="1">
      <w:startOverride w:val="1"/>
    </w:lvlOverride>
    <w:lvlOverride w:ilvl="2">
      <w:startOverride w:val="1"/>
    </w:lvlOverride>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33b64"/>
    <w:pPr>
      <w:widowControl w:val="false"/>
      <w:bidi w:val="0"/>
      <w:spacing w:lineRule="auto" w:line="240" w:before="0" w:after="0"/>
      <w:jc w:val="left"/>
    </w:pPr>
    <w:rPr>
      <w:rFonts w:ascii="Times New Roman" w:hAnsi="Times New Roman" w:eastAsia="Times New Roman" w:cs="Times New Roman"/>
      <w:color w:val="auto"/>
      <w:kern w:val="0"/>
      <w:sz w:val="20"/>
      <w:szCs w:val="20"/>
      <w:lang w:eastAsia="ru-RU" w:val="ru-RU" w:bidi="ar-SA"/>
    </w:rPr>
  </w:style>
  <w:style w:type="paragraph" w:styleId="Heading1">
    <w:name w:val="Heading 1"/>
    <w:basedOn w:val="Normal"/>
    <w:next w:val="Normal"/>
    <w:link w:val="1"/>
    <w:qFormat/>
    <w:rsid w:val="00533b64"/>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
    <w:qFormat/>
    <w:rsid w:val="00533b64"/>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533b64"/>
    <w:rPr>
      <w:rFonts w:ascii="Arial" w:hAnsi="Arial" w:eastAsia="Times New Roman" w:cs="Arial"/>
      <w:b/>
      <w:bCs/>
      <w:kern w:val="2"/>
      <w:sz w:val="32"/>
      <w:szCs w:val="32"/>
      <w:lang w:eastAsia="ru-RU"/>
    </w:rPr>
  </w:style>
  <w:style w:type="character" w:styleId="3" w:customStyle="1">
    <w:name w:val="Заголовок 3 Знак"/>
    <w:basedOn w:val="DefaultParagraphFont"/>
    <w:qFormat/>
    <w:rsid w:val="00533b64"/>
    <w:rPr>
      <w:rFonts w:ascii="Cambria" w:hAnsi="Cambria" w:eastAsia="Times New Roman" w:cs="Times New Roman"/>
      <w:b/>
      <w:bCs/>
      <w:color w:val="4F81BD"/>
      <w:sz w:val="20"/>
      <w:szCs w:val="20"/>
      <w:lang w:val="x-none" w:eastAsia="x-none"/>
    </w:rPr>
  </w:style>
  <w:style w:type="character" w:styleId="Style7" w:customStyle="1">
    <w:name w:val="Заголовок Знак"/>
    <w:basedOn w:val="DefaultParagraphFont"/>
    <w:qFormat/>
    <w:rsid w:val="00533b64"/>
    <w:rPr>
      <w:rFonts w:ascii="Times New Roman" w:hAnsi="Times New Roman" w:eastAsia="Times New Roman" w:cs="Times New Roman"/>
      <w:b/>
      <w:bCs/>
      <w:sz w:val="24"/>
      <w:szCs w:val="24"/>
      <w:lang w:eastAsia="ru-RU"/>
    </w:rPr>
  </w:style>
  <w:style w:type="character" w:styleId="2" w:customStyle="1">
    <w:name w:val="Основной текст с отступом 2 Знак"/>
    <w:basedOn w:val="DefaultParagraphFont"/>
    <w:link w:val="BodyTextIndent2"/>
    <w:qFormat/>
    <w:rsid w:val="00533b64"/>
    <w:rPr>
      <w:rFonts w:ascii="Times New Roman" w:hAnsi="Times New Roman" w:eastAsia="Times New Roman" w:cs="Times New Roman"/>
      <w:sz w:val="24"/>
      <w:szCs w:val="20"/>
      <w:lang w:eastAsia="ru-RU"/>
    </w:rPr>
  </w:style>
  <w:style w:type="character" w:styleId="Style8" w:customStyle="1">
    <w:name w:val="Текст выноски Знак"/>
    <w:basedOn w:val="DefaultParagraphFont"/>
    <w:link w:val="BalloonText"/>
    <w:semiHidden/>
    <w:qFormat/>
    <w:rsid w:val="00533b64"/>
    <w:rPr>
      <w:rFonts w:ascii="Tahoma" w:hAnsi="Tahoma" w:eastAsia="Times New Roman" w:cs="Tahoma"/>
      <w:sz w:val="16"/>
      <w:szCs w:val="16"/>
      <w:lang w:eastAsia="ru-RU"/>
    </w:rPr>
  </w:style>
  <w:style w:type="character" w:styleId="21" w:customStyle="1">
    <w:name w:val="Основной текст 2 Знак"/>
    <w:basedOn w:val="DefaultParagraphFont"/>
    <w:link w:val="BodyText2"/>
    <w:qFormat/>
    <w:rsid w:val="00533b64"/>
    <w:rPr>
      <w:rFonts w:ascii="Times New Roman" w:hAnsi="Times New Roman" w:eastAsia="Times New Roman" w:cs="Times New Roman"/>
      <w:sz w:val="24"/>
      <w:szCs w:val="24"/>
      <w:lang w:eastAsia="ru-RU"/>
    </w:rPr>
  </w:style>
  <w:style w:type="character" w:styleId="Style9" w:customStyle="1">
    <w:name w:val="Основной текст Знак"/>
    <w:basedOn w:val="DefaultParagraphFont"/>
    <w:qFormat/>
    <w:rsid w:val="00533b64"/>
    <w:rPr>
      <w:rFonts w:ascii="Times New Roman" w:hAnsi="Times New Roman" w:eastAsia="Times New Roman" w:cs="Times New Roman"/>
      <w:sz w:val="20"/>
      <w:szCs w:val="20"/>
      <w:lang w:eastAsia="ru-RU"/>
    </w:rPr>
  </w:style>
  <w:style w:type="character" w:styleId="Style10" w:customStyle="1">
    <w:name w:val="Нижний колонтитул Знак"/>
    <w:basedOn w:val="DefaultParagraphFont"/>
    <w:uiPriority w:val="99"/>
    <w:qFormat/>
    <w:rsid w:val="00533b64"/>
    <w:rPr>
      <w:rFonts w:ascii="Times New Roman" w:hAnsi="Times New Roman" w:eastAsia="Times New Roman" w:cs="Times New Roman"/>
      <w:sz w:val="20"/>
      <w:szCs w:val="20"/>
      <w:lang w:eastAsia="ru-RU"/>
    </w:rPr>
  </w:style>
  <w:style w:type="character" w:styleId="Pagenumber">
    <w:name w:val="page number"/>
    <w:basedOn w:val="DefaultParagraphFont"/>
    <w:qFormat/>
    <w:rsid w:val="00533b64"/>
    <w:rPr/>
  </w:style>
  <w:style w:type="character" w:styleId="31" w:customStyle="1">
    <w:name w:val="Основной текст 3 Знак"/>
    <w:basedOn w:val="DefaultParagraphFont"/>
    <w:link w:val="BodyText3"/>
    <w:qFormat/>
    <w:rsid w:val="00533b64"/>
    <w:rPr>
      <w:rFonts w:ascii="Times New Roman" w:hAnsi="Times New Roman" w:eastAsia="Times New Roman" w:cs="Times New Roman"/>
      <w:sz w:val="16"/>
      <w:szCs w:val="16"/>
      <w:lang w:val="x-none" w:eastAsia="x-none"/>
    </w:rPr>
  </w:style>
  <w:style w:type="character" w:styleId="Annotationreference">
    <w:name w:val="annotation reference"/>
    <w:qFormat/>
    <w:rsid w:val="00533b64"/>
    <w:rPr>
      <w:sz w:val="16"/>
      <w:szCs w:val="16"/>
    </w:rPr>
  </w:style>
  <w:style w:type="character" w:styleId="Style11" w:customStyle="1">
    <w:name w:val="Текст примечания Знак"/>
    <w:basedOn w:val="DefaultParagraphFont"/>
    <w:link w:val="Annotationtext"/>
    <w:qFormat/>
    <w:rsid w:val="00533b64"/>
    <w:rPr>
      <w:rFonts w:ascii="Times New Roman" w:hAnsi="Times New Roman" w:eastAsia="Times New Roman" w:cs="Times New Roman"/>
      <w:sz w:val="20"/>
      <w:szCs w:val="20"/>
      <w:lang w:eastAsia="ru-RU"/>
    </w:rPr>
  </w:style>
  <w:style w:type="character" w:styleId="Style12" w:customStyle="1">
    <w:name w:val="Тема примечания Знак"/>
    <w:basedOn w:val="Style11"/>
    <w:link w:val="Annotationsubject"/>
    <w:qFormat/>
    <w:rsid w:val="00533b64"/>
    <w:rPr>
      <w:rFonts w:ascii="Times New Roman" w:hAnsi="Times New Roman" w:eastAsia="Times New Roman" w:cs="Times New Roman"/>
      <w:b/>
      <w:bCs/>
      <w:sz w:val="20"/>
      <w:szCs w:val="20"/>
      <w:lang w:val="x-none" w:eastAsia="x-none"/>
    </w:rPr>
  </w:style>
  <w:style w:type="character" w:styleId="Style13" w:customStyle="1">
    <w:name w:val="Основной текст с отступом Знак"/>
    <w:basedOn w:val="DefaultParagraphFont"/>
    <w:qFormat/>
    <w:rsid w:val="00533b64"/>
    <w:rPr>
      <w:rFonts w:ascii="Times New Roman" w:hAnsi="Times New Roman" w:eastAsia="Times New Roman" w:cs="Times New Roman"/>
      <w:sz w:val="20"/>
      <w:szCs w:val="20"/>
      <w:lang w:eastAsia="ru-RU"/>
    </w:rPr>
  </w:style>
  <w:style w:type="character" w:styleId="Style14" w:customStyle="1">
    <w:name w:val="комментарий"/>
    <w:uiPriority w:val="99"/>
    <w:qFormat/>
    <w:rsid w:val="00533b64"/>
    <w:rPr>
      <w:rFonts w:cs="Times New Roman"/>
      <w:b/>
      <w:bCs/>
      <w:i/>
      <w:iCs/>
      <w:shd w:fill="FFFF99" w:val="clear"/>
    </w:rPr>
  </w:style>
  <w:style w:type="character" w:styleId="Style15" w:customStyle="1">
    <w:name w:val="Текст сноски Знак"/>
    <w:basedOn w:val="DefaultParagraphFont"/>
    <w:uiPriority w:val="99"/>
    <w:qFormat/>
    <w:rsid w:val="00533b64"/>
    <w:rPr>
      <w:rFonts w:ascii="Times New Roman" w:hAnsi="Times New Roman" w:eastAsia="Times New Roman" w:cs="Times New Roman"/>
      <w:sz w:val="20"/>
      <w:szCs w:val="20"/>
      <w:lang w:eastAsia="ru-RU"/>
    </w:rPr>
  </w:style>
  <w:style w:type="character" w:styleId="Style16">
    <w:name w:val="Символ сноски"/>
    <w:uiPriority w:val="99"/>
    <w:qFormat/>
    <w:rsid w:val="00533b64"/>
    <w:rPr>
      <w:vertAlign w:val="superscript"/>
    </w:rPr>
  </w:style>
  <w:style w:type="character" w:styleId="FootnoteReference">
    <w:name w:val="Footnote Reference"/>
    <w:rPr>
      <w:vertAlign w:val="superscript"/>
    </w:rPr>
  </w:style>
  <w:style w:type="character" w:styleId="Style17" w:customStyle="1">
    <w:name w:val="Схема документа Знак"/>
    <w:basedOn w:val="DefaultParagraphFont"/>
    <w:link w:val="DocumentMap"/>
    <w:semiHidden/>
    <w:qFormat/>
    <w:rsid w:val="00533b64"/>
    <w:rPr>
      <w:rFonts w:ascii="Tahoma" w:hAnsi="Tahoma" w:eastAsia="Times New Roman" w:cs="Tahoma"/>
      <w:sz w:val="20"/>
      <w:szCs w:val="20"/>
      <w:shd w:fill="000080" w:val="clear"/>
      <w:lang w:eastAsia="ru-RU"/>
    </w:rPr>
  </w:style>
  <w:style w:type="character" w:styleId="Style18" w:customStyle="1">
    <w:name w:val="Верхний колонтитул Знак"/>
    <w:basedOn w:val="DefaultParagraphFont"/>
    <w:qFormat/>
    <w:rsid w:val="00533b64"/>
    <w:rPr>
      <w:rFonts w:ascii="Times New Roman" w:hAnsi="Times New Roman" w:eastAsia="Times New Roman" w:cs="Times New Roman"/>
      <w:sz w:val="20"/>
      <w:szCs w:val="20"/>
      <w:lang w:eastAsia="ru-RU"/>
    </w:rPr>
  </w:style>
  <w:style w:type="character" w:styleId="Hyperlink">
    <w:name w:val="Hyperlink"/>
    <w:rsid w:val="00533b64"/>
    <w:rPr>
      <w:color w:val="0000FF"/>
      <w:u w:val="single"/>
    </w:rPr>
  </w:style>
  <w:style w:type="character" w:styleId="Style19" w:customStyle="1">
    <w:name w:val="Абзац списка Знак"/>
    <w:link w:val="ListParagraph"/>
    <w:uiPriority w:val="34"/>
    <w:qFormat/>
    <w:locked/>
    <w:rsid w:val="00533b64"/>
    <w:rPr>
      <w:rFonts w:ascii="Times New Roman" w:hAnsi="Times New Roman" w:eastAsia="Times New Roman" w:cs="Times New Roman"/>
      <w:sz w:val="20"/>
      <w:szCs w:val="20"/>
      <w:lang w:eastAsia="ru-RU"/>
    </w:rPr>
  </w:style>
  <w:style w:type="character" w:styleId="EndnoteReference">
    <w:name w:val="Endnote Reference"/>
    <w:rPr>
      <w:vertAlign w:val="superscript"/>
    </w:rPr>
  </w:style>
  <w:style w:type="character" w:styleId="Style20">
    <w:name w:val="Символ концевой сноски"/>
    <w:qFormat/>
    <w:rPr/>
  </w:style>
  <w:style w:type="paragraph" w:styleId="Style21">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9"/>
    <w:rsid w:val="00533b64"/>
    <w:pPr>
      <w:spacing w:before="0" w:after="12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2">
    <w:name w:val="Указатель"/>
    <w:basedOn w:val="Normal"/>
    <w:qFormat/>
    <w:pPr>
      <w:suppressLineNumbers/>
    </w:pPr>
    <w:rPr>
      <w:rFonts w:cs="Arial Unicode MS"/>
    </w:rPr>
  </w:style>
  <w:style w:type="paragraph" w:styleId="Title">
    <w:name w:val="Title"/>
    <w:basedOn w:val="Normal"/>
    <w:link w:val="Style7"/>
    <w:qFormat/>
    <w:rsid w:val="00533b64"/>
    <w:pPr>
      <w:jc w:val="center"/>
    </w:pPr>
    <w:rPr>
      <w:b/>
      <w:bCs/>
      <w:sz w:val="24"/>
      <w:szCs w:val="24"/>
    </w:rPr>
  </w:style>
  <w:style w:type="paragraph" w:styleId="Style23" w:customStyle="1">
    <w:name w:val="Таблицы (моноширинный)"/>
    <w:basedOn w:val="Normal"/>
    <w:next w:val="Normal"/>
    <w:qFormat/>
    <w:rsid w:val="00533b64"/>
    <w:pPr>
      <w:jc w:val="both"/>
    </w:pPr>
    <w:rPr>
      <w:rFonts w:ascii="Courier New" w:hAnsi="Courier New" w:cs="Courier New"/>
    </w:rPr>
  </w:style>
  <w:style w:type="paragraph" w:styleId="BodyTextIndent2">
    <w:name w:val="Body Text Indent 2"/>
    <w:basedOn w:val="Normal"/>
    <w:link w:val="2"/>
    <w:qFormat/>
    <w:rsid w:val="00533b64"/>
    <w:pPr>
      <w:ind w:left="1843"/>
      <w:jc w:val="both"/>
    </w:pPr>
    <w:rPr>
      <w:sz w:val="24"/>
    </w:rPr>
  </w:style>
  <w:style w:type="paragraph" w:styleId="BalloonText">
    <w:name w:val="Balloon Text"/>
    <w:basedOn w:val="Normal"/>
    <w:link w:val="Style8"/>
    <w:semiHidden/>
    <w:qFormat/>
    <w:rsid w:val="00533b64"/>
    <w:pPr/>
    <w:rPr>
      <w:rFonts w:ascii="Tahoma" w:hAnsi="Tahoma" w:cs="Tahoma"/>
      <w:sz w:val="16"/>
      <w:szCs w:val="16"/>
    </w:rPr>
  </w:style>
  <w:style w:type="paragraph" w:styleId="BodyText2">
    <w:name w:val="Body Text 2"/>
    <w:basedOn w:val="Normal"/>
    <w:link w:val="21"/>
    <w:qFormat/>
    <w:rsid w:val="00533b64"/>
    <w:pPr>
      <w:widowControl/>
      <w:spacing w:lineRule="auto" w:line="480" w:before="0" w:after="120"/>
    </w:pPr>
    <w:rPr>
      <w:sz w:val="24"/>
      <w:szCs w:val="24"/>
    </w:rPr>
  </w:style>
  <w:style w:type="paragraph" w:styleId="Style24">
    <w:name w:val="Колонтитул"/>
    <w:basedOn w:val="Normal"/>
    <w:qFormat/>
    <w:pPr/>
    <w:rPr/>
  </w:style>
  <w:style w:type="paragraph" w:styleId="Footer">
    <w:name w:val="Footer"/>
    <w:basedOn w:val="Normal"/>
    <w:link w:val="Style10"/>
    <w:uiPriority w:val="99"/>
    <w:rsid w:val="00533b64"/>
    <w:pPr>
      <w:tabs>
        <w:tab w:val="clear" w:pos="708"/>
        <w:tab w:val="center" w:pos="4677" w:leader="none"/>
        <w:tab w:val="right" w:pos="9355" w:leader="none"/>
      </w:tabs>
    </w:pPr>
    <w:rPr/>
  </w:style>
  <w:style w:type="paragraph" w:styleId="BodyText3">
    <w:name w:val="Body Text 3"/>
    <w:basedOn w:val="Normal"/>
    <w:link w:val="31"/>
    <w:qFormat/>
    <w:rsid w:val="00533b64"/>
    <w:pPr>
      <w:spacing w:before="0" w:after="120"/>
    </w:pPr>
    <w:rPr>
      <w:sz w:val="16"/>
      <w:szCs w:val="16"/>
      <w:lang w:val="x-none" w:eastAsia="x-none"/>
    </w:rPr>
  </w:style>
  <w:style w:type="paragraph" w:styleId="Annotationtext">
    <w:name w:val="annotation text"/>
    <w:basedOn w:val="Normal"/>
    <w:link w:val="Style11"/>
    <w:qFormat/>
    <w:rsid w:val="00533b64"/>
    <w:pPr/>
    <w:rPr/>
  </w:style>
  <w:style w:type="paragraph" w:styleId="Annotationsubject">
    <w:name w:val="annotation subject"/>
    <w:basedOn w:val="Annotationtext"/>
    <w:next w:val="Annotationtext"/>
    <w:link w:val="Style12"/>
    <w:qFormat/>
    <w:rsid w:val="00533b64"/>
    <w:pPr/>
    <w:rPr>
      <w:b/>
      <w:bCs/>
      <w:lang w:val="x-none" w:eastAsia="x-none"/>
    </w:rPr>
  </w:style>
  <w:style w:type="paragraph" w:styleId="ListParagraph">
    <w:name w:val="List Paragraph"/>
    <w:basedOn w:val="Normal"/>
    <w:link w:val="Style19"/>
    <w:uiPriority w:val="34"/>
    <w:qFormat/>
    <w:rsid w:val="00533b64"/>
    <w:pPr>
      <w:spacing w:before="0" w:after="0"/>
      <w:ind w:left="720"/>
      <w:contextualSpacing/>
    </w:pPr>
    <w:rPr/>
  </w:style>
  <w:style w:type="paragraph" w:styleId="Style25" w:customStyle="1">
    <w:name w:val="Знак Знак Знак Знак Знак Знак Знак Знак Знак"/>
    <w:basedOn w:val="Normal"/>
    <w:uiPriority w:val="99"/>
    <w:qFormat/>
    <w:rsid w:val="00533b64"/>
    <w:pPr>
      <w:widowControl/>
      <w:spacing w:lineRule="exact" w:line="240" w:before="0" w:after="160"/>
      <w:jc w:val="both"/>
    </w:pPr>
    <w:rPr>
      <w:rFonts w:ascii="Verdana" w:hAnsi="Verdana"/>
      <w:sz w:val="22"/>
      <w:lang w:val="en-US" w:eastAsia="en-US"/>
    </w:rPr>
  </w:style>
  <w:style w:type="paragraph" w:styleId="Style26" w:customStyle="1">
    <w:name w:val="Подпункт договора"/>
    <w:basedOn w:val="Normal"/>
    <w:qFormat/>
    <w:rsid w:val="00533b64"/>
    <w:pPr>
      <w:widowControl/>
      <w:tabs>
        <w:tab w:val="clear" w:pos="708"/>
        <w:tab w:val="left" w:pos="360" w:leader="none"/>
      </w:tabs>
      <w:jc w:val="both"/>
    </w:pPr>
    <w:rPr>
      <w:rFonts w:ascii="Arial" w:hAnsi="Arial"/>
    </w:rPr>
  </w:style>
  <w:style w:type="paragraph" w:styleId="ConsNormal" w:customStyle="1">
    <w:name w:val="ConsNormal"/>
    <w:qFormat/>
    <w:rsid w:val="00533b64"/>
    <w:pPr>
      <w:widowControl/>
      <w:bidi w:val="0"/>
      <w:spacing w:lineRule="auto" w:line="240"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3"/>
    <w:rsid w:val="00533b64"/>
    <w:pPr>
      <w:spacing w:before="0" w:after="120"/>
      <w:ind w:left="283"/>
    </w:pPr>
    <w:rPr/>
  </w:style>
  <w:style w:type="paragraph" w:styleId="Style27" w:customStyle="1">
    <w:name w:val="Знак"/>
    <w:basedOn w:val="Normal"/>
    <w:qFormat/>
    <w:rsid w:val="00533b64"/>
    <w:pPr>
      <w:widowControl/>
      <w:spacing w:lineRule="exact" w:line="240" w:before="0" w:after="160"/>
    </w:pPr>
    <w:rPr>
      <w:rFonts w:ascii="Verdana" w:hAnsi="Verdana" w:cs="Verdana"/>
      <w:lang w:val="en-US" w:eastAsia="en-US"/>
    </w:rPr>
  </w:style>
  <w:style w:type="paragraph" w:styleId="FootnoteText">
    <w:name w:val="Footnote Text"/>
    <w:basedOn w:val="Normal"/>
    <w:link w:val="Style15"/>
    <w:uiPriority w:val="99"/>
    <w:rsid w:val="00533b64"/>
    <w:pPr/>
    <w:rPr/>
  </w:style>
  <w:style w:type="paragraph" w:styleId="ListBullet3">
    <w:name w:val="List Bullet 3"/>
    <w:basedOn w:val="Normal"/>
    <w:uiPriority w:val="99"/>
    <w:unhideWhenUsed/>
    <w:qFormat/>
    <w:rsid w:val="00533b64"/>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533b64"/>
    <w:pPr>
      <w:widowControl/>
      <w:tabs>
        <w:tab w:val="clear" w:pos="708"/>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7"/>
    <w:semiHidden/>
    <w:qFormat/>
    <w:rsid w:val="00533b64"/>
    <w:pPr>
      <w:shd w:val="clear" w:color="auto" w:fill="000080"/>
    </w:pPr>
    <w:rPr>
      <w:rFonts w:ascii="Tahoma" w:hAnsi="Tahoma" w:cs="Tahoma"/>
    </w:rPr>
  </w:style>
  <w:style w:type="paragraph" w:styleId="Revision">
    <w:name w:val="Revision"/>
    <w:uiPriority w:val="99"/>
    <w:semiHidden/>
    <w:qFormat/>
    <w:rsid w:val="00533b64"/>
    <w:pPr>
      <w:widowControl/>
      <w:bidi w:val="0"/>
      <w:spacing w:lineRule="auto" w:line="240" w:before="0" w:after="0"/>
      <w:jc w:val="left"/>
    </w:pPr>
    <w:rPr>
      <w:rFonts w:ascii="Times New Roman" w:hAnsi="Times New Roman" w:eastAsia="Times New Roman" w:cs="Times New Roman"/>
      <w:color w:val="auto"/>
      <w:kern w:val="0"/>
      <w:sz w:val="20"/>
      <w:szCs w:val="20"/>
      <w:lang w:eastAsia="ru-RU" w:val="ru-RU" w:bidi="ar-SA"/>
    </w:rPr>
  </w:style>
  <w:style w:type="paragraph" w:styleId="Header">
    <w:name w:val="Header"/>
    <w:basedOn w:val="Normal"/>
    <w:link w:val="Style18"/>
    <w:rsid w:val="00533b64"/>
    <w:pPr>
      <w:tabs>
        <w:tab w:val="clear" w:pos="708"/>
        <w:tab w:val="center" w:pos="4677" w:leader="none"/>
        <w:tab w:val="right" w:pos="9355" w:leader="none"/>
      </w:tabs>
    </w:pPr>
    <w:rPr/>
  </w:style>
  <w:style w:type="paragraph" w:styleId="Style28" w:customStyle="1">
    <w:name w:val="Пункт договора"/>
    <w:basedOn w:val="Normal"/>
    <w:qFormat/>
    <w:rsid w:val="00533b64"/>
    <w:pPr>
      <w:jc w:val="both"/>
    </w:pPr>
    <w:rPr>
      <w:rFonts w:ascii="Arial" w:hAnsi="Arial"/>
    </w:rPr>
  </w:style>
  <w:style w:type="paragraph" w:styleId="11" w:customStyle="1">
    <w:name w:val="Знак Знак Знак Знак Знак Знак Знак Знак Знак1"/>
    <w:basedOn w:val="Normal"/>
    <w:qFormat/>
    <w:rsid w:val="00533b64"/>
    <w:pPr>
      <w:widowControl/>
      <w:spacing w:lineRule="exact" w:line="240" w:before="0" w:after="160"/>
      <w:jc w:val="both"/>
    </w:pPr>
    <w:rPr>
      <w:rFonts w:ascii="Verdana" w:hAnsi="Verdana"/>
      <w:sz w:val="22"/>
      <w:lang w:val="en-US" w:eastAsia="en-US"/>
    </w:rPr>
  </w:style>
  <w:style w:type="paragraph" w:styleId="12" w:customStyle="1">
    <w:name w:val="Обычный1"/>
    <w:qFormat/>
    <w:rsid w:val="00533b64"/>
    <w:pPr>
      <w:widowControl/>
      <w:bidi w:val="0"/>
      <w:spacing w:lineRule="auto" w:line="240" w:before="0" w:after="0"/>
      <w:jc w:val="left"/>
    </w:pPr>
    <w:rPr>
      <w:rFonts w:ascii="Times New Roman" w:hAnsi="Times New Roman" w:eastAsia="Times New Roman" w:cs="Times New Roman"/>
      <w:color w:val="auto"/>
      <w:kern w:val="0"/>
      <w:sz w:val="20"/>
      <w:szCs w:val="20"/>
      <w:lang w:eastAsia="ru-RU" w:val="ru-RU" w:bidi="ar-SA"/>
    </w:rPr>
  </w:style>
  <w:style w:type="paragraph" w:styleId="ConsPlusNormal" w:customStyle="1">
    <w:name w:val="ConsPlusNormal"/>
    <w:qFormat/>
    <w:rsid w:val="00533b64"/>
    <w:pPr>
      <w:widowControl w:val="false"/>
      <w:bidi w:val="0"/>
      <w:spacing w:lineRule="auto" w:line="240" w:before="0" w:after="0"/>
      <w:jc w:val="left"/>
    </w:pPr>
    <w:rPr>
      <w:rFonts w:ascii="Calibri" w:hAnsi="Calibri" w:eastAsia="Times New Roman" w:cs="Calibri" w:asciiTheme="minorHAnsi" w:hAnsiTheme="minorHAnsi"/>
      <w:color w:val="auto"/>
      <w:kern w:val="0"/>
      <w:sz w:val="22"/>
      <w:szCs w:val="20"/>
      <w:lang w:eastAsia="ru-RU" w:val="ru-RU" w:bidi="ar-SA"/>
    </w:rPr>
  </w:style>
  <w:style w:type="paragraph" w:styleId="Default" w:customStyle="1">
    <w:name w:val="Default"/>
    <w:qFormat/>
    <w:rsid w:val="00533b64"/>
    <w:pPr>
      <w:widowControl/>
      <w:bidi w:val="0"/>
      <w:spacing w:lineRule="auto" w:line="240" w:before="0" w:after="0"/>
      <w:jc w:val="left"/>
    </w:pPr>
    <w:rPr>
      <w:rFonts w:ascii="Times New Roman" w:hAnsi="Times New Roman" w:eastAsia="Calibri" w:cs="Times New Roman"/>
      <w:color w:val="000000"/>
      <w:kern w:val="0"/>
      <w:sz w:val="24"/>
      <w:szCs w:val="24"/>
      <w:lang w:eastAsia="ru-RU" w:val="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a">
    <w:name w:val="Table Grid"/>
    <w:basedOn w:val="a1"/>
    <w:rsid w:val="00533b64"/>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52ACC-FA6B-4B7C-9136-8EA9C77C8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Application>AlterOffice/2026.2.0.0$Linux_X86_64 LibreOffice_project/bc4ef1adf80b36c7a6365f8ed6cbf29021361edd</Application>
  <AppVersion>15.0000</AppVersion>
  <Pages>18</Pages>
  <Words>6682</Words>
  <Characters>47382</Characters>
  <CharactersWithSpaces>53922</CharactersWithSpaces>
  <Paragraphs>282</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2025-06-09T12:03:00Z</dcterms:created>
  <dc:creator>Капленко Инна Викторовна</dc:creator>
  <dc:description/>
  <dc:language>ru-RU</dc:language>
  <cp:lastModifiedBy>dvortcovea@corp.gidroogk.com</cp:lastModifiedBy>
  <dcterms:modified xsi:type="dcterms:W3CDTF">2026-11-02T10:41:00Z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