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7.xml" ContentType="application/vnd.openxmlformats-officedocument.wordprocessingml.header+xml"/>
  <Override PartName="/word/media/image4.jpeg" ContentType="image/jpeg"/>
  <Override PartName="/word/media/image5.jpeg" ContentType="image/jpeg"/>
  <Override PartName="/word/media/image1.jpeg" ContentType="image/jpeg"/>
  <Override PartName="/word/media/image2.jpeg" ContentType="image/jpeg"/>
  <Override PartName="/word/media/image3.jpeg" ContentType="image/jpeg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8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b/>
          <w:sz w:val="26"/>
          <w:szCs w:val="26"/>
        </w:rPr>
        <w:t xml:space="preserve">Технические требования на поставку </w:t>
      </w:r>
      <w:r>
        <w:rPr>
          <w:rFonts w:eastAsia="Calibri"/>
          <w:b/>
          <w:sz w:val="24"/>
          <w:szCs w:val="24"/>
        </w:rPr>
        <w:t>Комплектной трансформаторной подстанции для аварийного запаса Момского РЭС.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rPr/>
      </w:pPr>
      <w:r>
        <w:rPr>
          <w:b/>
        </w:rPr>
        <w:t>СОДЕРЖАНИЕ</w:t>
      </w:r>
    </w:p>
    <w:p>
      <w:pPr>
        <w:pStyle w:val="TOC1"/>
        <w:tabs>
          <w:tab w:val="clear" w:pos="9911"/>
          <w:tab w:val="right" w:pos="9921" w:leader="dot"/>
        </w:tabs>
        <w:rPr>
          <w:rFonts w:cs="Times New Roman"/>
        </w:rPr>
      </w:pPr>
      <w:hyperlink w:anchor="__RefHeading___Toc147614_1601336961" w:tgtFrame="#__RefHeading___Toc147614_1601336961">
        <w:r>
          <w:rPr>
            <w:rStyle w:val="Style17"/>
          </w:rPr>
          <w:t>1. Общие сведения</w:t>
          <w:tab/>
        </w:r>
      </w:hyperlink>
      <w:r>
        <w:rPr>
          <w:rStyle w:val="Style17"/>
        </w:rPr>
        <w:t>3</w:t>
      </w:r>
    </w:p>
    <w:p>
      <w:pPr>
        <w:pStyle w:val="TOC1"/>
        <w:widowControl/>
        <w:suppressAutoHyphens w:val="true"/>
        <w:bidi w:val="0"/>
        <w:spacing w:before="120" w:after="0"/>
        <w:jc w:val="left"/>
        <w:rPr>
          <w:rFonts w:eastAsia="" w:cs="Times New Roman" w:eastAsiaTheme="minorEastAsia"/>
          <w:sz w:val="22"/>
          <w:szCs w:val="22"/>
        </w:rPr>
      </w:pPr>
      <w:r>
        <w:rPr>
          <w:rFonts w:eastAsia="" w:cs="Times New Roman" w:eastAsiaTheme="minorEastAsia"/>
          <w:sz w:val="22"/>
          <w:szCs w:val="22"/>
        </w:rPr>
        <w:t>1.1. Обозначения и сокращения ………………………………………………………………………………...4</w:t>
      </w:r>
    </w:p>
    <w:p>
      <w:pPr>
        <w:pStyle w:val="Normal"/>
        <w:widowControl/>
        <w:tabs>
          <w:tab w:val="clear" w:pos="708"/>
          <w:tab w:val="right" w:pos="9911" w:leader="dot"/>
        </w:tabs>
        <w:suppressAutoHyphens w:val="true"/>
        <w:bidi w:val="0"/>
        <w:spacing w:before="120" w:after="0"/>
        <w:jc w:val="left"/>
        <w:rPr>
          <w:rFonts w:eastAsia="" w:cs="Times New Roman" w:eastAsiaTheme="minorEastAsia"/>
          <w:sz w:val="22"/>
          <w:szCs w:val="22"/>
        </w:rPr>
      </w:pPr>
      <w:r>
        <w:rPr>
          <w:rFonts w:eastAsia="" w:cs="Times New Roman" w:eastAsiaTheme="minorEastAsia"/>
          <w:sz w:val="22"/>
          <w:szCs w:val="22"/>
        </w:rPr>
        <w:t>1.2. Наименование закупаемой продукции</w:t>
      </w:r>
      <w:hyperlink w:anchor="__RefHeading___Toc147614_1601336961" w:tgtFrame="#__RefHeading___Toc147614_1601336961">
        <w:r>
          <w:rPr>
            <w:rStyle w:val="Style17"/>
            <w:rFonts w:eastAsia="" w:cs="Times New Roman" w:eastAsiaTheme="minorEastAsia"/>
            <w:sz w:val="22"/>
            <w:szCs w:val="22"/>
          </w:rPr>
          <w:tab/>
        </w:r>
      </w:hyperlink>
      <w:r>
        <w:rPr>
          <w:rStyle w:val="Style17"/>
          <w:rFonts w:eastAsia="" w:cs="Times New Roman" w:eastAsiaTheme="minorEastAsia"/>
          <w:sz w:val="22"/>
          <w:szCs w:val="22"/>
        </w:rPr>
        <w:t>..4</w:t>
      </w:r>
    </w:p>
    <w:p>
      <w:pPr>
        <w:pStyle w:val="Normal"/>
        <w:widowControl/>
        <w:tabs>
          <w:tab w:val="clear" w:pos="708"/>
          <w:tab w:val="right" w:pos="9911" w:leader="dot"/>
        </w:tabs>
        <w:suppressAutoHyphens w:val="true"/>
        <w:bidi w:val="0"/>
        <w:spacing w:before="120" w:after="0"/>
        <w:jc w:val="left"/>
        <w:rPr>
          <w:rFonts w:eastAsia="" w:cs="Times New Roman" w:eastAsiaTheme="minorEastAsia"/>
          <w:sz w:val="22"/>
          <w:szCs w:val="22"/>
        </w:rPr>
      </w:pPr>
      <w:r>
        <w:rPr>
          <w:rFonts w:eastAsia="" w:cs="Times New Roman" w:eastAsiaTheme="minorEastAsia"/>
          <w:sz w:val="22"/>
          <w:szCs w:val="22"/>
        </w:rPr>
        <w:t>1.3. Цель использования  закупаемой продукции</w:t>
      </w:r>
      <w:hyperlink w:anchor="__RefHeading___Toc147614_1601336961" w:tgtFrame="#__RefHeading___Toc147614_1601336961">
        <w:r>
          <w:rPr>
            <w:rStyle w:val="Style17"/>
            <w:rFonts w:eastAsia="" w:cs="Times New Roman" w:eastAsiaTheme="minorEastAsia"/>
            <w:sz w:val="22"/>
            <w:szCs w:val="22"/>
          </w:rPr>
          <w:tab/>
        </w:r>
      </w:hyperlink>
      <w:r>
        <w:rPr>
          <w:rStyle w:val="Style17"/>
          <w:rFonts w:eastAsia="" w:cs="Times New Roman" w:eastAsiaTheme="minorEastAsia"/>
          <w:sz w:val="22"/>
          <w:szCs w:val="22"/>
        </w:rPr>
        <w:t>..4</w:t>
      </w:r>
    </w:p>
    <w:p>
      <w:pPr>
        <w:pStyle w:val="TOC1"/>
        <w:tabs>
          <w:tab w:val="clear" w:pos="9911"/>
          <w:tab w:val="right" w:pos="9921" w:leader="dot"/>
        </w:tabs>
        <w:rPr>
          <w:rFonts w:cs="Times New Roman"/>
        </w:rPr>
      </w:pPr>
      <w:r>
        <w:rPr>
          <w:rStyle w:val="Style17"/>
        </w:rPr>
        <w:t>2</w:t>
      </w:r>
      <w:hyperlink w:anchor="__RefHeading___Toc147614_1601336961" w:tgtFrame="#__RefHeading___Toc147614_1601336961">
        <w:r>
          <w:rPr>
            <w:rStyle w:val="Style17"/>
          </w:rPr>
          <w:t>. Требования к продукции</w:t>
          <w:tab/>
          <w:t>4</w:t>
        </w:r>
      </w:hyperlink>
    </w:p>
    <w:p>
      <w:pPr>
        <w:pStyle w:val="TOC1"/>
        <w:widowControl/>
        <w:suppressAutoHyphens w:val="true"/>
        <w:bidi w:val="0"/>
        <w:spacing w:before="120" w:after="0"/>
        <w:jc w:val="left"/>
        <w:rPr>
          <w:rFonts w:eastAsia="" w:cs="Times New Roman" w:eastAsiaTheme="minorEastAsia"/>
          <w:sz w:val="22"/>
          <w:szCs w:val="22"/>
        </w:rPr>
      </w:pPr>
      <w:r>
        <w:rPr>
          <w:rStyle w:val="Style17"/>
          <w:rFonts w:eastAsia="" w:cs="Times New Roman" w:eastAsiaTheme="minorEastAsia"/>
          <w:sz w:val="22"/>
          <w:szCs w:val="22"/>
        </w:rPr>
        <w:t xml:space="preserve">2.1.1.  </w:t>
      </w:r>
      <w:bookmarkStart w:id="0" w:name="_Toc144285432_Копия_1"/>
      <w:bookmarkStart w:id="1" w:name="_Toc149029436_Копия_1"/>
      <w:bookmarkStart w:id="2" w:name="_Toc184304506_Копия_1"/>
      <w:r>
        <w:rPr>
          <w:rStyle w:val="Style17"/>
          <w:rFonts w:eastAsia="" w:cs="Times New Roman" w:eastAsiaTheme="minorEastAsia"/>
          <w:sz w:val="22"/>
          <w:szCs w:val="22"/>
        </w:rPr>
        <w:t>Перечень и объем закупаемой продукции………………………………………………………………</w:t>
      </w:r>
      <w:bookmarkEnd w:id="0"/>
      <w:bookmarkEnd w:id="1"/>
      <w:bookmarkEnd w:id="2"/>
      <w:r>
        <w:rPr>
          <w:rStyle w:val="Style17"/>
          <w:rFonts w:eastAsia="" w:cs="Times New Roman" w:eastAsiaTheme="minorEastAsia"/>
          <w:sz w:val="22"/>
          <w:szCs w:val="22"/>
        </w:rPr>
        <w:t>4</w:t>
      </w:r>
    </w:p>
    <w:p>
      <w:pPr>
        <w:pStyle w:val="Normal"/>
        <w:widowControl/>
        <w:tabs>
          <w:tab w:val="clear" w:pos="708"/>
          <w:tab w:val="right" w:pos="9911" w:leader="dot"/>
        </w:tabs>
        <w:suppressAutoHyphens w:val="true"/>
        <w:bidi w:val="0"/>
        <w:spacing w:before="120" w:after="0"/>
        <w:jc w:val="left"/>
        <w:rPr>
          <w:rFonts w:eastAsia="" w:cs="Times New Roman" w:eastAsiaTheme="minorEastAsia"/>
          <w:sz w:val="22"/>
          <w:szCs w:val="22"/>
        </w:rPr>
      </w:pPr>
      <w:r>
        <w:rPr>
          <w:rStyle w:val="Style17"/>
          <w:rFonts w:eastAsia="" w:cs="Times New Roman" w:eastAsiaTheme="minorEastAsia"/>
          <w:sz w:val="22"/>
          <w:szCs w:val="22"/>
        </w:rPr>
        <w:t xml:space="preserve">2.1.2. </w:t>
      </w:r>
      <w:bookmarkStart w:id="3" w:name="_Toc149029438_Копия_1"/>
      <w:bookmarkStart w:id="4" w:name="_Toc184304508_Копия_1"/>
      <w:bookmarkStart w:id="5" w:name="_Toc144285434_Копия_1"/>
      <w:bookmarkStart w:id="6" w:name="_Toc51339696_Копия_1"/>
      <w:r>
        <w:rPr>
          <w:rStyle w:val="Style17"/>
          <w:rFonts w:eastAsia="" w:cs="Times New Roman" w:eastAsiaTheme="minorEastAsia"/>
          <w:sz w:val="22"/>
          <w:szCs w:val="22"/>
        </w:rPr>
        <w:t xml:space="preserve">Требования </w:t>
      </w:r>
      <w:bookmarkEnd w:id="6"/>
      <w:r>
        <w:rPr>
          <w:rStyle w:val="Style17"/>
          <w:rFonts w:eastAsia="" w:cs="Times New Roman" w:eastAsiaTheme="minorEastAsia"/>
          <w:sz w:val="22"/>
          <w:szCs w:val="22"/>
        </w:rPr>
        <w:t>к срокам поставки продукции и оказания сопутствующих услуг</w:t>
      </w:r>
      <w:hyperlink w:anchor="__RefHeading___Toc147614_1601336961" w:tgtFrame="#__RefHeading___Toc147614_1601336961">
        <w:bookmarkEnd w:id="3"/>
        <w:bookmarkEnd w:id="4"/>
        <w:bookmarkEnd w:id="5"/>
        <w:r>
          <w:rPr>
            <w:rStyle w:val="Style17"/>
            <w:rFonts w:eastAsia="" w:cs="Times New Roman" w:eastAsiaTheme="minorEastAsia"/>
            <w:sz w:val="22"/>
            <w:szCs w:val="22"/>
          </w:rPr>
          <w:tab/>
        </w:r>
      </w:hyperlink>
      <w:r>
        <w:rPr>
          <w:rStyle w:val="Style17"/>
          <w:rFonts w:eastAsia="" w:cs="Times New Roman" w:eastAsiaTheme="minorEastAsia"/>
          <w:sz w:val="22"/>
          <w:szCs w:val="22"/>
        </w:rPr>
        <w:t>..4</w:t>
      </w:r>
    </w:p>
    <w:p>
      <w:pPr>
        <w:pStyle w:val="TOC1"/>
        <w:widowControl/>
        <w:suppressAutoHyphens w:val="true"/>
        <w:bidi w:val="0"/>
        <w:spacing w:before="120" w:after="0"/>
        <w:jc w:val="left"/>
        <w:rPr>
          <w:rFonts w:eastAsia="" w:cs="Times New Roman" w:eastAsiaTheme="minorEastAsia"/>
          <w:sz w:val="22"/>
          <w:szCs w:val="22"/>
        </w:rPr>
      </w:pPr>
      <w:r>
        <w:rPr>
          <w:rStyle w:val="Style17"/>
          <w:rFonts w:eastAsia="" w:cs="Times New Roman" w:eastAsiaTheme="minorEastAsia"/>
          <w:sz w:val="22"/>
          <w:szCs w:val="22"/>
        </w:rPr>
        <w:t xml:space="preserve">2.2. </w:t>
      </w:r>
      <w:bookmarkStart w:id="7" w:name="_Toc184304510_Копия_1"/>
      <w:bookmarkStart w:id="8" w:name="_Toc149029440_Копия_1"/>
      <w:bookmarkStart w:id="9" w:name="_Toc144285436_Копия_1"/>
      <w:bookmarkStart w:id="10" w:name="_Toc46743511_Копия_1"/>
      <w:r>
        <w:rPr>
          <w:rStyle w:val="Style17"/>
          <w:rFonts w:eastAsia="" w:cs="Times New Roman" w:eastAsiaTheme="minorEastAsia"/>
          <w:sz w:val="22"/>
          <w:szCs w:val="22"/>
        </w:rPr>
        <w:t xml:space="preserve">Требования к </w:t>
      </w:r>
      <w:bookmarkEnd w:id="10"/>
      <w:r>
        <w:rPr>
          <w:rStyle w:val="Style17"/>
          <w:rFonts w:eastAsia="" w:cs="Times New Roman" w:eastAsiaTheme="minorEastAsia"/>
          <w:sz w:val="22"/>
          <w:szCs w:val="22"/>
        </w:rPr>
        <w:t>качеству продукции.………………………………………………………………………</w:t>
      </w:r>
      <w:bookmarkEnd w:id="7"/>
      <w:bookmarkEnd w:id="8"/>
      <w:bookmarkEnd w:id="9"/>
      <w:r>
        <w:rPr>
          <w:rStyle w:val="Style17"/>
          <w:rFonts w:eastAsia="" w:cs="Times New Roman" w:eastAsiaTheme="minorEastAsia"/>
          <w:sz w:val="22"/>
          <w:szCs w:val="22"/>
        </w:rPr>
        <w:t>...5</w:t>
      </w:r>
    </w:p>
    <w:p>
      <w:pPr>
        <w:pStyle w:val="TOC1"/>
        <w:widowControl/>
        <w:suppressAutoHyphens w:val="true"/>
        <w:bidi w:val="0"/>
        <w:spacing w:before="120" w:after="0"/>
        <w:jc w:val="left"/>
        <w:rPr/>
      </w:pPr>
      <w:r>
        <w:rPr>
          <w:rStyle w:val="Style17"/>
          <w:rFonts w:cs="Calibri Light (Заголовки)"/>
          <w:b w:val="false"/>
          <w:bCs w:val="false"/>
          <w:sz w:val="24"/>
          <w:szCs w:val="24"/>
        </w:rPr>
        <w:t xml:space="preserve">3. </w:t>
      </w:r>
      <w:bookmarkStart w:id="11" w:name="_Toc144285436_Копия_1_Копия_2"/>
      <w:bookmarkStart w:id="12" w:name="_Toc149029440_Копия_1_Копия_2"/>
      <w:bookmarkStart w:id="13" w:name="_Toc184304510_Копия_1_Копия_2"/>
      <w:bookmarkStart w:id="14" w:name="_Toc46743511_Копия_1_Копия_2"/>
      <w:r>
        <w:rPr>
          <w:rStyle w:val="Style17"/>
          <w:rFonts w:cs="Calibri Light (Заголовки)"/>
          <w:b w:val="false"/>
          <w:bCs w:val="false"/>
          <w:sz w:val="24"/>
          <w:szCs w:val="24"/>
        </w:rPr>
        <w:t xml:space="preserve">Требования к </w:t>
      </w:r>
      <w:bookmarkEnd w:id="14"/>
      <w:r>
        <w:rPr>
          <w:rStyle w:val="Style17"/>
          <w:rFonts w:cs="Calibri Light (Заголовки)"/>
          <w:b w:val="false"/>
          <w:bCs w:val="false"/>
          <w:sz w:val="24"/>
          <w:szCs w:val="24"/>
        </w:rPr>
        <w:t>качеству продукции.………</w:t>
      </w:r>
      <w:bookmarkStart w:id="15" w:name="_Toc144285436_Копия_1_Копия_1"/>
      <w:bookmarkStart w:id="16" w:name="_Toc149029440_Копия_1_Копия_1"/>
      <w:bookmarkStart w:id="17" w:name="_Toc184304510_Копия_1_Копия_1"/>
      <w:bookmarkEnd w:id="11"/>
      <w:bookmarkEnd w:id="12"/>
      <w:bookmarkEnd w:id="13"/>
      <w:r>
        <w:rPr>
          <w:rStyle w:val="Style17"/>
          <w:rFonts w:eastAsia="" w:cs="Times New Roman" w:eastAsiaTheme="minorEastAsia"/>
          <w:sz w:val="22"/>
          <w:szCs w:val="22"/>
        </w:rPr>
        <w:t>……………………………………………………………</w:t>
      </w:r>
      <w:bookmarkEnd w:id="15"/>
      <w:bookmarkEnd w:id="16"/>
      <w:bookmarkEnd w:id="17"/>
      <w:r>
        <w:rPr>
          <w:rStyle w:val="Style17"/>
          <w:rFonts w:eastAsia="" w:cs="Times New Roman" w:eastAsiaTheme="minorEastAsia"/>
          <w:sz w:val="22"/>
          <w:szCs w:val="22"/>
        </w:rPr>
        <w:t>.23</w:t>
      </w:r>
    </w:p>
    <w:p>
      <w:pPr>
        <w:pStyle w:val="TOC1"/>
        <w:tabs>
          <w:tab w:val="clear" w:pos="9911"/>
          <w:tab w:val="right" w:pos="9921" w:leader="dot"/>
        </w:tabs>
        <w:rPr>
          <w:rFonts w:cs="Times New Roman"/>
        </w:rPr>
      </w:pPr>
      <w:r>
        <w:rPr>
          <w:rStyle w:val="Style17"/>
          <w:rFonts w:eastAsia="" w:cs="Times New Roman" w:eastAsiaTheme="minorEastAsia"/>
          <w:sz w:val="22"/>
          <w:szCs w:val="22"/>
        </w:rPr>
        <w:t>4</w:t>
      </w:r>
      <w:hyperlink w:anchor="__RefHeading___Toc147614_1601336961" w:tgtFrame="#__RefHeading___Toc147614_1601336961">
        <w:r>
          <w:rPr>
            <w:rStyle w:val="Style17"/>
            <w:rFonts w:eastAsia="" w:cs="Times New Roman" w:eastAsiaTheme="minorEastAsia"/>
            <w:sz w:val="22"/>
            <w:szCs w:val="22"/>
          </w:rPr>
          <w:t xml:space="preserve">. </w:t>
        </w:r>
        <w:r>
          <w:rPr>
            <w:rStyle w:val="Style17"/>
            <w:rFonts w:eastAsia="" w:cs="Times New Roman" w:eastAsiaTheme="minorEastAsia"/>
            <w:b w:val="false"/>
            <w:bCs w:val="false"/>
            <w:sz w:val="24"/>
            <w:szCs w:val="24"/>
          </w:rPr>
          <w:t>В составе заявки необходимо представить</w:t>
        </w:r>
        <w:r>
          <w:rPr>
            <w:rStyle w:val="Style17"/>
            <w:rFonts w:eastAsia="" w:cs="Times New Roman" w:eastAsiaTheme="minorEastAsia"/>
            <w:sz w:val="22"/>
            <w:szCs w:val="22"/>
          </w:rPr>
          <w:tab/>
          <w:t>2</w:t>
        </w:r>
      </w:hyperlink>
      <w:r>
        <w:rPr>
          <w:rFonts w:eastAsia="" w:cs="Times New Roman" w:eastAsiaTheme="minorEastAsia"/>
          <w:sz w:val="22"/>
          <w:szCs w:val="22"/>
        </w:rPr>
        <w:t>5</w:t>
      </w:r>
    </w:p>
    <w:p>
      <w:pPr>
        <w:pStyle w:val="TOC1"/>
        <w:tabs>
          <w:tab w:val="clear" w:pos="9911"/>
          <w:tab w:val="right" w:pos="9921" w:leader="dot"/>
        </w:tabs>
        <w:rPr>
          <w:rFonts w:cs="Times New Roman"/>
        </w:rPr>
      </w:pPr>
      <w:r>
        <w:rPr>
          <w:rStyle w:val="Style17"/>
        </w:rPr>
        <w:t>5</w:t>
      </w:r>
      <w:hyperlink w:anchor="__RefHeading___Toc147614_1601336961" w:tgtFrame="#__RefHeading___Toc147614_1601336961">
        <w:r>
          <w:rPr>
            <w:rStyle w:val="Style17"/>
          </w:rPr>
          <w:t xml:space="preserve">. </w:t>
        </w:r>
      </w:hyperlink>
      <w:r>
        <w:rPr>
          <w:rStyle w:val="Style17"/>
          <w:b w:val="false"/>
          <w:bCs w:val="false"/>
          <w:sz w:val="24"/>
          <w:szCs w:val="24"/>
        </w:rPr>
        <w:t>Требования к документации по ценообразованию на этапе закупки</w:t>
      </w:r>
      <w:hyperlink w:anchor="__RefHeading___Toc147614_1601336961" w:tgtFrame="#__RefHeading___Toc147614_1601336961">
        <w:r>
          <w:rPr>
            <w:rStyle w:val="Style17"/>
          </w:rPr>
          <w:tab/>
          <w:t>2</w:t>
        </w:r>
      </w:hyperlink>
      <w:r>
        <w:rPr/>
        <w:t>6</w:t>
      </w:r>
    </w:p>
    <w:p>
      <w:pPr>
        <w:pStyle w:val="TOC1"/>
        <w:tabs>
          <w:tab w:val="clear" w:pos="9911"/>
          <w:tab w:val="right" w:pos="9921" w:leader="dot"/>
        </w:tabs>
        <w:rPr>
          <w:rFonts w:cs="Times New Roman"/>
        </w:rPr>
      </w:pPr>
      <w:r>
        <w:rPr>
          <w:rStyle w:val="Style17"/>
        </w:rPr>
        <w:t>6</w:t>
      </w:r>
      <w:hyperlink w:anchor="__RefHeading___Toc147614_1601336961" w:tgtFrame="#__RefHeading___Toc147614_1601336961">
        <w:r>
          <w:rPr>
            <w:rStyle w:val="Style17"/>
          </w:rPr>
          <w:t xml:space="preserve">. </w:t>
        </w:r>
        <w:r>
          <w:rPr>
            <w:rStyle w:val="Style17"/>
            <w:b w:val="false"/>
            <w:bCs w:val="false"/>
            <w:sz w:val="24"/>
            <w:szCs w:val="24"/>
          </w:rPr>
          <w:t>Приложения к техническим требованиям</w:t>
        </w:r>
        <w:r>
          <w:rPr>
            <w:rStyle w:val="Style17"/>
          </w:rPr>
          <w:tab/>
        </w:r>
      </w:hyperlink>
      <w:r>
        <w:rPr/>
        <w:t xml:space="preserve"> 29-32</w:t>
      </w:r>
      <w:r>
        <w:br w:type="page"/>
      </w:r>
    </w:p>
    <w:p>
      <w:pPr>
        <w:pStyle w:val="Heading1"/>
        <w:keepLines/>
        <w:numPr>
          <w:ilvl w:val="0"/>
          <w:numId w:val="1"/>
        </w:numPr>
        <w:ind w:left="357" w:hanging="357"/>
        <w:rPr/>
      </w:pPr>
      <w:bookmarkStart w:id="18" w:name="__RefHeading___Toc147614_1601336961"/>
      <w:bookmarkStart w:id="19" w:name="_Toc149029430"/>
      <w:bookmarkStart w:id="20" w:name="_Toc144285425"/>
      <w:bookmarkStart w:id="21" w:name="_Toc184304500"/>
      <w:bookmarkStart w:id="22" w:name="_Toc51339692"/>
      <w:bookmarkEnd w:id="18"/>
      <w:r>
        <w:rPr/>
        <w:t>Общие сведения</w:t>
      </w:r>
      <w:bookmarkEnd w:id="19"/>
      <w:bookmarkEnd w:id="20"/>
      <w:bookmarkEnd w:id="21"/>
      <w:bookmarkEnd w:id="22"/>
    </w:p>
    <w:p>
      <w:pPr>
        <w:pStyle w:val="Heading4"/>
        <w:numPr>
          <w:ilvl w:val="1"/>
          <w:numId w:val="1"/>
        </w:numPr>
        <w:rPr/>
      </w:pPr>
      <w:bookmarkStart w:id="23" w:name="__RefHeading___Toc28534_3473696645"/>
      <w:bookmarkStart w:id="24" w:name="_Toc149029431"/>
      <w:bookmarkStart w:id="25" w:name="_Toc144285426"/>
      <w:bookmarkStart w:id="26" w:name="_Toc46743505"/>
      <w:bookmarkStart w:id="27" w:name="_Toc184304501"/>
      <w:bookmarkEnd w:id="23"/>
      <w:r>
        <w:rPr/>
        <w:t>Обозначения и сокращения</w:t>
      </w:r>
      <w:bookmarkEnd w:id="24"/>
      <w:bookmarkEnd w:id="25"/>
      <w:bookmarkEnd w:id="26"/>
      <w:bookmarkEnd w:id="27"/>
    </w:p>
    <w:p>
      <w:pPr>
        <w:pStyle w:val="Normal"/>
        <w:spacing w:before="0" w:after="120"/>
        <w:rPr>
          <w:rFonts w:eastAsia="Calibri"/>
          <w:bCs/>
          <w:iCs/>
          <w:sz w:val="22"/>
          <w:szCs w:val="22"/>
        </w:rPr>
      </w:pPr>
      <w:r>
        <w:rPr>
          <w:rFonts w:eastAsia="Calibri"/>
          <w:bCs/>
          <w:iCs/>
          <w:sz w:val="22"/>
          <w:szCs w:val="22"/>
        </w:rPr>
      </w:r>
    </w:p>
    <w:tbl>
      <w:tblPr>
        <w:tblW w:w="978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trHeight w:val="315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АПЗУ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iCs/>
                <w:color w:val="111111"/>
                <w:sz w:val="22"/>
                <w:szCs w:val="22"/>
              </w:rPr>
              <w:t>Анти присадочное защитное устройство</w:t>
            </w:r>
          </w:p>
        </w:tc>
      </w:tr>
      <w:tr>
        <w:trPr>
          <w:trHeight w:val="315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АЧР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Автоматическая частотная разгрузка</w:t>
            </w:r>
          </w:p>
        </w:tc>
      </w:tr>
      <w:tr>
        <w:trPr>
          <w:trHeight w:val="315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ВЛ-10-6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Воздушные линии электропередачи 6-10 кВ</w:t>
            </w:r>
          </w:p>
        </w:tc>
      </w:tr>
      <w:tr>
        <w:trPr>
          <w:trHeight w:val="315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ВЛИ-0,4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Воздушная линия, выполненная изолированными проводами</w:t>
            </w:r>
          </w:p>
        </w:tc>
      </w:tr>
      <w:tr>
        <w:trPr>
          <w:trHeight w:val="315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ВНА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Выключатель нагрузки автогазовый</w:t>
            </w:r>
          </w:p>
        </w:tc>
      </w:tr>
      <w:tr>
        <w:trPr>
          <w:trHeight w:val="315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ВН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Высокое напряжение;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ВН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Высокое напряжение;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Государственный стандарт;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КВЭ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Кассетный выдвижной элемент</w:t>
            </w:r>
          </w:p>
        </w:tc>
      </w:tr>
      <w:tr>
        <w:trPr>
          <w:trHeight w:val="315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2КТПН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Двух трансформаторная комплектная трансформаторная подстанция наружной установки;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КЛ-0,4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Кабельная линия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НН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Низкое напряжение;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Нормативно-техническая документация;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ОПН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Ограничитель перенапряжений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ПБВ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Переключение без возбуждения;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ПТЭ и ЭСиС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Правила технической эксплуатации электрических станций и сетей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ПУЭ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Правила устройства электроустановок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РВЗ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Разъединитель внутренней установки с заземляющим ножами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РУВН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Распределительное устройство высокого напряжения;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РУНН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Распределительное устройство низкого напряжения;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РУ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Распределительное устройство;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СИ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Средства измерений:</w:t>
            </w:r>
          </w:p>
        </w:tc>
      </w:tr>
      <w:tr>
        <w:trPr>
          <w:trHeight w:val="329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Технические условия;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ТМГ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Трехфазный трансформатор маслонаполненный герметичного исполнения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УХЛ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Климатическое исполнение «умеренный и холодный климат»;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ШСН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Шкаф собственных нужд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ЩСН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/>
            </w:pPr>
            <w:r>
              <w:rPr>
                <w:color w:val="000000"/>
                <w:sz w:val="24"/>
                <w:szCs w:val="24"/>
              </w:rPr>
              <w:t>Щит собственных нужд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1"/>
        </w:numPr>
        <w:rPr/>
      </w:pPr>
      <w:bookmarkStart w:id="28" w:name="__RefHeading___Toc28536_3473696645"/>
      <w:bookmarkStart w:id="29" w:name="_Toc184304502"/>
      <w:bookmarkStart w:id="30" w:name="_Toc144285427"/>
      <w:bookmarkStart w:id="31" w:name="_Toc149029432"/>
      <w:bookmarkStart w:id="32" w:name="_Toc46743506"/>
      <w:bookmarkEnd w:id="28"/>
      <w:r>
        <w:rPr/>
        <w:t>Наименование закупаемой продукции</w:t>
      </w:r>
      <w:bookmarkEnd w:id="29"/>
      <w:bookmarkEnd w:id="30"/>
      <w:bookmarkEnd w:id="31"/>
      <w:bookmarkEnd w:id="32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/>
      </w:pPr>
      <w:r>
        <w:rPr>
          <w:rFonts w:eastAsia="Calibri"/>
          <w:sz w:val="24"/>
          <w:szCs w:val="24"/>
        </w:rPr>
        <w:t>«Комплектные трансформаторные подстанции»</w:t>
      </w:r>
    </w:p>
    <w:p>
      <w:pPr>
        <w:pStyle w:val="Heading4"/>
        <w:numPr>
          <w:ilvl w:val="1"/>
          <w:numId w:val="1"/>
        </w:numPr>
        <w:spacing w:before="240" w:after="60"/>
        <w:ind w:left="431" w:hanging="431"/>
        <w:rPr/>
      </w:pPr>
      <w:bookmarkStart w:id="33" w:name="__RefHeading___Toc28538_3473696645"/>
      <w:bookmarkStart w:id="34" w:name="_Toc149029433"/>
      <w:bookmarkStart w:id="35" w:name="_Toc184304503"/>
      <w:bookmarkStart w:id="36" w:name="_Toc46743507"/>
      <w:bookmarkEnd w:id="33"/>
      <w:r>
        <w:rPr/>
        <w:t xml:space="preserve">Цель </w:t>
      </w:r>
      <w:bookmarkEnd w:id="36"/>
      <w:r>
        <w:rPr/>
        <w:t>использования закупаемой продукции</w:t>
      </w:r>
      <w:bookmarkEnd w:id="34"/>
      <w:bookmarkEnd w:id="35"/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rPr/>
      </w:pPr>
      <w:r>
        <w:rPr>
          <w:iCs/>
          <w:sz w:val="24"/>
          <w:szCs w:val="24"/>
        </w:rPr>
        <w:t xml:space="preserve">Для восполнения аварийного запаса. АО «Сахаэнерго» </w:t>
      </w:r>
    </w:p>
    <w:p>
      <w:pPr>
        <w:pStyle w:val="Heading1"/>
        <w:keepLines/>
        <w:numPr>
          <w:ilvl w:val="0"/>
          <w:numId w:val="1"/>
        </w:numPr>
        <w:ind w:left="357" w:hanging="357"/>
        <w:rPr/>
      </w:pPr>
      <w:bookmarkStart w:id="37" w:name="__RefHeading___Toc147616_1601336961"/>
      <w:bookmarkStart w:id="38" w:name="_Toc149029434"/>
      <w:bookmarkStart w:id="39" w:name="_Toc51339693"/>
      <w:bookmarkStart w:id="40" w:name="_Toc184304504"/>
      <w:bookmarkStart w:id="41" w:name="_Toc144285430"/>
      <w:bookmarkStart w:id="42" w:name="_Toc50125126"/>
      <w:bookmarkEnd w:id="37"/>
      <w:bookmarkEnd w:id="42"/>
      <w:r>
        <w:rPr>
          <w:iCs/>
        </w:rPr>
        <w:t>Требования к продукции</w:t>
      </w:r>
      <w:bookmarkEnd w:id="38"/>
      <w:bookmarkEnd w:id="39"/>
      <w:bookmarkEnd w:id="40"/>
      <w:bookmarkEnd w:id="41"/>
    </w:p>
    <w:p>
      <w:pPr>
        <w:pStyle w:val="Heading3"/>
        <w:numPr>
          <w:ilvl w:val="2"/>
          <w:numId w:val="1"/>
        </w:numPr>
        <w:ind w:left="0" w:hanging="0"/>
        <w:rPr/>
      </w:pPr>
      <w:bookmarkStart w:id="43" w:name="__RefHeading___Toc28544_3473696645"/>
      <w:bookmarkStart w:id="44" w:name="_Toc144285432"/>
      <w:bookmarkStart w:id="45" w:name="_Toc184304506"/>
      <w:bookmarkStart w:id="46" w:name="_Toc149029436"/>
      <w:bookmarkEnd w:id="43"/>
      <w:r>
        <w:rPr/>
        <w:t>Перечень и объем закупаемой продукции</w:t>
      </w:r>
      <w:bookmarkEnd w:id="44"/>
      <w:bookmarkEnd w:id="45"/>
      <w:bookmarkEnd w:id="46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/>
      </w:pPr>
      <w:bookmarkStart w:id="47" w:name="__RefHeading___Toc147618_1601336961"/>
      <w:bookmarkStart w:id="48" w:name="_Toc184304507"/>
      <w:bookmarkStart w:id="49" w:name="_Toc149029437"/>
      <w:bookmarkStart w:id="50" w:name="_Toc144285433"/>
      <w:bookmarkStart w:id="51" w:name="_Toc51339695"/>
      <w:bookmarkEnd w:id="47"/>
      <w:r>
        <w:rPr>
          <w:sz w:val="24"/>
          <w:szCs w:val="24"/>
        </w:rPr>
        <w:t xml:space="preserve">Таблица 1.1 Перечень </w:t>
      </w:r>
      <w:bookmarkEnd w:id="51"/>
      <w:r>
        <w:rPr>
          <w:sz w:val="24"/>
          <w:szCs w:val="24"/>
        </w:rPr>
        <w:t>и объем закупаемой продукции</w:t>
      </w:r>
      <w:bookmarkEnd w:id="48"/>
      <w:bookmarkEnd w:id="49"/>
      <w:bookmarkEnd w:id="50"/>
    </w:p>
    <w:tbl>
      <w:tblPr>
        <w:tblW w:w="981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08"/>
        <w:gridCol w:w="6283"/>
        <w:gridCol w:w="1411"/>
        <w:gridCol w:w="1409"/>
      </w:tblGrid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rPr/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4"/>
                <w:szCs w:val="24"/>
              </w:rPr>
              <w:t>Корпус без трансформатора КТПН 250/10/0.4 с передвижным трубным фундаментом и буксировочной петлей УХЛ1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/>
                <w:sz w:val="24"/>
                <w:szCs w:val="24"/>
              </w:rPr>
              <w:t>Компл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1"/>
        </w:numPr>
        <w:ind w:left="0" w:hanging="0"/>
        <w:rPr/>
      </w:pPr>
      <w:bookmarkStart w:id="52" w:name="__RefHeading___Toc28548_3473696645"/>
      <w:bookmarkStart w:id="53" w:name="_Toc149029438"/>
      <w:bookmarkStart w:id="54" w:name="_Toc184304508"/>
      <w:bookmarkStart w:id="55" w:name="_Toc144285434"/>
      <w:bookmarkStart w:id="56" w:name="_Toc51339696"/>
      <w:bookmarkEnd w:id="52"/>
      <w:r>
        <w:rPr/>
        <w:t xml:space="preserve">Требования </w:t>
      </w:r>
      <w:bookmarkEnd w:id="56"/>
      <w:r>
        <w:rPr/>
        <w:t>к срокам поставки продукции и оказания сопутствующих услуг</w:t>
      </w:r>
      <w:bookmarkEnd w:id="53"/>
      <w:bookmarkEnd w:id="54"/>
      <w:bookmarkEnd w:id="55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/>
      </w:pPr>
      <w:bookmarkStart w:id="57" w:name="__RefHeading___Toc147620_1601336961"/>
      <w:bookmarkStart w:id="58" w:name="_Toc149029439"/>
      <w:bookmarkStart w:id="59" w:name="_Toc184304509"/>
      <w:bookmarkStart w:id="60" w:name="_Toc144285435"/>
      <w:bookmarkStart w:id="61" w:name="_Toc50125127"/>
      <w:bookmarkStart w:id="62" w:name="_Toc51339697"/>
      <w:bookmarkStart w:id="63" w:name="_Toc50125126_Копия_1"/>
      <w:bookmarkEnd w:id="57"/>
      <w:bookmarkEnd w:id="63"/>
      <w:r>
        <w:rPr>
          <w:sz w:val="24"/>
          <w:szCs w:val="24"/>
        </w:rPr>
        <w:t xml:space="preserve">Таблица 2.1 </w:t>
      </w:r>
      <w:bookmarkStart w:id="64" w:name="_Hlk50465284"/>
      <w:r>
        <w:rPr>
          <w:sz w:val="24"/>
          <w:szCs w:val="24"/>
        </w:rPr>
        <w:t xml:space="preserve">Требования по срокам </w:t>
      </w:r>
      <w:bookmarkEnd w:id="61"/>
      <w:bookmarkEnd w:id="62"/>
      <w:bookmarkEnd w:id="64"/>
      <w:r>
        <w:rPr>
          <w:sz w:val="24"/>
          <w:szCs w:val="24"/>
        </w:rPr>
        <w:t>поставки продукции</w:t>
      </w:r>
      <w:bookmarkEnd w:id="58"/>
      <w:bookmarkEnd w:id="59"/>
      <w:bookmarkEnd w:id="60"/>
      <w:r>
        <w:rPr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bCs/>
          <w:i/>
          <w:i/>
          <w:iCs/>
          <w:sz w:val="24"/>
          <w:szCs w:val="24"/>
          <w:shd w:fill="FFFF99" w:val="clear"/>
        </w:rPr>
      </w:pPr>
      <w:r>
        <w:rPr>
          <w:bCs/>
          <w:i/>
          <w:iCs/>
          <w:sz w:val="24"/>
          <w:szCs w:val="24"/>
          <w:shd w:fill="FFFF99" w:val="clear"/>
        </w:rPr>
      </w:r>
    </w:p>
    <w:tbl>
      <w:tblPr>
        <w:tblW w:w="9668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98"/>
        <w:gridCol w:w="4263"/>
        <w:gridCol w:w="2291"/>
        <w:gridCol w:w="2415"/>
      </w:tblGrid>
      <w:tr>
        <w:trPr/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8" w:right="-85" w:hanging="0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8" w:right="-85" w:hanging="0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 w:val="false"/>
              <w:spacing w:before="40" w:after="40"/>
              <w:ind w:left="-108" w:right="-85" w:hanging="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2"/>
              <w:keepNext w:val="false"/>
              <w:widowControl w:val="false"/>
              <w:spacing w:before="40" w:after="40"/>
              <w:ind w:left="-108" w:right="-85" w:hanging="0"/>
              <w:jc w:val="center"/>
              <w:rPr/>
            </w:pPr>
            <w:bookmarkStart w:id="65" w:name="_Toc46743510"/>
            <w:r>
              <w:rPr>
                <w:b/>
                <w:sz w:val="24"/>
                <w:szCs w:val="24"/>
              </w:rPr>
              <w:t>4</w:t>
            </w:r>
            <w:bookmarkEnd w:id="65"/>
          </w:p>
        </w:tc>
      </w:tr>
      <w:tr>
        <w:trPr/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pacing w:before="0" w:after="20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/>
            </w:pPr>
            <w:r>
              <w:rPr>
                <w:i/>
                <w:sz w:val="24"/>
                <w:szCs w:val="24"/>
              </w:rPr>
              <w:t>Корпус без трансформатора КТПН 250/10/0.4 с передвижным трубным фундаментом и буксировочной петлей УХЛ1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8" w:right="-85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120 календарных дней  с даты заключения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1"/>
        </w:numPr>
        <w:rPr/>
      </w:pPr>
      <w:bookmarkStart w:id="66" w:name="__RefHeading___Toc28552_3473696645"/>
      <w:bookmarkStart w:id="67" w:name="_Toc144285436"/>
      <w:bookmarkStart w:id="68" w:name="_Toc149029440"/>
      <w:bookmarkStart w:id="69" w:name="_Toc184304510"/>
      <w:bookmarkStart w:id="70" w:name="_Toc46743511"/>
      <w:bookmarkEnd w:id="66"/>
      <w:r>
        <w:rPr/>
        <w:t xml:space="preserve">Требования к </w:t>
      </w:r>
      <w:bookmarkEnd w:id="70"/>
      <w:r>
        <w:rPr/>
        <w:t>качеству продукции</w:t>
      </w:r>
      <w:bookmarkEnd w:id="67"/>
      <w:bookmarkEnd w:id="68"/>
      <w:bookmarkEnd w:id="6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/>
      </w:pPr>
      <w:bookmarkStart w:id="71" w:name="__RefHeading___Toc147622_1601336961"/>
      <w:bookmarkStart w:id="72" w:name="_Toc149029441"/>
      <w:bookmarkStart w:id="73" w:name="_Toc184304511"/>
      <w:bookmarkStart w:id="74" w:name="_Toc144285437"/>
      <w:bookmarkEnd w:id="71"/>
      <w:r>
        <w:rPr>
          <w:sz w:val="24"/>
          <w:szCs w:val="24"/>
        </w:rPr>
        <w:t>Таблица 3.1. Требования к продукции</w:t>
      </w:r>
      <w:bookmarkEnd w:id="73"/>
      <w:bookmarkEnd w:id="74"/>
      <w:r>
        <w:rPr>
          <w:sz w:val="24"/>
          <w:szCs w:val="24"/>
        </w:rPr>
        <w:t xml:space="preserve"> </w:t>
      </w:r>
      <w:bookmarkEnd w:id="72"/>
    </w:p>
    <w:p>
      <w:pPr>
        <w:pStyle w:val="Normal"/>
        <w:rPr/>
      </w:pPr>
      <w:r>
        <w:rPr>
          <w:b/>
          <w:bCs/>
          <w:i/>
          <w:iCs/>
          <w:sz w:val="24"/>
          <w:szCs w:val="24"/>
        </w:rPr>
        <w:t xml:space="preserve">Наименование продукции:  </w:t>
      </w:r>
      <w:r>
        <w:rPr>
          <w:i/>
          <w:iCs/>
          <w:sz w:val="24"/>
          <w:szCs w:val="24"/>
        </w:rPr>
        <w:t>Корпус без трансформатора КТПН 250/10/0.4 с передвижным трубным фундаментом и буксировочной петлей УХЛ1</w:t>
      </w:r>
      <w:r>
        <w:rPr>
          <w:i/>
          <w:sz w:val="24"/>
          <w:szCs w:val="24"/>
        </w:rPr>
        <w:t xml:space="preserve"> для аварийного запаса</w:t>
      </w:r>
    </w:p>
    <w:p>
      <w:pPr>
        <w:pStyle w:val="Normal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tbl>
      <w:tblPr>
        <w:tblpPr w:bottomFromText="0" w:horzAnchor="text" w:leftFromText="180" w:rightFromText="180" w:tblpX="183" w:tblpY="1" w:topFromText="0" w:vertAnchor="text"/>
        <w:tblW w:w="1527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17"/>
        <w:gridCol w:w="4100"/>
        <w:gridCol w:w="3695"/>
        <w:gridCol w:w="1986"/>
        <w:gridCol w:w="2551"/>
        <w:gridCol w:w="2126"/>
      </w:tblGrid>
      <w:tr>
        <w:trPr/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  <w:r>
              <w:rPr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1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на этапе закупки</w:t>
            </w:r>
          </w:p>
        </w:tc>
        <w:tc>
          <w:tcPr>
            <w:tcW w:w="21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КТПН (включая гарантируемые показатели)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80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КТПН распределительного устройство высокого напряжения РУ ВН, Корпус КТПН распределительного устройство низкого напряжения РУ НН, Корпус КТПН силового трансформатора, Сборно-разборный фундамент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КТПН распределительного устройство высокого напряжения РУ ВН, Корпус КТПН распределительного устройство низкого напряжения РУ НН, Корпус КТПН силового трансформатора,  Сборно-разборный фундамент  должны быть собраны в единое КТПН (понижающая, киоскового типа)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внешние габаритные размеры Корпуса КТПН распределительного устройство высокого напряжения РУ ВН, Корпуса КТПН распределительного устройство низкого напряжения РУ НН, Корпуса КТПН силового трансформатора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3500*2150мм (Д*Ш)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уменьшение/увеличение габаритных размеров не более 1000мм в каждую сторону.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изменении габаритных размеров учесть прямо  пропорциональное уменьшение/увеличение сборно-разборного фундамента относительно корпуса КТПН и возможность установки ТМГ следующего габарита 250кВА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Силовые трансформаторы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Номинальная частота, Гц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 на стороне высшего напряжения (стороне ВН), кВ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Наибольшее рабочее напряжение на стороне ВН, кВ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напряжение вспомогательных цепей КТПН, В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400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технические требования к поставляемой продукции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заводе-изготовителе оборудование должна проходить контрольную сборку и проверку. На объект продукция должна быть поставлена с полностью смонтированными первичными и вторичными цепями;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Корпуса КТПН распределительного устройство высокого напряжения РУ ВН, Корпуса КТПН распределительного устройство низкого напряжения РУ НН, Корпуса КТПН силового трансформатора.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Листовой металл толщиной не менее 2мм с нанесением антикорозийного покрытия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1.10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Корпусе КТПН распределительного устройство высокого напряжения РУ ВН </w:t>
            </w:r>
            <w:r>
              <w:rPr>
                <w:color w:val="000000"/>
                <w:sz w:val="24"/>
                <w:szCs w:val="24"/>
              </w:rPr>
              <w:t>предусмотреть ограждение неизолированных токоведущих частей с возможностью доступа к ним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Согласно п. 4.2.88 ПУЭ (изд. 7).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 приборы, аппараты, а также ряды зажимов и соединительная проводка должны быть маркированы.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соответствии с п. 5.4.14. ПТЭ - На металлических частях корпусов оборудования должна быть обозначена расцветка фаз, п. 1.1.30. ПУЭ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проходных изоляторов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ИПК (полимерный).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1.13</w:t>
            </w:r>
          </w:p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опорных изоляторов в РУ ВН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ИОРП (полимерный).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1.14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</w:rPr>
              <w:t>Механический ресурс открывания и закрывания дверей шкафов, операций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1000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Оснастить необходимыми блокировками, Механическая блокировка дверей РУ-6(10) кВ при включение выключателя нагрузки и ошибочных действий персонала при включении заземляющих ножей. Механическая блокировка трансформаторного отсека при отключенных заземляющих ножах. Исключить применение механических замковых блокировок (замки Гинодмана), основанные на последовательности действий обмена ключа с замком, в виду низкого уровня надежности, усложнения  и замедления оперативных переключений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Высота траверсы ВН над уровнем крыши </w:t>
            </w:r>
            <w:r>
              <w:rPr>
                <w:sz w:val="24"/>
                <w:szCs w:val="24"/>
              </w:rPr>
              <w:t>Корпуса КТПН распределительного устройство высокого напряжения РУВН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1600 – 1800 мм.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1.17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bCs/>
                <w:sz w:val="24"/>
              </w:rPr>
              <w:t>Исполнение ввода ВН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bCs/>
                <w:sz w:val="24"/>
              </w:rPr>
              <w:t>Воздушный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1.18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sz w:val="24"/>
              </w:rPr>
              <w:t>Исполнение ввода НН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</w:rPr>
            </w:pPr>
            <w:r>
              <w:rPr>
                <w:bCs/>
                <w:sz w:val="24"/>
              </w:rPr>
              <w:t>Воздушный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6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Требования к Корпусу КТПН силового трансформатора.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</w:rPr>
            </w:pPr>
            <w:r>
              <w:rPr>
                <w:sz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28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ertext"/>
              <w:widowControl w:val="false"/>
              <w:spacing w:before="0" w:after="240"/>
              <w:rPr>
                <w:color w:val="000000"/>
              </w:rPr>
            </w:pPr>
            <w:r>
              <w:rPr/>
              <w:t>Конструкция должна обеспечивать возможность установки силового трансформатора без демонтажа  Корпуса КТПН распределительного устройства высокого напряжения РУ ВН, Корпуса КТПН распределительного устройства низкого напряжения РУ НН, Корпуса КТПН силового трансформатора.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ertext"/>
              <w:widowControl w:val="false"/>
              <w:spacing w:before="0" w:after="240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ertext"/>
              <w:widowControl w:val="false"/>
              <w:spacing w:before="0" w:after="240"/>
              <w:rPr>
                <w:color w:val="000000"/>
              </w:rPr>
            </w:pPr>
            <w:r>
              <w:rPr>
                <w:color w:val="000000"/>
              </w:rPr>
              <w:t>Корпус КТПН силового трансформатора должен иметь два входных проема, размеры которых позволяют установить силовой трансформатор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Направляющие основания из П-образного профиля  и комплектом метизов и уголков для крепления, без установки к полу из расчета  возможной установки  ТМ 250/10/0.4 в корпусе трансформаторного отсека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outlineLvl w:val="2"/>
              <w:rPr>
                <w:color w:val="A6A6A6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Корпусу КТПН распределительного устройство высокого напряжения РУ ВН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</w:rPr>
            </w:pPr>
            <w:r>
              <w:rPr>
                <w:b/>
                <w:sz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выключателю нагрузки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-//-</w:t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выключателя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ВНА-10/400</w:t>
            </w:r>
            <w:r>
              <w:rPr>
                <w:color w:val="000000"/>
                <w:sz w:val="24"/>
                <w:szCs w:val="24"/>
              </w:rPr>
              <w:t xml:space="preserve"> (или эквивалент)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Вид  выключателя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Автогазовый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привода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Пружинный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приводом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местное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встроенных элементов защиты и заземления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 встроенными плавкими предохранителями, включенными последовательно с выключателем нагрузки 1шт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 встроенными ножами заземления;1шт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3.1.6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 предохранителей ВН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rStyle w:val="Strong"/>
                <w:b w:val="false"/>
                <w:color w:val="303030"/>
                <w:sz w:val="24"/>
                <w:szCs w:val="24"/>
                <w:shd w:fill="FFFFFF" w:val="clear"/>
              </w:rPr>
              <w:t>ПКТ (либо эквивалент)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3.1.7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Номинальный ток предохранителя ВН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Выбирается из номинальных токов ВН трансформатора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3.1.8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Род установки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 РУ ВН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3.1.9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Кол-во, ед./ номинальный ток, 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ВНА-10/400-1 шт,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3.1.10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Механический ресурс, циклов В-tп-О, операций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Требования к шинам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3.2.1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Соединение РУВН-Трансформаторный отсек выводы под трансформатор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жесткая ошиновка (медные или алюминиевые шины)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3.2.2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и размер шин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жесткая ошиновка (медные или алюминиевые шины), в соответствии с номинальным током силового трансформатора следующего габарита 250кВА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3.2.3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</w:rPr>
              <w:t>Номинальный ток сборных шин, 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номинальным током силового трансформатора следующего габарита 250кВА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3.3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Требования к ОПН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3.3.1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ОПН 10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3.3.2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3 шт (1 трехфазный комплект)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4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3.3.3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Род установки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На шахте ввода ВН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187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технические требования к Корпусу КТПН распределительного устройство низкого напряжения РУ НН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рубильнику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4.1.1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рубильника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РЕ19  (или эквивалент)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4.1.2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Кол-во, ед./ номинальный ток, А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400А 1 шт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4.1.3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Применить рубильники 0,4 кВ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диэлектрической рукоятью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4.2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Требования к шинам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-//-</w:t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4.2.1</w:t>
            </w:r>
          </w:p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ток сборных шин, А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номинальным током силового трансформатора следующего габарита 250кВА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4.2.2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КТПН между низковольтным выводом под силовой трансформатор и вводным аппаратом защиты и управления необходимо использовать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жесткую ошиновку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color w:val="000000"/>
                <w:sz w:val="24"/>
                <w:szCs w:val="24"/>
              </w:rPr>
              <w:t>медные или алюминиевые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шины)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4.2.3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и размер шин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жесткая ошиновка (медные или алюминиевые шины), в соответствии с номинальным током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5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4.2.4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Соединение вывод под трансформатор со стороны НН-РУНН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жесткая ошиновка (медные или алюминиевые шины)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выключателю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4.3.1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 установки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РУ НН вводной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4.3.2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выключателя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 57-39(или эквивалент)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4.3.3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Кол-во/номинальный ток, 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400А 1 шт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4.3.4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 установки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РУ НН фидерные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4.3.1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выключателя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Optimat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D</w:t>
            </w:r>
            <w:r>
              <w:rPr>
                <w:sz w:val="24"/>
                <w:szCs w:val="24"/>
              </w:rPr>
              <w:t xml:space="preserve"> 250</w:t>
            </w:r>
            <w:r>
              <w:rPr>
                <w:sz w:val="24"/>
                <w:szCs w:val="24"/>
                <w:lang w:val="en-US"/>
              </w:rPr>
              <w:t>N</w:t>
            </w:r>
            <w:r>
              <w:rPr>
                <w:sz w:val="24"/>
                <w:szCs w:val="24"/>
              </w:rPr>
              <w:t xml:space="preserve"> (или эквивалент)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4.3.2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Кол-во/номинальный ток, 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250А-1 шт, 125А-1шт, 100А-1шт, 80А-1шт, 25А-1шт.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4.3.3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расцепителя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Тепловой и электромагнитный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4.3.4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от перегрузок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регулируемой уставкой по номинальному  току в меньшую сторону от номинала АВ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4.3.5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от токов короткого замыкания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Уставка расцепителя тока короткого замыкания 10</w:t>
            </w:r>
            <w:r>
              <w:rPr>
                <w:sz w:val="24"/>
                <w:szCs w:val="24"/>
                <w:lang w:val="en-US"/>
              </w:rPr>
              <w:t>ln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измерительному трансформатору тока для показаний: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-//-</w:t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4.4.1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ТТИ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4.4.2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 установки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РУНН перед вводным АВ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4.4.3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Кол-во, фаз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(3 на показания Амперметров, 3 на учет)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4.4.4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первичный ток, 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4.4.5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Номинальный вторичный ток, 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4.4.6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точности: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измерений и учета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0,</w:t>
            </w:r>
            <w:r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  <w:lang w:val="en-US"/>
              </w:rPr>
              <w:t>S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4.4.7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Межповерочный интервал трансформаторов тока 0,4 кВ,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4 лет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Требование к узлу учета электроэнергии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-//-</w:t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электросчетчиков: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0" w:after="200"/>
              <w:ind w:left="174" w:hanging="174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 стороне  НН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Трехфазный прибор учета электроэнергии полукосвенного включения на общий ввод НН с модулем связи GSM/GPRS (дополнительно оптопорт и резервный RS-485) соответствующий требованиям ПП РФ №890 и возможностью интеграции в ПО «Пирамида 2.0» (Системы и технологии) , Трехфазный прибор учета электроэнергии прямого включения на уличное освещение с модулем связи GSM/GPRS (дополнительно оптопорт и резервный RS-485) соответствующий требованиям ПП РФ №890 и возможностью интеграции в ПО «Пирамида 2.0» (Системы и технологии)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200"/>
              <w:ind w:left="174" w:hanging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Род установки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отдельном шкафу учета жесткой конструкции (согласно п.1.5.29 ПУЭ) обшить теплоизоляцией пенофол В-05.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200"/>
              <w:ind w:left="174" w:hanging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обогрев узла учета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шкафу учёта, на боковых стенках установить обогрев в виде пластин МКЭ-1/1, не менее 4-х шт. (согласно п.1.5.27. ПУЭ изд.6, ГОСТ 15150-69). Расположить обогрев с учётом исключения соприкосновения с корпусом счётчиков. Все МКЭ-1/1 подключить к отдельному автоматическому выключателю 10 А через терморегулятор Eberle16A ТР-1.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4.6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ОПН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-//-</w:t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4.6.1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200"/>
              <w:ind w:left="174" w:hanging="0"/>
              <w:contextualSpacing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Тип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ОПН 0,4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4.6.2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200"/>
              <w:ind w:left="174" w:hanging="0"/>
              <w:contextualSpacing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Количество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 шт (1 трехфазный комплект)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4.6.3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200"/>
              <w:ind w:left="174" w:hanging="0"/>
              <w:contextualSpacing/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</w:rPr>
              <w:t>Род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шинах РУ-0,4 кВ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-//-</w:t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Степень защищенности</w:t>
            </w:r>
          </w:p>
          <w:p>
            <w:pPr>
              <w:pStyle w:val="ListParagraph"/>
              <w:widowControl w:val="false"/>
              <w:numPr>
                <w:ilvl w:val="0"/>
                <w:numId w:val="2"/>
              </w:numPr>
              <w:ind w:left="174" w:hanging="174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eastAsia="Times New Roman" w:cs="Times New Roman" w:ascii="Times New Roman" w:hAnsi="Times New Roman"/>
                <w:bCs/>
              </w:rPr>
              <w:t>КТПН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Оборудования ВН и НН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ниже </w:t>
            </w:r>
            <w:r>
              <w:rPr>
                <w:bCs/>
                <w:sz w:val="24"/>
                <w:szCs w:val="24"/>
                <w:lang w:val="en-US"/>
              </w:rPr>
              <w:t>IP</w:t>
            </w:r>
            <w:r>
              <w:rPr>
                <w:bCs/>
                <w:sz w:val="24"/>
                <w:szCs w:val="24"/>
              </w:rPr>
              <w:t xml:space="preserve"> 54</w:t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не ниже </w:t>
            </w:r>
            <w:r>
              <w:rPr>
                <w:bCs/>
                <w:sz w:val="24"/>
                <w:szCs w:val="24"/>
                <w:lang w:val="en-US"/>
              </w:rPr>
              <w:t>IP</w:t>
            </w:r>
            <w:r>
              <w:rPr>
                <w:bCs/>
                <w:sz w:val="24"/>
                <w:szCs w:val="24"/>
              </w:rPr>
              <w:t xml:space="preserve"> 34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Температура нагрева в нормальном режиме нетоковедущих частей КТПН, к которым можно прикасаться при эксплуатации (листы приборные, крышки), ℃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более 70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 вводных шкафах РУНН должны быть предусмотрены и обозначены места для наложения переносного заземления.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 приборы, аппараты, а также ряды зажимов и соединительная проводка должны быть маркированы в соответствии с п. 5.4.14. ПТЭ и ЭСиС., п. 3.28., 7. ГОСТ 14695-80 «Подстанции трансформаторные комплектные мощностью от 25 до 2500 кВА на напряжение до 10 кВ».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материалам: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-//-</w:t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Корпус КТПН распределительного устройство высокого напряжения РУ ВН, Корпус КТПН распределительного устройство низкого напряжения РУ НН, Корпус КТПН силового трансформатора должны быть соединены между собой и состоять из полностью смонтированных оборудований РУ-6 (10)кВ и РУ-0,4кВ, смонтированными первичными и вторичными цепями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тамбура обслуживания РУ НН и РУ ВН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4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Основным несущим элементом Корпуса КТПН распределительного устройство высокого напряжения РУ ВН, Корпуса КТПН распределительного устройство низкого напряжения РУ НН, Корпуса КТПН силового трансформатора должен быть силовой каркас сваренный из продольных и поперечных профилей с угловыми стойками толщиной 4-5 мм. В нижней раме и стойках каркаса предусмотреть угловые фитинги для подъема и транспортировки модуля краном.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Конструкции Корпуса КТПН распределительного устройство высокого напряжения РУ ВН, Корпуса КТПН распределительного устройство низкого напряжения РУ НН, Корпуса КТПН силового трансформатора должны позволять, при необходимости, перемещать подстанцию.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4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Стены внешней обшивки должны быть выполнены из стального листа толщиной 2 мм. Лист кровли должен представлять из себя специальный профильный лист толщиной 2 мм. Полы выполнить из стальных рифлёных листов толщиной 4 мм, приварить по периметру и сварить между собой. Все наружные соединения выполнить сплошными сварными швами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Необходимо наличие ветрозащитных (против снеговых) козырьков на всех вентиляционных решётках.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8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Конструкция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Корпуса КТПН силового трансформатора должна обеспечивать возможность замены силового трансформатора без демонтажа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Конструкций Корпуса КТПН распределительного устройство высокого напряжения РУ ВН, Корпуса КТПН распределительного устройство низкого напряжения РУ НН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0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Вентиляция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Корпуса КТПН распределительного устройство высокого напряжения РУ ВН, Корпуса КТПН распредели-тельного устройство низкого напряжения РУ НН, Корпуса КТПН силового трансформатора  должна обеспечивать отвод выделяемого ими тепла в таких количествах, чтобы при их нагрузке, с учетом перегрузочной способности и максимальной расчетной температуре окружающей среды, нагрев трансформаторов не превышал максимально допустимого для них значения.</w:t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 невозможности обеспечить теплообмен естественной вентиляцией необходимо предусмотреть принудительную, при этом должен быть предусмотрен контроль ее работы с помощью сигнальных аппаратов.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9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Прокладка проводов вспомогательных цепей должна производиться изолированным проводом как в монтажных коробках, так и непосредственно по металлическим панелям с обеспечением возможности контроля и замены поврежденного провода.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08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6.10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Расстояния в свету от токоведущих частей до различных элементов в соответствии с ПУЭ, изд.7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6.11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Приборы и аппараты вспомогательных цепей должны устанавливаться таким образом, чтобы была обеспечена возможность их обслуживания без снятия напряжения с главных цепей КТП.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6.12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Иметь освещение панелей, на которых смонтированы измерительные приборы и расположены рукоятки управления аппаратами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1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6.13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Сетчатые ограждения трансформаторного отсека должны иметь ячейки размером не более, мм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25х25 мм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1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6.14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Внешние двери выполнить с уплотнителем обеспечивающим плотный контакт между дверью и корпусом.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0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6.15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color w:val="000000"/>
                <w:sz w:val="24"/>
                <w:szCs w:val="24"/>
              </w:rPr>
              <w:t>нутренние петли в конструкции дверей.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58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6.16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Для запирания дверей применить</w:t>
            </w:r>
            <w:r>
              <w:rPr>
                <w:sz w:val="24"/>
                <w:szCs w:val="24"/>
              </w:rPr>
              <w:t xml:space="preserve"> т</w:t>
            </w:r>
            <w:r>
              <w:rPr>
                <w:color w:val="000000"/>
                <w:sz w:val="24"/>
                <w:szCs w:val="24"/>
              </w:rPr>
              <w:t>рехточечное запирающее устройство, унифицированные внутренние замки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58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6.17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Корпусах КТПН РУВН, РУНН </w:t>
            </w:r>
            <w:r>
              <w:rPr>
                <w:color w:val="000000"/>
                <w:sz w:val="24"/>
                <w:szCs w:val="24"/>
              </w:rPr>
              <w:t>предусмотреть монтаж пола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 рифленого листового железа толщиной не менее 4 мм,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1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6.18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Полы Корпуса КТПН силового трансформатора должны выдерживать нагрузку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2500 кг/м²;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117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6.19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Гарантия на защиту от коррозии, при отсутствии механических повреждений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10 лет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66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6.20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Заземление в Корпусе КТПН распределительного устройство высокого напряжения РУ ВН, Корпусе КТПН распределительного устройство низкого напряжения РУ НН, Корпусе КТПН силового трансформатора должно быть выполнено общее для сторон 10-6 кВ и 0,4 кВ заземляющее устройство, которым должен являться стальной пол подстанции, приваренный по периметру к силовому каркасу. К полу присоединить сваркой или болтовым соединением все металлические нетоковедущие части электрооборудования, которые могут оказаться под напряжением. КТПН должна иметь (снаружи силового каркаса площадки) возможность для присоединения к внешнему контуру заземления, обозначенных знаком «Заземление».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66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6.21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Крепление внутренних перегородок выполнить на клепках или болтовых соединениях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66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6.22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 Корпусе КТПН распределительного устройство низкого напряжения РУ НН коммутационные аппараты и открытые токоведущие части по стороне 0,4 кВ должны иметь сплошное ограждение от поражения электрическим током в соответствии с ГОСТ Р 50571.4.41-2022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665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6.23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 Корпусе КТПН распределительного устройство низкого напряжения РУ ВН предусмотреть ограждение неизолированных токоведущих частей с возможностью доступа к ним, согласно п. 4.2.88 ПУЭ (изд. 7).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665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6.24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Предусмотреть вертикальное расположение выключателей 0,4 кВ в горизонтальном ряду (рядах) с возможностью присоединения кабельных линий снизу.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6.25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Обеспечить герметичное соединение «металлический корпус – фланец проходного изолятора» без герметика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6.26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Оснастить заходы  ВЛ 6- 10 кВ</w:t>
            </w:r>
            <w:r>
              <w:rPr>
                <w:sz w:val="24"/>
                <w:szCs w:val="24"/>
              </w:rPr>
              <w:t xml:space="preserve">  в Корпус КТПН распределительного устройство высокого напряжения РУ ВН </w:t>
            </w:r>
            <w:r>
              <w:rPr>
                <w:color w:val="000000"/>
                <w:sz w:val="24"/>
                <w:szCs w:val="24"/>
              </w:rPr>
              <w:t>специальными птицезащитными устройствами предотвращающими повреждение птиц (</w:t>
            </w:r>
            <w:r>
              <w:rPr>
                <w:sz w:val="24"/>
                <w:szCs w:val="24"/>
              </w:rPr>
              <w:t>Птицезащитное устройство колпачного типа</w:t>
            </w:r>
            <w:r>
              <w:rPr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Указать тип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6A6A6"/>
                <w:sz w:val="24"/>
                <w:szCs w:val="24"/>
              </w:rPr>
            </w:pPr>
            <w:r>
              <w:rPr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6.27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Короба ВН и НН выполнить с учётом ветровых нагрузок (не менее 32 м/с.).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4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Сборно-разборному фундаменту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-//-</w:t>
            </w:r>
          </w:p>
        </w:tc>
      </w:tr>
      <w:tr>
        <w:trPr>
          <w:trHeight w:val="22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Сборно-разборный фундамент</w:t>
            </w:r>
          </w:p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должен иметь антикоррозионный слой со всех сторон.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Габаритные размеры сборно-разборного фундамента, мм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3540*2190 (Д*Ш*)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не менее 500мм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Допускается уменьшение/увеличение габаритных размеров с учетом требований п. 1.2 данной таблицы.</w:t>
            </w:r>
          </w:p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к техническим требованиям №6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 Сборно-разборного фундамента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4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изготовления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Металлоконструкции с  применением профильной квадратной трубы не менее 100мм*100мм*4мм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Климатическое исполнение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-//-</w:t>
            </w:r>
          </w:p>
        </w:tc>
      </w:tr>
      <w:tr>
        <w:trPr>
          <w:trHeight w:val="17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Климатическое исполнение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УХЛ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Категория размещения: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ind w:left="174" w:hanging="174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eastAsia="Times New Roman" w:cs="Times New Roman" w:ascii="Times New Roman" w:hAnsi="Times New Roman"/>
                <w:bCs/>
              </w:rPr>
              <w:t>КТП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ind w:left="174" w:hanging="174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eastAsia="Times New Roman" w:cs="Times New Roman" w:ascii="Times New Roman" w:hAnsi="Times New Roman"/>
                <w:bCs/>
              </w:rPr>
              <w:t>Оборудования ВН</w:t>
            </w:r>
          </w:p>
          <w:p>
            <w:pPr>
              <w:pStyle w:val="ListParagraph"/>
              <w:widowControl w:val="false"/>
              <w:numPr>
                <w:ilvl w:val="0"/>
                <w:numId w:val="4"/>
              </w:numPr>
              <w:spacing w:before="0" w:after="200"/>
              <w:ind w:left="174" w:hanging="174"/>
              <w:contextualSpacing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eastAsia="Times New Roman" w:cs="Times New Roman" w:ascii="Times New Roman" w:hAnsi="Times New Roman"/>
                <w:bCs/>
              </w:rPr>
              <w:t>Оборудование НН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06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Верхнее рабочее значение температуры окружающего воздуха, °С, для климатических исполнений и категорий размещения:</w:t>
            </w:r>
          </w:p>
          <w:p>
            <w:pPr>
              <w:pStyle w:val="ListParagraph"/>
              <w:widowControl w:val="false"/>
              <w:spacing w:before="0" w:after="0"/>
              <w:ind w:left="0" w:hanging="0"/>
              <w:contextualSpacing w:val="false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eastAsia="Times New Roman" w:cs="Times New Roman" w:ascii="Times New Roman" w:hAnsi="Times New Roman"/>
                <w:bCs/>
              </w:rPr>
              <w:t>- УХЛ1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плюс 40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Нижнее рабочее значение температуры окружающего воздуха, °С, для климатических исполнений и категорий размещения: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spacing w:before="0" w:after="0"/>
              <w:ind w:left="720" w:hanging="283"/>
              <w:contextualSpacing w:val="false"/>
              <w:rPr>
                <w:rFonts w:ascii="Times New Roman" w:hAnsi="Times New Roman" w:eastAsia="Times New Roman" w:cs="Times New Roman"/>
                <w:bCs/>
              </w:rPr>
            </w:pPr>
            <w:r>
              <w:rPr>
                <w:rFonts w:eastAsia="Times New Roman" w:cs="Times New Roman" w:ascii="Times New Roman" w:hAnsi="Times New Roman"/>
                <w:bCs/>
              </w:rPr>
              <w:t>УХЛ1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Минус 60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5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Высота над уровнем моря, м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 1000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15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8.6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Толщина стенки гололеда, мм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25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6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Допустимая скорость ветра при наличии гололеда, м/с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15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Допустимая скорость ветра при отсутствии гололеда, м/с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40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6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Сейсмостойкость, баллов по шкале MSK-64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не менее 6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9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качеству поставляемой продукции: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-//-</w:t>
            </w:r>
          </w:p>
        </w:tc>
      </w:tr>
      <w:tr>
        <w:trPr>
          <w:trHeight w:val="2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новая*, ранее не используемая.</w:t>
            </w:r>
          </w:p>
          <w:p>
            <w:pPr>
              <w:pStyle w:val="Normal"/>
              <w:widowControl w:val="false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6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 выпуска продукции (оборудования)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Оборудование должно быть новым не ранее 2026 года выпуска, серийного выпуска, ранее не используемым.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10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-//-</w:t>
            </w:r>
          </w:p>
        </w:tc>
      </w:tr>
      <w:tr>
        <w:trPr>
          <w:trHeight w:val="22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 продукции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 Саха (Якутия), г. Якутск, ул. Беринга, 42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4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иметь табличку по ГОСТ 12969-67, содержащую следующие данные: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ind w:left="315" w:hanging="3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условное обозначение (индекс) изделия;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ind w:left="315" w:hanging="3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товарный знак;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ind w:left="315" w:hanging="3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заводской номер и (или) дату изготовления;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ind w:left="315" w:hanging="3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наименование изделия (при необходимости);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ind w:left="315" w:hanging="315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напряжение в киловольтах со стороны ВН и НН;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spacing w:before="0" w:after="200"/>
              <w:ind w:left="315" w:hanging="315"/>
              <w:contextualSpacing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обозначение стандартов или технических условий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установить снаружи корпуса КТПН распределительного устройство высокого напряжения РУ ВН атмосферостойкую металлическую бирку:</w:t>
            </w:r>
          </w:p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1. «КТПН 250/10 кВ Авар запас»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6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Транспортная маркировка грузов - по ГОСТ 14192-96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10.4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транспортировании КТП категории размещения 1 без упаковки все проемы должны быть закрыты заглушками и защищены от попадания атмосферных осадков. Должна быть исключена возможность открывания дверей и крышек с целью защиты бьющихся и легко снимаемых частей.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46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10.5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неокрашенные металлические поверхности (винты, таблички, замки, ручки проводов и др.) должны быть подвергнуты консервации по ГОСТ 23216-78.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2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10.6.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окраске всех узлов и деталей корпуса КТП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Окраску всех узлов и деталей корпуса КТПН выполнить с учетом устойчивости к коррозии, выцветанию и воздействиям внешней среды на весь период гарантийной эксплуатации (цвет Серый)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10.7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хранения по ГОСТ 15150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8ОЖ3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65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10.8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транспортирования согласно ГОСТ 23216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Жесткие (Ж)</w:t>
            </w:r>
          </w:p>
          <w:p>
            <w:pPr>
              <w:pStyle w:val="Normal"/>
              <w:widowControl w:val="false"/>
              <w:ind w:left="72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17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эксплуатации, обеспечению и утилизации: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-//-</w:t>
            </w:r>
          </w:p>
        </w:tc>
      </w:tr>
      <w:tr>
        <w:trPr>
          <w:trHeight w:val="190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Эксплуатация монтаж оборудования КТПН должно соответствовать требованиям Правилам технической эксплуатации электрических сетей, Правилам организации технического обслуживания и ремонта объектов электроэнергетики, Правилам устройств электроустановок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2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в заводской документации требований по мерам безопасности, перечня составных частей и методов утилизации изделий, представляющих опасность для жизни, здоровью людей и окружающей среды после окончания срока службы КТПН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72" w:hanging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6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обслуживанию: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-//-</w:t>
            </w:r>
          </w:p>
        </w:tc>
      </w:tr>
      <w:tr>
        <w:trPr>
          <w:trHeight w:val="153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 эксплуатации КТПН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60 месяцев с момента ввода в эксплуатацию, но не более 66 месяцев с момента поставки.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12.2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сервисных центров на территории РФ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06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12.3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Гарантии распространяются на все поставляемое оборудование.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гарантийного срока должна быть обеспечена безвозмездная замена или ремонт вышедшего из строя оборудования, включая его доставку туда и обратно. Доставка неисправного оборудования в сервисный центр для проведения ремонта и возвращение исправного, после ремонта, оборудования Поставщик осуществляет за свой счет.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13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продукцией: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>
        <w:trPr>
          <w:trHeight w:val="284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13.1</w:t>
            </w:r>
          </w:p>
        </w:tc>
        <w:tc>
          <w:tcPr>
            <w:tcW w:w="4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Документация на комплектующую аппаратуру, подвергающуюся наладке и ремонту в процессе эксплуатации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техническими условиями на конкретные типы аппаратуры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outlineLvl w:val="2"/>
              <w:rPr>
                <w:sz w:val="24"/>
                <w:szCs w:val="24"/>
              </w:rPr>
            </w:pPr>
            <w:bookmarkStart w:id="75" w:name="__RefHeading___Toc98332_4125836466"/>
            <w:bookmarkEnd w:id="75"/>
            <w:r>
              <w:rPr>
                <w:rFonts w:eastAsia="Calibri"/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4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13.2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Схемы электрические принципиальные и схемы электрических соединений, сборочный чертеж КТПН, чертеж сборно-разборного фундамента, экз.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4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13.3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Эксплуатационная документация по ГОСТ  Р 2.601-2019, экз.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4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13.4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Ведомость ЗИП.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-Комплект электрозащитных средств (диэлектрические коврики, клещи для снятия предохранителей с выключателя нагрузки ВНА, диэлектрические перчатки) и первичных средств пожаротушения;   -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предохранителей ВН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A6A6A6"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Приложить перечень ЗИП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4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14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соблюдению положений нормативной и иной обязательной для поставщика документации: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4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14.1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 всем неоговоренном КТП и встраиваемое оборудование должны соответствовать требованиям ПУЭ, ГОСТ 14695-80, ГОСТ 14693-90, ГОСТ 11920-85, ГОСТ 11677-85, ГОСТ 1516.3-96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4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15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договора: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4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15.1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представителей заказчика в приемо-сдаточных испытаний КТП на заводе-изготовителе.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4" w:hRule="atLeast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15.2</w:t>
            </w:r>
          </w:p>
        </w:tc>
        <w:tc>
          <w:tcPr>
            <w:tcW w:w="41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представителя завода изготовителя (поставщика) в проверке качества и комплектности поставляемой КТП.</w:t>
            </w:r>
          </w:p>
        </w:tc>
        <w:tc>
          <w:tcPr>
            <w:tcW w:w="3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color w:val="A6A6A6"/>
                <w:sz w:val="24"/>
                <w:szCs w:val="24"/>
              </w:rPr>
            </w:pPr>
            <w:r>
              <w:rPr>
                <w:i/>
                <w:color w:val="A6A6A6"/>
                <w:sz w:val="24"/>
                <w:szCs w:val="24"/>
              </w:rPr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spacing w:before="240" w:after="60"/>
        <w:rPr/>
      </w:pPr>
      <w:r>
        <w:rPr>
          <w:i/>
          <w:iCs/>
          <w:sz w:val="24"/>
          <w:szCs w:val="24"/>
        </w:rPr>
        <w:t xml:space="preserve">Примечание 1: </w:t>
      </w:r>
      <w:r>
        <w:rPr>
          <w:iCs/>
          <w:sz w:val="24"/>
          <w:szCs w:val="24"/>
        </w:rPr>
        <w:t>В случае если какой-либо из указанных в настоящих Технических требованиях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rPr>
          <w:i/>
          <w:i/>
          <w:iCs/>
          <w:sz w:val="24"/>
          <w:szCs w:val="24"/>
        </w:rPr>
      </w:pPr>
      <w:r>
        <w:rPr>
          <w:i/>
          <w:iCs/>
          <w:sz w:val="24"/>
          <w:szCs w:val="24"/>
        </w:rPr>
      </w:r>
    </w:p>
    <w:p>
      <w:pPr>
        <w:pStyle w:val="Normal"/>
        <w:rPr/>
      </w:pPr>
      <w:r>
        <w:rPr>
          <w:i/>
          <w:iCs/>
          <w:sz w:val="24"/>
          <w:szCs w:val="24"/>
        </w:rPr>
        <w:t>* Примечание 2: «</w:t>
      </w:r>
      <w:r>
        <w:rPr>
          <w:sz w:val="24"/>
        </w:rPr>
        <w:t>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требований. 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эксплуатации.»</w:t>
      </w:r>
    </w:p>
    <w:p>
      <w:pPr>
        <w:pStyle w:val="Normal"/>
        <w:spacing w:before="0" w:after="6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before="0" w:after="60"/>
        <w:rPr/>
      </w:pPr>
      <w:r>
        <w:rPr>
          <w:b/>
          <w:sz w:val="24"/>
          <w:szCs w:val="24"/>
        </w:rPr>
        <w:t>3. Требования к предоставлению документов в составе заявки.</w:t>
      </w:r>
    </w:p>
    <w:p>
      <w:pPr>
        <w:pStyle w:val="Normal"/>
        <w:spacing w:lineRule="auto" w:line="276"/>
        <w:jc w:val="both"/>
        <w:rPr/>
      </w:pPr>
      <w:r>
        <w:rPr>
          <w:sz w:val="24"/>
          <w:szCs w:val="24"/>
        </w:rPr>
        <w:t xml:space="preserve"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 </w:t>
      </w:r>
    </w:p>
    <w:p>
      <w:pPr>
        <w:pStyle w:val="Normal"/>
        <w:spacing w:lineRule="auto" w:line="276"/>
        <w:jc w:val="both"/>
        <w:rPr/>
      </w:pPr>
      <w:r>
        <w:rPr>
          <w:sz w:val="24"/>
          <w:szCs w:val="24"/>
        </w:rPr>
        <w:t>3.1. Техническое предложение, подготовленное в соответствии с настоящими ТТ по форме, представленной в документации о закупке. При описании продукции Участник обязан подтвердить соответствие поставляемой продукции требованиям в отношении всех показателей, которые установлены в ТТ. При этом должны указываться точные и не допускающие двусмысленного толкования показатели;</w:t>
      </w:r>
    </w:p>
    <w:p>
      <w:pPr>
        <w:pStyle w:val="Normal"/>
        <w:spacing w:lineRule="auto" w:line="276"/>
        <w:jc w:val="both"/>
        <w:rPr/>
      </w:pPr>
      <w:r>
        <w:rPr>
          <w:sz w:val="24"/>
          <w:szCs w:val="24"/>
        </w:rPr>
        <w:t>3.2. В соответствии с Федеральным Законом от 27.12.2002 г. № 184-ФЗ «О техническом регулировании», Постановлением Правительства РФ от 23.12.2021 N 2425 "Об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 в составе заявки предоставить:</w:t>
      </w:r>
    </w:p>
    <w:p>
      <w:pPr>
        <w:pStyle w:val="Normal"/>
        <w:spacing w:lineRule="auto" w:line="276"/>
        <w:jc w:val="both"/>
        <w:rPr/>
      </w:pPr>
      <w:r>
        <w:rPr>
          <w:sz w:val="24"/>
          <w:szCs w:val="24"/>
        </w:rPr>
        <w:t>а) Копию Декларации о соответствии на «КТП» о соответствии требованиям ГОСТ 14695-80, ГОСТ 1516.3-96 (с приложением протоколов исследований (испытаний), с положительным результатом, проведенных в аккредитованной в установленном порядке испытательной лаборатории (центре), сертификатов системы качества изготовителя, выданные органом по сертификации, аккредитованным в установленном порядке, на основании которых эта декларация принята.)</w:t>
      </w:r>
    </w:p>
    <w:p>
      <w:pPr>
        <w:pStyle w:val="Normal"/>
        <w:spacing w:lineRule="auto" w:line="276"/>
        <w:jc w:val="both"/>
        <w:rPr/>
      </w:pPr>
      <w:r>
        <w:rPr>
          <w:sz w:val="24"/>
          <w:szCs w:val="24"/>
        </w:rPr>
        <w:t xml:space="preserve">б) Копию Декларации о соответствии на «силовые трансформаторы» о соответствии требованиям ГОСТ 1516.3-96, ГОСТ 12.2.007.2-75; ГОСТ 12.2.024 – 87, ГОСТ Р 52719-2007 (с приложением протоколов исследований (испытаний), с положительным результатом, проведенных в аккредитованной в установленном порядке испытательной лаборатории (центре), сертификатов системы качества изготовителя, выданные органом по сертификации, аккредитованным в установленном порядке, на основании которых эта декларация принята). 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в) Копию Декларации о соответствии на «КСО» о соответствии требованиям ГОСТ 12.2.007.4-75; ГОСТ 1516.3-96 (с приложением протоколов исследований (испытаний), с положительным результатом, проведенных в аккредитованной в установленном порядке испытательной лаборатории (центре), сертификатов системы качества изготовителя, выданные органом по сертификации, аккредитованным в установленном порядке, на основании которых эта декларация принята).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Декларации о соответствии, должны иметь электронную регистрацию в едином реестре деклараций на сайте https://fsa.gov.ru/ (требование п.6 ст.24 ФЗ-184), статус действующего документа.</w:t>
      </w:r>
    </w:p>
    <w:p>
      <w:pPr>
        <w:pStyle w:val="Normal"/>
        <w:spacing w:lineRule="auto" w:line="276"/>
        <w:jc w:val="both"/>
        <w:rPr/>
      </w:pPr>
      <w:r>
        <w:rPr>
          <w:sz w:val="24"/>
          <w:szCs w:val="24"/>
        </w:rPr>
        <w:t>3.3. Габаритные и установочные чертежи, чертежи компоновки оборудования (участник разрабатывает и предоставляет самостоятельно);</w:t>
      </w:r>
    </w:p>
    <w:p>
      <w:pPr>
        <w:pStyle w:val="Normal"/>
        <w:spacing w:lineRule="auto" w:line="276"/>
        <w:jc w:val="both"/>
        <w:rPr/>
      </w:pPr>
      <w:r>
        <w:rPr>
          <w:sz w:val="24"/>
          <w:szCs w:val="24"/>
        </w:rPr>
        <w:t>3.4. Руководство (инструкцию) по эксплуатации на КТП, РУНН (ЩО), РУВН (КСО), силовые трансформаторы (ТМГ);</w:t>
      </w:r>
    </w:p>
    <w:p>
      <w:pPr>
        <w:pStyle w:val="Normal"/>
        <w:spacing w:lineRule="auto" w:line="276"/>
        <w:jc w:val="both"/>
        <w:rPr/>
      </w:pPr>
      <w:r>
        <w:rPr>
          <w:sz w:val="24"/>
          <w:szCs w:val="24"/>
        </w:rPr>
        <w:t>3.5. Протоколы испытаний, проведенных в аккредитованной испытательной лаборатории, подтверждающих соответствие оборудования требованиям по сейсмостойкости по шкале MSK-64 (СП 14.13330.2018 «Свод правил строительства в сейсмических районах») на трансформаторные подстанции и силовые трансформаторы;</w:t>
      </w:r>
    </w:p>
    <w:p>
      <w:pPr>
        <w:pStyle w:val="Normal"/>
        <w:spacing w:lineRule="auto" w:line="276"/>
        <w:jc w:val="both"/>
        <w:rPr/>
      </w:pPr>
      <w:r>
        <w:rPr>
          <w:sz w:val="24"/>
          <w:szCs w:val="24"/>
        </w:rPr>
        <w:t>3.6. Копию паспорта изделия на ранее изготовленную продукцию (КТП);</w:t>
      </w:r>
    </w:p>
    <w:p>
      <w:pPr>
        <w:pStyle w:val="Normal"/>
        <w:spacing w:lineRule="auto" w:line="276"/>
        <w:jc w:val="both"/>
        <w:rPr/>
      </w:pPr>
      <w:r>
        <w:rPr>
          <w:sz w:val="24"/>
          <w:szCs w:val="24"/>
        </w:rPr>
        <w:t>3.7. Схема электрическая принципиальная (участник разрабатывает и предоставляет самостоятельно);</w:t>
      </w:r>
    </w:p>
    <w:p>
      <w:pPr>
        <w:pStyle w:val="Normal"/>
        <w:spacing w:lineRule="auto" w:line="276"/>
        <w:jc w:val="both"/>
        <w:rPr/>
      </w:pPr>
      <w:r>
        <w:rPr>
          <w:sz w:val="24"/>
          <w:szCs w:val="24"/>
        </w:rPr>
        <w:t>3.8. Сертификат (свидетельство) об утверждении типа средств измерений на приборы учета и трансформаторы тока, в соответствии с Федеральным Законом от 26.06.2008 г. № 102-ФЗ «Об обеспечении единства измерений», применяемые в сфере государственного регулирования, должны иметь действующее «Свидетельство об утверждении типа».</w:t>
      </w:r>
    </w:p>
    <w:p>
      <w:pPr>
        <w:pStyle w:val="Normal"/>
        <w:spacing w:lineRule="auto" w:line="276"/>
        <w:jc w:val="both"/>
        <w:rPr/>
      </w:pPr>
      <w:r>
        <w:rPr>
          <w:sz w:val="24"/>
          <w:szCs w:val="24"/>
        </w:rPr>
        <w:t>3.9. Отсканированную копию технических условий (полный текст), в соответствии с которыми изготавливаются КТП, РУНН (ЩО), РУВН (КСО), силовые трансформаторы (ТМГ);</w:t>
      </w:r>
    </w:p>
    <w:p>
      <w:pPr>
        <w:pStyle w:val="Normal"/>
        <w:spacing w:lineRule="auto" w:line="276"/>
        <w:jc w:val="both"/>
        <w:rPr/>
      </w:pPr>
      <w:r>
        <w:rPr>
          <w:sz w:val="24"/>
          <w:szCs w:val="24"/>
        </w:rPr>
        <w:t>3.10. Техническое описание КТП и встроенного оборудования (ячейки 6-10 кВ, панели 0,4 кВ, силовой трансформатор): общая информация, расшифровка условного обозначения, назначение и область применения, описание конструкции, основные параметры и технические характеристики, комплектность поставки.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3.11. Действующий Сертификат соответствия панелей ЩО требованиям Технического регламента Таможенного союза ТР ТС 004/2011 «О безопасности низковольтного оборудования» с приложением протокола испытаний, на основании которого был выдан сертификат.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 В составе заявки необходимо представить: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4.1. Документы и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(далее - Постановление № 1875) или гарантийное письмо (в соответствии с разъяснением Министерства Финансов РФ от 31.01.2025 №24-01-06/8697) о представлении поставщиком информации и документов, подтверждающих страну происхождения товара в соответствии с требованиями Постановления № 1875 до момента поставки товара заказчику (указанные требования должны быть отражены в гарантийном письме). ".</w:t>
      </w:r>
    </w:p>
    <w:p>
      <w:pPr>
        <w:pStyle w:val="Normal"/>
        <w:spacing w:before="0" w:after="60"/>
        <w:rPr>
          <w:color w:val="FFFFFF" w:themeColor="background1"/>
          <w:sz w:val="24"/>
          <w:szCs w:val="24"/>
        </w:rPr>
      </w:pPr>
      <w:r>
        <w:rPr>
          <w:color w:val="FFFFFF" w:themeColor="background1"/>
          <w:sz w:val="24"/>
          <w:szCs w:val="24"/>
        </w:rPr>
      </w:r>
    </w:p>
    <w:p>
      <w:pPr>
        <w:pStyle w:val="Normal"/>
        <w:spacing w:before="0" w:after="6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spacing w:before="0" w:after="6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0"/>
        </w:numPr>
        <w:ind w:left="0" w:hanging="0"/>
        <w:jc w:val="both"/>
        <w:outlineLvl w:val="0"/>
        <w:rPr/>
      </w:pPr>
      <w:bookmarkStart w:id="76" w:name="__RefHeading___Toc28606_3473696645"/>
      <w:bookmarkStart w:id="77" w:name="_Toc149029451"/>
      <w:bookmarkEnd w:id="76"/>
      <w:r>
        <w:rPr>
          <w:b/>
          <w:sz w:val="24"/>
          <w:szCs w:val="24"/>
        </w:rPr>
        <w:t>5. Требования к документации по ценообразованию на этапе закупки</w:t>
      </w:r>
      <w:bookmarkEnd w:id="77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eastAsia="Calibri"/>
          <w:vanish/>
          <w:sz w:val="24"/>
          <w:szCs w:val="24"/>
        </w:rPr>
      </w:pPr>
      <w:r>
        <w:rPr>
          <w:rFonts w:eastAsia="Calibri"/>
          <w:vanish/>
          <w:sz w:val="24"/>
          <w:szCs w:val="24"/>
        </w:rPr>
      </w:r>
    </w:p>
    <w:p>
      <w:pPr>
        <w:pStyle w:val="Normal"/>
        <w:jc w:val="both"/>
        <w:rPr/>
      </w:pPr>
      <w:r>
        <w:rPr>
          <w:rFonts w:eastAsia="Calibri"/>
          <w:sz w:val="24"/>
          <w:szCs w:val="24"/>
        </w:rPr>
        <w:t xml:space="preserve">5.1.   В обоснование стоимости своей заявки Участник предоставляет Коммерческое предложение по форме </w:t>
      </w:r>
      <w:bookmarkStart w:id="78" w:name="_Hlk88325985"/>
      <w:r>
        <w:rPr>
          <w:rFonts w:eastAsia="Calibri"/>
          <w:sz w:val="24"/>
          <w:szCs w:val="24"/>
        </w:rPr>
        <w:t>(с учетом прилагаемой к ней инструкции по заполнению)</w:t>
      </w:r>
      <w:bookmarkEnd w:id="78"/>
      <w:r>
        <w:rPr>
          <w:rFonts w:eastAsia="Calibri"/>
          <w:sz w:val="24"/>
          <w:szCs w:val="24"/>
        </w:rPr>
        <w:t>, приведенной в Документации о закупке.</w:t>
      </w:r>
      <w:bookmarkStart w:id="79" w:name="_Hlk88327292"/>
    </w:p>
    <w:p>
      <w:pPr>
        <w:pStyle w:val="Normal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both"/>
        <w:rPr/>
      </w:pPr>
      <w:r>
        <w:rPr>
          <w:rFonts w:eastAsia="Calibri"/>
          <w:sz w:val="24"/>
          <w:szCs w:val="24"/>
        </w:rPr>
        <w:t>5.2.   Дополнительные документы по ценообразованию</w:t>
      </w:r>
      <w:bookmarkEnd w:id="79"/>
      <w:r>
        <w:rPr>
          <w:rFonts w:eastAsia="Calibri"/>
          <w:sz w:val="24"/>
          <w:szCs w:val="24"/>
        </w:rPr>
        <w:t xml:space="preserve"> в состав заявки не включаются.</w:t>
      </w:r>
    </w:p>
    <w:p>
      <w:pPr>
        <w:pStyle w:val="Normal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>5.3.   Стоимость за единицу продукции (товара) должна включать в себя погрузку, транспортировку товара до места поставки, подлежащие уплате налоги, сборы и пошлины и прочие затраты, и расходы поставщика, связанные с поставкой товара, предусмотренные Проектом договора (Приложение к Документации о закупке).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6.  Приложения к техническим требованиям: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6.1. Приложение Однолинейная схема, компоновочный чертеж, сборно-разборный фундамент.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/>
        <w:drawing>
          <wp:inline distT="0" distB="0" distL="0" distR="0">
            <wp:extent cx="6190615" cy="8616950"/>
            <wp:effectExtent l="0" t="0" r="0" b="0"/>
            <wp:docPr id="3" name="Изображение5 Копия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5 Копия 1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615" cy="861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6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bookmarkStart w:id="80" w:name="__DdeLink__286596_2807337015"/>
      <w:bookmarkStart w:id="81" w:name="__DdeLink__286596_2807337015"/>
      <w:bookmarkEnd w:id="81"/>
    </w:p>
    <w:p>
      <w:pPr>
        <w:pStyle w:val="Normal"/>
        <w:spacing w:before="0" w:after="60"/>
        <w:jc w:val="right"/>
        <w:rPr>
          <w:sz w:val="24"/>
          <w:szCs w:val="24"/>
        </w:rPr>
      </w:pPr>
      <w:r>
        <w:rPr>
          <w:sz w:val="24"/>
          <w:szCs w:val="24"/>
        </w:rP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299835" cy="4451985"/>
            <wp:effectExtent l="0" t="0" r="0" b="0"/>
            <wp:wrapSquare wrapText="bothSides"/>
            <wp:docPr id="4" name="Изображение5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50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451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60"/>
        <w:jc w:val="right"/>
        <w:rPr/>
      </w:pPr>
      <w:r>
        <w:rPr/>
      </w:r>
    </w:p>
    <w:p>
      <w:pPr>
        <w:pStyle w:val="Normal"/>
        <w:spacing w:before="0" w:after="60"/>
        <w:jc w:val="right"/>
        <w:rPr/>
      </w:pPr>
      <w:r>
        <w:rPr/>
      </w:r>
    </w:p>
    <w:p>
      <w:pPr>
        <w:pStyle w:val="Normal"/>
        <w:spacing w:before="0" w:after="60"/>
        <w:jc w:val="right"/>
        <w:rPr/>
      </w:pPr>
      <w:r>
        <w:rPr/>
      </w:r>
    </w:p>
    <w:p>
      <w:pPr>
        <w:pStyle w:val="Normal"/>
        <w:spacing w:before="0" w:after="60"/>
        <w:jc w:val="right"/>
        <w:rPr/>
      </w:pPr>
      <w:r>
        <w:rPr/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299835" cy="8908415"/>
            <wp:effectExtent l="0" t="0" r="0" b="0"/>
            <wp:wrapSquare wrapText="bothSides"/>
            <wp:docPr id="5" name="Изображение58 Копия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8 Копия 1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0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60"/>
        <w:jc w:val="right"/>
        <w:rPr/>
      </w:pPr>
      <w:r>
        <w:rPr/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299835" cy="8908415"/>
            <wp:effectExtent l="0" t="0" r="0" b="0"/>
            <wp:wrapSquare wrapText="bothSides"/>
            <wp:docPr id="6" name="Изображение5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57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0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299835" cy="8908415"/>
            <wp:effectExtent l="0" t="0" r="0" b="0"/>
            <wp:wrapSquare wrapText="bothSides"/>
            <wp:docPr id="7" name="Изображение5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58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0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299835" cy="8908415"/>
            <wp:effectExtent l="0" t="0" r="0" b="0"/>
            <wp:wrapSquare wrapText="bothSides"/>
            <wp:docPr id="8" name="Изображение48 Копия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48 Копия 1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08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even" r:id="rId13"/>
      <w:headerReference w:type="default" r:id="rId14"/>
      <w:headerReference w:type="first" r:id="rId15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4" wp14:anchorId="0E96CCC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96CCCF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 wp14:anchorId="743E03C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9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743E03CF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32</w:t>
    </w:r>
    <w:r>
      <w:rPr/>
      <w:fldChar w:fldCharType="end"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66" w:hanging="648"/>
      </w:pPr>
      <w:rPr>
        <w:i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5149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left="5038" w:hanging="36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numPr>
        <w:ilvl w:val="0"/>
      </w:numPr>
      <w:ind w:left="432" w:hanging="432"/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ind w:left="1224" w:hanging="504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uiPriority w:val="99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7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5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3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ascii="Calibri" w:hAnsi="Calibri" w:eastAsia="Calibri" w:cs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1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ConsPlusNormal" w:customStyle="1">
    <w:name w:val="ConsPlusNormal Знак"/>
    <w:link w:val="ConsPlusNormal1"/>
    <w:qFormat/>
    <w:rsid w:val="008532d7"/>
    <w:rPr>
      <w:rFonts w:ascii="Arial" w:hAnsi="Arial" w:cs="Arial"/>
    </w:rPr>
  </w:style>
  <w:style w:type="character" w:styleId="My" w:customStyle="1">
    <w:name w:val="my Знак"/>
    <w:link w:val="My1"/>
    <w:qFormat/>
    <w:locked/>
    <w:rsid w:val="005e650b"/>
    <w:rPr>
      <w:b/>
      <w:sz w:val="28"/>
      <w:szCs w:val="28"/>
    </w:rPr>
  </w:style>
  <w:style w:type="character" w:styleId="S0" w:customStyle="1">
    <w:name w:val="s0"/>
    <w:qFormat/>
    <w:rsid w:val="005e650b"/>
    <w:rPr>
      <w:rFonts w:ascii="Times New Roman" w:hAnsi="Times New Roman" w:cs="Times New Roman"/>
      <w:b w:val="false"/>
      <w:bCs w:val="false"/>
      <w:i w:val="false"/>
      <w:iCs w:val="false"/>
      <w:strike w:val="false"/>
      <w:dstrike w:val="false"/>
      <w:color w:val="000000"/>
      <w:sz w:val="22"/>
      <w:szCs w:val="22"/>
      <w:u w:val="none"/>
      <w:effect w:val="none"/>
    </w:rPr>
  </w:style>
  <w:style w:type="character" w:styleId="Style14" w:customStyle="1">
    <w:name w:val="Текст Знак"/>
    <w:basedOn w:val="DefaultParagraphFont"/>
    <w:link w:val="PlainText"/>
    <w:qFormat/>
    <w:rsid w:val="005e650b"/>
    <w:rPr>
      <w:rFonts w:cs="Courier New"/>
    </w:rPr>
  </w:style>
  <w:style w:type="character" w:styleId="Style15" w:customStyle="1">
    <w:name w:val="Основной текст с отступом Знак"/>
    <w:qFormat/>
    <w:rsid w:val="005e650b"/>
    <w:rPr>
      <w:sz w:val="24"/>
      <w:szCs w:val="24"/>
    </w:rPr>
  </w:style>
  <w:style w:type="character" w:styleId="14" w:customStyle="1">
    <w:name w:val="Пункт Знак1"/>
    <w:link w:val="Style30"/>
    <w:qFormat/>
    <w:rsid w:val="005e650b"/>
    <w:rPr>
      <w:rFonts w:ascii="Arial" w:hAnsi="Arial"/>
      <w:b/>
      <w:i/>
      <w:sz w:val="28"/>
    </w:rPr>
  </w:style>
  <w:style w:type="character" w:styleId="Style16" w:customStyle="1">
    <w:name w:val="Нижний колонтитул Знак"/>
    <w:uiPriority w:val="99"/>
    <w:qFormat/>
    <w:rsid w:val="005e650b"/>
    <w:rPr>
      <w:sz w:val="28"/>
      <w:szCs w:val="28"/>
    </w:rPr>
  </w:style>
  <w:style w:type="character" w:styleId="Viewb" w:customStyle="1">
    <w:name w:val="view_b"/>
    <w:qFormat/>
    <w:rsid w:val="005e650b"/>
    <w:rPr/>
  </w:style>
  <w:style w:type="character" w:styleId="Style17" w:customStyle="1">
    <w:name w:val="Ссылка указателя"/>
    <w:qFormat/>
    <w:rPr/>
  </w:style>
  <w:style w:type="character" w:styleId="Style18" w:customStyle="1">
    <w:name w:val="Символ нумерации"/>
    <w:qFormat/>
    <w:rPr>
      <w:rFonts w:ascii="Times New Roman" w:hAnsi="Times New Roman"/>
      <w:b w:val="false"/>
      <w:bCs w:val="false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11111" w:customStyle="1">
    <w:name w:val="index heading1111111111"/>
    <w:basedOn w:val="Title"/>
    <w:qFormat/>
    <w:pPr/>
    <w:rPr/>
  </w:style>
  <w:style w:type="paragraph" w:styleId="15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</w:rPr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111111111" w:customStyle="1">
    <w:name w:val="index heading11111111111"/>
    <w:basedOn w:val="15"/>
    <w:qFormat/>
    <w:pPr/>
    <w:rPr/>
  </w:style>
  <w:style w:type="paragraph" w:styleId="Style21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2" w:customStyle="1">
    <w:name w:val="Раздел положения"/>
    <w:basedOn w:val="Normal"/>
    <w:autoRedefine/>
    <w:qFormat/>
    <w:rsid w:val="007475ee"/>
    <w:pPr>
      <w:tabs>
        <w:tab w:val="clear" w:pos="708"/>
        <w:tab w:val="left" w:pos="360" w:leader="none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styleId="Style23" w:customStyle="1">
    <w:name w:val="Подраздел раздела положения"/>
    <w:basedOn w:val="Normal"/>
    <w:autoRedefine/>
    <w:qFormat/>
    <w:rsid w:val="007475ee"/>
    <w:pPr>
      <w:tabs>
        <w:tab w:val="clear" w:pos="708"/>
        <w:tab w:val="left" w:pos="357" w:leader="none"/>
      </w:tabs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6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7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5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6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5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9d03e4"/>
    <w:pPr>
      <w:tabs>
        <w:tab w:val="clear" w:pos="708"/>
        <w:tab w:val="right" w:pos="9911" w:leader="dot"/>
      </w:tabs>
      <w:spacing w:before="120" w:after="0"/>
    </w:pPr>
    <w:rPr>
      <w:rFonts w:cs="Calibri Light (Заголовки)"/>
      <w:b w:val="false"/>
      <w:bCs w:val="false"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fa2d9c"/>
    <w:pPr>
      <w:tabs>
        <w:tab w:val="clear" w:pos="708"/>
        <w:tab w:val="left" w:pos="1120" w:leader="none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6" w:customStyle="1">
    <w:name w:val="Раздел регламента"/>
    <w:basedOn w:val="Normal"/>
    <w:qFormat/>
    <w:rsid w:val="00e228fa"/>
    <w:pPr/>
    <w:rPr/>
  </w:style>
  <w:style w:type="paragraph" w:styleId="Style27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934fd"/>
    <w:pPr>
      <w:tabs>
        <w:tab w:val="clear" w:pos="708"/>
        <w:tab w:val="right" w:pos="9921" w:leader="dot"/>
      </w:tabs>
      <w:ind w:left="560" w:hanging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8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1111" w:customStyle="1">
    <w:name w:val="caption1111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link w:val="Style7"/>
    <w:qFormat/>
    <w:pPr>
      <w:spacing w:lineRule="auto" w:line="276" w:before="0" w:after="200"/>
      <w:ind w:left="72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</w:rPr>
  </w:style>
  <w:style w:type="paragraph" w:styleId="Style29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tabs>
        <w:tab w:val="clear" w:pos="708"/>
        <w:tab w:val="left" w:pos="1233" w:leader="none"/>
      </w:tabs>
      <w:ind w:left="1233" w:hanging="360"/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tabs>
        <w:tab w:val="clear" w:pos="708"/>
        <w:tab w:val="left" w:pos="513" w:leader="none"/>
      </w:tabs>
      <w:spacing w:before="120" w:after="0"/>
      <w:ind w:left="513" w:hanging="36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1" w:customStyle="1">
    <w:name w:val="ConsPlusNormal"/>
    <w:link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0" w:customStyle="1">
    <w:name w:val="Пункт"/>
    <w:basedOn w:val="Normal"/>
    <w:link w:val="14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1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32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3" w:customStyle="1">
    <w:name w:val="Подподпункт"/>
    <w:basedOn w:val="Style25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</w:rPr>
  </w:style>
  <w:style w:type="paragraph" w:styleId="Style34" w:customStyle="1">
    <w:name w:val="УРОВЕНЬ_(а)"/>
    <w:basedOn w:val="ListParagraph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1985" w:hanging="567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2268" w:hanging="567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1701" w:hanging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0" w:hanging="0"/>
      <w:contextualSpacing w:val="false"/>
      <w:jc w:val="both"/>
    </w:pPr>
    <w:rPr>
      <w:sz w:val="26"/>
      <w:szCs w:val="28"/>
      <w:lang w:eastAsia="en-US"/>
    </w:rPr>
  </w:style>
  <w:style w:type="paragraph" w:styleId="Style35" w:customStyle="1">
    <w:name w:val="УРОВЕНЬ_Подпись"/>
    <w:basedOn w:val="ListParagraph"/>
    <w:qFormat/>
    <w:rsid w:val="00b56f46"/>
    <w:pPr>
      <w:keepNext w:val="true"/>
      <w:tabs>
        <w:tab w:val="clear" w:pos="708"/>
        <w:tab w:val="left" w:pos="0" w:leader="none"/>
      </w:tabs>
      <w:spacing w:lineRule="exact" w:line="360" w:before="120" w:after="120"/>
      <w:ind w:left="1134" w:hanging="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tabs>
        <w:tab w:val="clear" w:pos="708"/>
        <w:tab w:val="left" w:pos="0" w:leader="none"/>
      </w:tabs>
      <w:spacing w:before="120" w:after="120"/>
      <w:ind w:left="1429" w:hanging="360"/>
      <w:jc w:val="both"/>
      <w:outlineLvl w:val="0"/>
    </w:pPr>
    <w:rPr>
      <w:b/>
      <w:kern w:val="2"/>
      <w:sz w:val="24"/>
      <w:szCs w:val="20"/>
    </w:rPr>
  </w:style>
  <w:style w:type="paragraph" w:styleId="Style36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1" w:customStyle="1">
    <w:name w:val="УРОВЕНЬ_1."/>
    <w:basedOn w:val="ListParagraph"/>
    <w:link w:val="12"/>
    <w:qFormat/>
    <w:rsid w:val="004a17ae"/>
    <w:pPr>
      <w:keepNext w:val="true"/>
      <w:keepLines/>
      <w:spacing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Headertext" w:customStyle="1">
    <w:name w:val="headertext"/>
    <w:basedOn w:val="Normal"/>
    <w:qFormat/>
    <w:rsid w:val="00c93b90"/>
    <w:pPr>
      <w:spacing w:beforeAutospacing="1" w:afterAutospacing="1"/>
    </w:pPr>
    <w:rPr>
      <w:sz w:val="24"/>
      <w:szCs w:val="24"/>
    </w:rPr>
  </w:style>
  <w:style w:type="paragraph" w:styleId="Formattext" w:customStyle="1">
    <w:name w:val="formattext"/>
    <w:basedOn w:val="Normal"/>
    <w:qFormat/>
    <w:rsid w:val="00c93b90"/>
    <w:pPr>
      <w:spacing w:beforeAutospacing="1" w:afterAutospacing="1"/>
    </w:pPr>
    <w:rPr>
      <w:sz w:val="24"/>
      <w:szCs w:val="24"/>
    </w:rPr>
  </w:style>
  <w:style w:type="paragraph" w:styleId="ListNum" w:customStyle="1">
    <w:name w:val="ListNum"/>
    <w:qFormat/>
    <w:rsid w:val="00893936"/>
    <w:pPr>
      <w:widowControl w:val="false"/>
      <w:tabs>
        <w:tab w:val="clear" w:pos="708"/>
        <w:tab w:val="left" w:pos="284" w:leader="none"/>
        <w:tab w:val="left" w:pos="1260" w:leader="none"/>
      </w:tabs>
      <w:suppressAutoHyphens w:val="true"/>
      <w:bidi w:val="0"/>
      <w:spacing w:before="60" w:after="0"/>
      <w:jc w:val="both"/>
    </w:pPr>
    <w:rPr>
      <w:rFonts w:ascii="Times New Roman" w:hAnsi="Times New Roman" w:eastAsia="Times New Roman" w:cs="Times New Roman"/>
      <w:color w:val="000000"/>
      <w:kern w:val="0"/>
      <w:sz w:val="22"/>
      <w:szCs w:val="22"/>
      <w:u w:val="none" w:color="000000"/>
      <w:lang w:val="ru-RU" w:eastAsia="ru-RU" w:bidi="ar-SA"/>
    </w:rPr>
  </w:style>
  <w:style w:type="paragraph" w:styleId="Default" w:customStyle="1">
    <w:name w:val="Default"/>
    <w:qFormat/>
    <w:rsid w:val="008449f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7" w:customStyle="1">
    <w:name w:val="Пункт б/н"/>
    <w:basedOn w:val="Normal"/>
    <w:qFormat/>
    <w:rsid w:val="00887cdc"/>
    <w:pPr>
      <w:tabs>
        <w:tab w:val="clear" w:pos="708"/>
        <w:tab w:val="left" w:pos="1134" w:leader="none"/>
      </w:tabs>
      <w:spacing w:lineRule="auto" w:line="360"/>
      <w:ind w:firstLine="567"/>
      <w:jc w:val="both"/>
    </w:pPr>
    <w:rPr>
      <w:szCs w:val="20"/>
    </w:rPr>
  </w:style>
  <w:style w:type="paragraph" w:styleId="Style38" w:customStyle="1">
    <w:name w:val="Пункт Знак"/>
    <w:basedOn w:val="Normal"/>
    <w:qFormat/>
    <w:rsid w:val="005e650b"/>
    <w:pPr>
      <w:tabs>
        <w:tab w:val="clear" w:pos="708"/>
        <w:tab w:val="left" w:pos="567" w:leader="none"/>
        <w:tab w:val="left" w:pos="851" w:leader="none"/>
        <w:tab w:val="left" w:pos="1134" w:leader="none"/>
      </w:tabs>
      <w:snapToGrid w:val="false"/>
      <w:spacing w:lineRule="auto" w:line="360"/>
      <w:ind w:left="567" w:hanging="567"/>
      <w:jc w:val="both"/>
    </w:pPr>
    <w:rPr>
      <w:szCs w:val="20"/>
    </w:rPr>
  </w:style>
  <w:style w:type="paragraph" w:styleId="Style39" w:customStyle="1">
    <w:name w:val="Подподподпункт"/>
    <w:basedOn w:val="Normal"/>
    <w:qFormat/>
    <w:rsid w:val="005e650b"/>
    <w:pPr>
      <w:tabs>
        <w:tab w:val="clear" w:pos="708"/>
        <w:tab w:val="left" w:pos="1134" w:leader="none"/>
        <w:tab w:val="left" w:pos="1701" w:leader="none"/>
        <w:tab w:val="left" w:pos="2448" w:leader="none"/>
      </w:tabs>
      <w:snapToGrid w:val="false"/>
      <w:spacing w:lineRule="auto" w:line="360"/>
      <w:ind w:left="2448" w:hanging="1008"/>
      <w:jc w:val="both"/>
    </w:pPr>
    <w:rPr>
      <w:szCs w:val="20"/>
    </w:rPr>
  </w:style>
  <w:style w:type="paragraph" w:styleId="112" w:customStyle="1">
    <w:name w:val="Пункт1"/>
    <w:basedOn w:val="Normal"/>
    <w:qFormat/>
    <w:rsid w:val="005e650b"/>
    <w:pPr>
      <w:tabs>
        <w:tab w:val="clear" w:pos="708"/>
        <w:tab w:val="left" w:pos="567" w:leader="none"/>
      </w:tabs>
      <w:snapToGrid w:val="false"/>
      <w:spacing w:lineRule="auto" w:line="360" w:before="240" w:after="0"/>
      <w:ind w:left="567" w:hanging="279"/>
      <w:jc w:val="center"/>
    </w:pPr>
    <w:rPr>
      <w:rFonts w:ascii="Arial" w:hAnsi="Arial"/>
      <w:b/>
    </w:rPr>
  </w:style>
  <w:style w:type="paragraph" w:styleId="My1" w:customStyle="1">
    <w:name w:val="my"/>
    <w:basedOn w:val="Heading1"/>
    <w:link w:val="My"/>
    <w:qFormat/>
    <w:rsid w:val="005e650b"/>
    <w:pPr>
      <w:keepLines/>
      <w:tabs>
        <w:tab w:val="clear" w:pos="0"/>
      </w:tabs>
      <w:spacing w:before="360" w:after="120"/>
      <w:ind w:left="0" w:hanging="0"/>
      <w:jc w:val="center"/>
    </w:pPr>
    <w:rPr>
      <w:rFonts w:eastAsia="Times New Roman"/>
    </w:rPr>
  </w:style>
  <w:style w:type="paragraph" w:styleId="113" w:customStyle="1">
    <w:name w:val="Обычный1"/>
    <w:qFormat/>
    <w:rsid w:val="005e650b"/>
    <w:pPr>
      <w:widowControl w:val="false"/>
      <w:suppressAutoHyphens w:val="true"/>
      <w:bidi w:val="0"/>
      <w:spacing w:lineRule="auto" w:line="420" w:before="460" w:after="0"/>
      <w:ind w:firstLine="720"/>
      <w:jc w:val="left"/>
    </w:pPr>
    <w:rPr>
      <w:rFonts w:ascii="Arial" w:hAnsi="Arial" w:eastAsia="Arial" w:cs="Times New Roman"/>
      <w:color w:val="auto"/>
      <w:kern w:val="0"/>
      <w:sz w:val="28"/>
      <w:szCs w:val="20"/>
      <w:lang w:val="ru-RU" w:eastAsia="ar-SA" w:bidi="ar-SA"/>
    </w:rPr>
  </w:style>
  <w:style w:type="paragraph" w:styleId="PlainText">
    <w:name w:val="Plain Text"/>
    <w:basedOn w:val="Normal"/>
    <w:link w:val="Style14"/>
    <w:qFormat/>
    <w:rsid w:val="005e650b"/>
    <w:pPr>
      <w:ind w:firstLine="709"/>
      <w:jc w:val="both"/>
    </w:pPr>
    <w:rPr>
      <w:rFonts w:cs="Courier New"/>
      <w:sz w:val="20"/>
      <w:szCs w:val="20"/>
    </w:rPr>
  </w:style>
  <w:style w:type="paragraph" w:styleId="29" w:customStyle="1">
    <w:name w:val="Пункт_2"/>
    <w:basedOn w:val="Normal"/>
    <w:qFormat/>
    <w:rsid w:val="005e650b"/>
    <w:pPr>
      <w:tabs>
        <w:tab w:val="clear" w:pos="708"/>
        <w:tab w:val="left" w:pos="1134" w:leader="none"/>
      </w:tabs>
      <w:spacing w:lineRule="auto" w:line="360"/>
      <w:ind w:left="1134" w:hanging="1133"/>
      <w:jc w:val="both"/>
    </w:pPr>
    <w:rPr>
      <w:szCs w:val="20"/>
    </w:rPr>
  </w:style>
  <w:style w:type="paragraph" w:styleId="37" w:customStyle="1">
    <w:name w:val="Пункт_3"/>
    <w:basedOn w:val="29"/>
    <w:qFormat/>
    <w:rsid w:val="005e650b"/>
    <w:pPr>
      <w:tabs>
        <w:tab w:val="clear" w:pos="1134"/>
        <w:tab w:val="left" w:pos="1694" w:leader="none"/>
      </w:tabs>
      <w:ind w:left="1694" w:hanging="1133"/>
    </w:pPr>
    <w:rPr/>
  </w:style>
  <w:style w:type="paragraph" w:styleId="42" w:customStyle="1">
    <w:name w:val="Пункт_4"/>
    <w:basedOn w:val="37"/>
    <w:qFormat/>
    <w:rsid w:val="005e650b"/>
    <w:pPr>
      <w:tabs>
        <w:tab w:val="clear" w:pos="1694"/>
        <w:tab w:val="left" w:pos="1134" w:leader="none"/>
      </w:tabs>
      <w:ind w:left="1134" w:hanging="1134"/>
    </w:pPr>
    <w:rPr/>
  </w:style>
  <w:style w:type="paragraph" w:styleId="5ABCD" w:customStyle="1">
    <w:name w:val="Пункт_5_ABCD"/>
    <w:basedOn w:val="Normal"/>
    <w:qFormat/>
    <w:rsid w:val="005e650b"/>
    <w:pPr>
      <w:tabs>
        <w:tab w:val="clear" w:pos="708"/>
        <w:tab w:val="left" w:pos="1701" w:leader="none"/>
      </w:tabs>
      <w:spacing w:lineRule="auto" w:line="360"/>
      <w:ind w:left="1701" w:hanging="567"/>
      <w:jc w:val="both"/>
    </w:pPr>
    <w:rPr>
      <w:szCs w:val="20"/>
    </w:rPr>
  </w:style>
  <w:style w:type="paragraph" w:styleId="114" w:customStyle="1">
    <w:name w:val="Пункт_1"/>
    <w:basedOn w:val="Normal"/>
    <w:qFormat/>
    <w:rsid w:val="005e650b"/>
    <w:pPr>
      <w:keepNext w:val="true"/>
      <w:tabs>
        <w:tab w:val="clear" w:pos="708"/>
        <w:tab w:val="left" w:pos="568" w:leader="none"/>
      </w:tabs>
      <w:spacing w:before="480" w:after="240"/>
      <w:ind w:left="567" w:hanging="567"/>
      <w:jc w:val="center"/>
      <w:outlineLvl w:val="0"/>
    </w:pPr>
    <w:rPr>
      <w:rFonts w:ascii="Arial" w:hAnsi="Arial"/>
      <w:b/>
      <w:sz w:val="32"/>
    </w:rPr>
  </w:style>
  <w:style w:type="paragraph" w:styleId="38" w:customStyle="1">
    <w:name w:val="заголовок 3"/>
    <w:basedOn w:val="Normal"/>
    <w:next w:val="Normal"/>
    <w:qFormat/>
    <w:rsid w:val="005e650b"/>
    <w:pPr>
      <w:keepNext w:val="true"/>
      <w:spacing w:lineRule="auto" w:line="360" w:before="120" w:after="0"/>
      <w:ind w:firstLine="720"/>
      <w:jc w:val="center"/>
      <w:outlineLvl w:val="2"/>
    </w:pPr>
    <w:rPr>
      <w:sz w:val="20"/>
      <w:szCs w:val="24"/>
    </w:rPr>
  </w:style>
  <w:style w:type="paragraph" w:styleId="Style40" w:customStyle="1">
    <w:name w:val="Обычный+ без отступа"/>
    <w:basedOn w:val="Normal"/>
    <w:qFormat/>
    <w:rsid w:val="005e650b"/>
    <w:pPr>
      <w:tabs>
        <w:tab w:val="clear" w:pos="708"/>
        <w:tab w:val="left" w:pos="926" w:leader="none"/>
      </w:tabs>
      <w:spacing w:lineRule="auto" w:line="360" w:before="120" w:after="0"/>
      <w:jc w:val="both"/>
    </w:pPr>
    <w:rPr>
      <w:rFonts w:eastAsia="MS Mincho"/>
    </w:rPr>
  </w:style>
  <w:style w:type="paragraph" w:styleId="ListNumber">
    <w:name w:val="List Number"/>
    <w:basedOn w:val="Normal"/>
    <w:qFormat/>
    <w:rsid w:val="005e650b"/>
    <w:pPr>
      <w:spacing w:lineRule="auto" w:line="360" w:before="60" w:after="0"/>
      <w:jc w:val="both"/>
    </w:pPr>
    <w:rPr>
      <w:szCs w:val="24"/>
    </w:rPr>
  </w:style>
  <w:style w:type="paragraph" w:styleId="HEADERTEXT1" w:customStyle="1">
    <w:name w:val=".HEADERTEXT"/>
    <w:uiPriority w:val="99"/>
    <w:qFormat/>
    <w:rsid w:val="005e650b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2B4279"/>
      <w:kern w:val="0"/>
      <w:sz w:val="24"/>
      <w:szCs w:val="24"/>
      <w:lang w:val="ru-RU" w:eastAsia="ru-RU" w:bidi="ar-SA"/>
    </w:rPr>
  </w:style>
  <w:style w:type="paragraph" w:styleId="211" w:customStyle="1">
    <w:name w:val="Основной текст 21"/>
    <w:basedOn w:val="Normal"/>
    <w:qFormat/>
    <w:rsid w:val="005e650b"/>
    <w:pPr/>
    <w:rPr>
      <w:sz w:val="22"/>
      <w:szCs w:val="20"/>
      <w:lang w:eastAsia="ar-SA"/>
    </w:rPr>
  </w:style>
  <w:style w:type="paragraph" w:styleId="Style41" w:customStyle="1">
    <w:name w:val="Содержимое врезки"/>
    <w:basedOn w:val="Normal"/>
    <w:qFormat/>
    <w:pPr/>
    <w:rPr/>
  </w:style>
  <w:style w:type="paragraph" w:styleId="Style4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3" w:customStyle="1">
    <w:name w:val="Заголовок таблицы"/>
    <w:basedOn w:val="Style42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5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numbering" w:styleId="19639624581" w:customStyle="1">
    <w:name w:val="19639624581"/>
    <w:qFormat/>
  </w:style>
  <w:style w:type="numbering" w:styleId="42648439681" w:customStyle="1">
    <w:name w:val="42648439681"/>
    <w:qFormat/>
  </w:style>
  <w:style w:type="numbering" w:styleId="18014956671" w:customStyle="1">
    <w:name w:val="1801495667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1">
    <w:name w:val="Table Grid"/>
    <w:basedOn w:val="a1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1">
    <w:name w:val="Сетка таблицы1"/>
    <w:basedOn w:val="a1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image" Target="media/image3.jpeg"/><Relationship Id="rId12" Type="http://schemas.openxmlformats.org/officeDocument/2006/relationships/image" Target="media/image5.jpeg"/><Relationship Id="rId13" Type="http://schemas.openxmlformats.org/officeDocument/2006/relationships/header" Target="header6.xml"/><Relationship Id="rId14" Type="http://schemas.openxmlformats.org/officeDocument/2006/relationships/header" Target="header7.xml"/><Relationship Id="rId15" Type="http://schemas.openxmlformats.org/officeDocument/2006/relationships/header" Target="header8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<Relationship Id="rId2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0557B-5CF0-43F7-827F-4CBB2AFD0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Application>AlterOffice/3.4.0.8$Linux_X86_64 LibreOffice_project/8f3f3c847f0b8d6fea24e251d3d8ed4f23cbe23c</Application>
  <AppVersion>15.0000</AppVersion>
  <Pages>15</Pages>
  <Words>4314</Words>
  <Characters>29491</Characters>
  <CharactersWithSpaces>32982</CharactersWithSpaces>
  <Paragraphs>852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2025-04-02T01:00:00Z</dcterms:created>
  <dc:creator>Быстров Олег Геннадьевич</dc:creator>
  <dc:description/>
  <dc:language>ru-RU</dc:language>
  <cp:lastModifiedBy/>
  <cp:lastPrinted>2026-10-28T09:02:20Z</cp:lastPrinted>
  <dcterms:modified xsi:type="dcterms:W3CDTF">2026-10-28T15:47:43Z</dcterms:modified>
  <cp:revision>13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