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pacing w:val="10"/>
          <w:sz w:val="24"/>
          <w:szCs w:val="24"/>
        </w:rPr>
      </w:pPr>
      <w:r>
        <w:rPr>
          <w:b/>
          <w:spacing w:val="2"/>
          <w:sz w:val="24"/>
          <w:szCs w:val="24"/>
        </w:rPr>
        <w:t>Акционерное общество «Транспортная компания РусГидро»,</w:t>
      </w:r>
      <w:r>
        <w:rPr>
          <w:spacing w:val="2"/>
          <w:sz w:val="24"/>
          <w:szCs w:val="24"/>
        </w:rPr>
        <w:t xml:space="preserve"> (далее – </w:t>
      </w:r>
      <w:r>
        <w:rPr>
          <w:sz w:val="24"/>
          <w:szCs w:val="24"/>
        </w:rPr>
        <w:t>«Покупатель»), в лице _________________________________________________________</w:t>
      </w:r>
      <w:r>
        <w:rPr>
          <w:spacing w:val="4"/>
          <w:sz w:val="24"/>
          <w:szCs w:val="24"/>
        </w:rPr>
        <w:t>, действующего на основании _____________________________________________, с одной стороны,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совместно в дальнейшем именуемые «Стороны», а по отдельности – «Сторона», </w:t>
        <w:br/>
      </w:r>
      <w:r>
        <w:rPr>
          <w:sz w:val="24"/>
          <w:szCs w:val="24"/>
          <w:shd w:fill="auto" w:val="clear"/>
          <w:lang w:eastAsia="en-US"/>
        </w:rPr>
        <w:t xml:space="preserve">по результатам проведенной Покупателем неконкурентной процедуры по лоту № ____________, </w:t>
      </w:r>
      <w:r>
        <w:rPr>
          <w:sz w:val="24"/>
          <w:szCs w:val="24"/>
          <w:shd w:fill="auto" w:val="clear"/>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bCs w:val="false"/>
          <w:color w:val="000000"/>
          <w:kern w:val="0"/>
          <w:sz w:val="24"/>
          <w:szCs w:val="24"/>
          <w:shd w:fill="auto" w:val="clear"/>
          <w:lang w:val="ru-RU" w:eastAsia="en-US" w:bidi="ar-SA"/>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и причитающееся ему вознаграждение, а также инфляционные риски на весь период действия Договора.</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false"/>
          <w:color w:val="auto"/>
          <w:sz w:val="24"/>
          <w:szCs w:val="24"/>
          <w:lang w:val="ru-RU" w:eastAsia="en-US"/>
        </w:rPr>
        <w:t xml:space="preserve">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запасные части для мульчера марки RAYCO C 260 для нужд Камчатского филиала АО «ТК РусГидро» </w:t>
      </w:r>
      <w:r>
        <w:rPr>
          <w:bCs/>
          <w:sz w:val="24"/>
          <w:szCs w:val="24"/>
        </w:rPr>
        <w:t>(далее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Поставка Товара по Договору осуществляется для нужд Камчатского филиала АО «ТК РусГидро».</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Россия, Камчатский край, город Петропавловск-Камчатский, Солнечная 16 </w:t>
      </w:r>
      <w:r>
        <w:rPr>
          <w:sz w:val="24"/>
          <w:szCs w:val="24"/>
        </w:rPr>
        <w:t>(далее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Срок поставки Товара: до 31.05.2027 года.</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w:t>
      </w:r>
      <w:r>
        <w:rPr>
          <w:sz w:val="24"/>
        </w:rPr>
        <w:t>4</w:t>
      </w:r>
      <w:r>
        <w:rPr>
          <w:sz w:val="24"/>
        </w:rPr>
        <w:t>.1, 2.</w:t>
      </w:r>
      <w:r>
        <w:rPr>
          <w:sz w:val="24"/>
        </w:rPr>
        <w:t>4</w:t>
      </w:r>
      <w:r>
        <w:rPr>
          <w:sz w:val="24"/>
        </w:rPr>
        <w:t>.4 Договора.</w:t>
      </w:r>
    </w:p>
    <w:p>
      <w:pPr>
        <w:pStyle w:val="ListParagraph"/>
        <w:numPr>
          <w:ilvl w:val="2"/>
          <w:numId w:val="2"/>
        </w:numPr>
        <w:tabs>
          <w:tab w:val="clear" w:pos="709"/>
        </w:tabs>
        <w:ind w:firstLine="709" w:left="0"/>
        <w:jc w:val="both"/>
        <w:rPr>
          <w:sz w:val="24"/>
        </w:rPr>
      </w:pPr>
      <w:r>
        <w:rPr>
          <w:sz w:val="24"/>
        </w:rPr>
        <w:t xml:space="preserve">Окончательный платеж в размере 70 (семидесяти) процентов от стоимости Товара выплачивается Поставщику в течение </w:t>
      </w:r>
      <w:r>
        <w:rPr>
          <w:sz w:val="24"/>
          <w:highlight w:val="lightGray"/>
        </w:rPr>
        <w:t>20 (двадцати) календарных дней</w:t>
      </w:r>
      <w:r>
        <w:rPr>
          <w:rStyle w:val="FootnoteReference"/>
          <w:sz w:val="24"/>
          <w:highlight w:val="lightGray"/>
        </w:rPr>
        <w:footnoteReference w:id="2"/>
      </w:r>
      <w:r>
        <w:rPr>
          <w:sz w:val="24"/>
          <w:highlight w:val="lightGray"/>
        </w:rPr>
        <w:t xml:space="preserve"> /  / 7 (семи) рабочих дней</w:t>
      </w:r>
      <w:r>
        <w:rPr>
          <w:rStyle w:val="FootnoteReference"/>
          <w:sz w:val="24"/>
          <w:highlight w:val="lightGray"/>
        </w:rPr>
        <w:footnoteReference w:id="3"/>
      </w:r>
      <w:r>
        <w:rPr>
          <w:sz w:val="24"/>
        </w:rPr>
        <w:t xml:space="preserve"> с даты подписания Сторонами Накладной ТОРГ-12/УПД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Накладная ТОРГ-12/</w:t>
      </w:r>
      <w:r>
        <w:rPr>
          <w:sz w:val="24"/>
          <w:szCs w:val="24"/>
          <w:shd w:fill="auto" w:val="clear"/>
        </w:rPr>
        <w:t>УПД в 2 (двух)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w:t>
      </w:r>
      <w:r>
        <w:rPr>
          <w:sz w:val="24"/>
          <w:szCs w:val="24"/>
          <w:shd w:fill="auto" w:val="clear"/>
        </w:rPr>
        <w:t xml:space="preserve">е 3 (трех)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highlight w:val="none"/>
          <w:shd w:fill="auto" w:val="clear"/>
        </w:rPr>
      </w:pPr>
      <w:bookmarkStart w:id="3" w:name="_Ref361408232"/>
      <w:r>
        <w:rPr>
          <w:sz w:val="24"/>
          <w:szCs w:val="24"/>
          <w:shd w:fill="auto" w:val="clear"/>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shd w:fill="auto" w:val="clear"/>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shd w:fill="auto" w:val="clear"/>
        </w:rPr>
        <w:t xml:space="preserve">Приемка Товара со вскрытием тары и упаковки производится Покупателем </w:t>
        <w:br/>
        <w:t xml:space="preserve">в присутствии представителя Поставщика в течение 10 (десяти) рабочих </w:t>
      </w:r>
      <w:r>
        <w:rPr>
          <w:sz w:val="24"/>
          <w:szCs w:val="24"/>
        </w:rPr>
        <w:t xml:space="preserve">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составляет не менее 12</w:t>
      </w:r>
      <w:r>
        <w:rPr>
          <w:sz w:val="24"/>
          <w:szCs w:val="24"/>
          <w:highlight w:val="lightGray"/>
        </w:rPr>
        <w:t xml:space="preserve"> </w:t>
      </w:r>
      <w:r>
        <w:rPr>
          <w:sz w:val="24"/>
          <w:szCs w:val="24"/>
          <w:shd w:fill="auto" w:val="clear"/>
        </w:rPr>
        <w:t>(двенадцати)</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0"/>
          <w:numId w:val="0"/>
        </w:numPr>
        <w:shd w:val="clear" w:color="auto" w:fill="FFFFFF"/>
        <w:tabs>
          <w:tab w:val="clear" w:pos="709"/>
          <w:tab w:val="left" w:pos="1134" w:leader="none"/>
        </w:tabs>
        <w:ind w:hanging="0" w:left="0"/>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0"/>
          <w:numId w:val="0"/>
        </w:numPr>
        <w:tabs>
          <w:tab w:val="clear" w:pos="709"/>
          <w:tab w:val="left" w:pos="1276" w:leader="none"/>
        </w:tabs>
        <w:ind w:hanging="0" w:left="0"/>
        <w:jc w:val="both"/>
        <w:rPr>
          <w:sz w:val="24"/>
          <w:szCs w:val="24"/>
        </w:rPr>
      </w:pPr>
      <w:r>
        <w:rPr>
          <w:sz w:val="24"/>
          <w:szCs w:val="24"/>
        </w:rPr>
        <w:t xml:space="preserve">        </w:t>
      </w:r>
      <w:r>
        <w:rPr>
          <w:sz w:val="24"/>
          <w:szCs w:val="24"/>
        </w:rPr>
        <w:t>5.5.В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0"/>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0"/>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0"/>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0"/>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0"/>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0"/>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0"/>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0"/>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0"/>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0"/>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0"/>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0"/>
          <w:numId w:val="0"/>
        </w:numPr>
        <w:shd w:val="clear" w:color="auto" w:fill="FFFFFF"/>
        <w:ind w:hanging="0" w:left="0"/>
        <w:jc w:val="both"/>
        <w:rPr>
          <w:bCs/>
          <w:sz w:val="24"/>
          <w:szCs w:val="24"/>
        </w:rPr>
      </w:pPr>
      <w:r>
        <w:rPr>
          <w:bCs/>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shd w:fill="auto" w:val="clear"/>
        </w:rPr>
        <w:t>г. Петропавловск-Камчатский</w:t>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 xml:space="preserve">13.9 </w:t>
      </w:r>
      <w:r>
        <w:rPr>
          <w:bCs/>
          <w:sz w:val="24"/>
          <w:szCs w:val="24"/>
        </w:rPr>
        <w:t>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8.7.2.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13.6</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sz w:val="24"/>
          <w:szCs w:val="24"/>
          <w:shd w:fill="C0C0C0" w:val="clear"/>
          <w:lang w:eastAsia="en-US"/>
        </w:rPr>
        <w:footnoteReference w:id="4"/>
      </w:r>
      <w:r>
        <w:rPr>
          <w:sz w:val="24"/>
          <w:szCs w:val="24"/>
          <w:shd w:fill="C0C0C0" w:val="clear"/>
          <w:lang w:eastAsia="en-US"/>
        </w:rPr>
        <w:t>.</w:t>
      </w:r>
    </w:p>
    <w:p>
      <w:pPr>
        <w:pStyle w:val="Normal"/>
        <w:widowControl/>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C0C0C0" w:val="clear"/>
        </w:rPr>
        <w:t>13.8</w:t>
      </w:r>
      <w:r>
        <w:rPr>
          <w:sz w:val="24"/>
          <w:szCs w:val="24"/>
        </w:rPr>
        <w:t xml:space="preserve"> Договора. </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
        </w:numPr>
        <w:shd w:val="clear" w:fill="FFFFFF"/>
        <w:tabs>
          <w:tab w:val="clear" w:pos="709"/>
          <w:tab w:val="left" w:pos="0" w:leader="none"/>
          <w:tab w:val="left" w:pos="1134" w:leader="none"/>
          <w:tab w:val="left" w:pos="1418" w:leader="none"/>
        </w:tabs>
        <w:ind w:firstLine="709" w:left="0" w:right="0"/>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fill="C0C0C0" w:val="clear"/>
        </w:rPr>
        <w:t>13.7 или 13.9</w:t>
      </w:r>
      <w:r>
        <w:rPr>
          <w:sz w:val="24"/>
          <w:szCs w:val="24"/>
        </w:rPr>
        <w:t xml:space="preserve"> Договора.</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r>
        <w:rPr>
          <w:sz w:val="24"/>
          <w:szCs w:val="24"/>
        </w:rPr>
        <w:t>.</w:t>
      </w:r>
    </w:p>
    <w:p>
      <w:pPr>
        <w:pStyle w:val="ListParagraph"/>
        <w:numPr>
          <w:ilvl w:val="1"/>
          <w:numId w:val="2"/>
        </w:numPr>
        <w:shd w:val="clear" w:fill="FFFFFF"/>
        <w:tabs>
          <w:tab w:val="clear" w:pos="709"/>
          <w:tab w:val="left" w:pos="1134" w:leader="none"/>
        </w:tabs>
        <w:ind w:firstLine="709" w:left="0" w:righ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z w:val="24"/>
          <w:szCs w:val="24"/>
          <w:shd w:fill="auto" w:val="clear"/>
        </w:rPr>
        <w:t xml:space="preserve">пунктами </w:t>
      </w:r>
      <w:r>
        <w:rPr>
          <w:sz w:val="24"/>
          <w:szCs w:val="24"/>
          <w:shd w:fill="C0C0C0" w:val="clear"/>
        </w:rPr>
        <w:t>13.7 или 13.9</w:t>
      </w:r>
      <w:r>
        <w:rPr>
          <w:sz w:val="24"/>
          <w:szCs w:val="24"/>
        </w:rPr>
        <w:t xml:space="preserve"> Договора.</w:t>
      </w:r>
      <w:bookmarkEnd w:id="9"/>
      <w:r>
        <w:rPr>
          <w:sz w:val="24"/>
          <w:szCs w:val="24"/>
        </w:rPr>
        <w:t xml:space="preserve"> </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bCs/>
        </w:rPr>
      </w:pPr>
      <w:r>
        <w:rPr>
          <w:bCs/>
          <w:sz w:val="24"/>
          <w:szCs w:val="24"/>
          <w:highlight w:val="lightGray"/>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 </w:t>
      </w:r>
      <w:r>
        <w:rPr>
          <w:bCs/>
          <w:sz w:val="24"/>
          <w:szCs w:val="24"/>
          <w:highlight w:val="lightGray"/>
          <w:shd w:fill="C0C0C0" w:val="clear"/>
          <w:lang w:eastAsia="en-US"/>
        </w:rPr>
        <w:t>13.9.1 –13.9.2</w:t>
      </w:r>
      <w:r>
        <w:rPr>
          <w:bCs/>
          <w:sz w:val="24"/>
          <w:szCs w:val="24"/>
          <w:highlight w:val="lightGray"/>
          <w:lang w:eastAsia="en-US"/>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5"/>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shd w:fill="CCCCCC" w:val="clear"/>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6"/>
      </w:r>
      <w:r>
        <w:rPr>
          <w:sz w:val="24"/>
          <w:szCs w:val="24"/>
          <w:highlight w:val="lightGray"/>
        </w:rPr>
        <w:t>.</w:t>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bookmarkEnd w:id="10"/>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ind w:firstLine="709"/>
        <w:jc w:val="both"/>
        <w:rPr>
          <w:bCs/>
          <w:sz w:val="24"/>
          <w:szCs w:val="24"/>
        </w:rPr>
      </w:pPr>
      <w:bookmarkStart w:id="11" w:name="sub_1_Копия_1"/>
      <w:bookmarkEnd w:id="11"/>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8"/>
        <w:gridCol w:w="150"/>
        <w:gridCol w:w="4636"/>
        <w:gridCol w:w="326"/>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rHeight w:val="7313" w:hRule="atLeast"/>
        </w:trPr>
        <w:tc>
          <w:tcPr>
            <w:tcW w:w="4928" w:type="dxa"/>
            <w:gridSpan w:val="2"/>
            <w:tcBorders/>
            <w:shd w:color="auto" w:fill="BFBFBF" w:val="clear"/>
          </w:tcPr>
          <w:p>
            <w:pPr>
              <w:pStyle w:val="Normal"/>
              <w:rPr>
                <w:b/>
                <w:sz w:val="24"/>
                <w:szCs w:val="24"/>
              </w:rPr>
            </w:pPr>
            <w:r>
              <w:rPr>
                <w:b/>
                <w:sz w:val="24"/>
                <w:szCs w:val="24"/>
              </w:rPr>
              <w:t>Акционерное общество «Транспортная компания РусГидро» (АО «ТК РусГидро»)</w:t>
            </w:r>
          </w:p>
          <w:p>
            <w:pPr>
              <w:pStyle w:val="Normal"/>
              <w:rPr>
                <w:sz w:val="24"/>
                <w:szCs w:val="24"/>
              </w:rPr>
            </w:pPr>
            <w:r>
              <w:rPr>
                <w:sz w:val="24"/>
                <w:szCs w:val="24"/>
              </w:rPr>
              <w:t>Юридический адрес: 655619, Россия, Республика Хакасия, г. Саяногорск, рабосий поселок Черемушки, стр. 101</w:t>
            </w:r>
          </w:p>
          <w:p>
            <w:pPr>
              <w:pStyle w:val="Normal"/>
              <w:rPr>
                <w:sz w:val="24"/>
                <w:szCs w:val="24"/>
              </w:rPr>
            </w:pPr>
            <w:r>
              <w:rPr>
                <w:sz w:val="24"/>
                <w:szCs w:val="24"/>
              </w:rPr>
              <w:t>Почтовый адрес:</w:t>
            </w:r>
          </w:p>
          <w:p>
            <w:pPr>
              <w:pStyle w:val="Normal"/>
              <w:rPr>
                <w:b/>
                <w:sz w:val="24"/>
                <w:szCs w:val="24"/>
              </w:rPr>
            </w:pPr>
            <w:r>
              <w:rPr>
                <w:b/>
                <w:sz w:val="24"/>
                <w:szCs w:val="24"/>
              </w:rPr>
              <w:t>Камчатский филиала АО «ТК РусГидро»</w:t>
            </w:r>
          </w:p>
          <w:p>
            <w:pPr>
              <w:pStyle w:val="Normal"/>
              <w:rPr>
                <w:sz w:val="24"/>
                <w:szCs w:val="24"/>
              </w:rPr>
            </w:pPr>
            <w:r>
              <w:rPr>
                <w:sz w:val="24"/>
                <w:szCs w:val="24"/>
              </w:rPr>
              <w:t>683032, Камчатский край, г. Петропавловск-Камчасткий, ул. Пограничная, д. 14а</w:t>
            </w:r>
          </w:p>
          <w:p>
            <w:pPr>
              <w:pStyle w:val="Normal"/>
              <w:rPr>
                <w:sz w:val="24"/>
                <w:szCs w:val="24"/>
              </w:rPr>
            </w:pPr>
            <w:r>
              <w:rPr>
                <w:sz w:val="24"/>
                <w:szCs w:val="24"/>
              </w:rPr>
              <w:t>ИНН 1902018248 / КПП 190201001</w:t>
            </w:r>
          </w:p>
          <w:p>
            <w:pPr>
              <w:pStyle w:val="Normal"/>
              <w:rPr>
                <w:sz w:val="24"/>
                <w:szCs w:val="24"/>
              </w:rPr>
            </w:pPr>
            <w:r>
              <w:rPr>
                <w:rFonts w:eastAsia="" w:eastAsiaTheme="minorEastAsia"/>
                <w:sz w:val="24"/>
                <w:szCs w:val="24"/>
              </w:rPr>
              <w:t>40702810240020015573</w:t>
            </w:r>
          </w:p>
          <w:p>
            <w:pPr>
              <w:pStyle w:val="Normal"/>
              <w:rPr>
                <w:sz w:val="24"/>
                <w:szCs w:val="24"/>
              </w:rPr>
            </w:pPr>
            <w:r>
              <w:rPr>
                <w:sz w:val="24"/>
                <w:szCs w:val="24"/>
              </w:rPr>
              <w:t>(номер расчетного счета)</w:t>
            </w:r>
          </w:p>
          <w:p>
            <w:pPr>
              <w:pStyle w:val="Normal"/>
              <w:rPr>
                <w:sz w:val="24"/>
                <w:szCs w:val="24"/>
              </w:rPr>
            </w:pPr>
            <w:r>
              <w:rPr>
                <w:sz w:val="24"/>
                <w:szCs w:val="24"/>
              </w:rPr>
              <w:t>ПАО «Сбербанк России», г. Москва</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rFonts w:eastAsia="" w:eastAsiaTheme="minorEastAsia"/>
                <w:sz w:val="24"/>
                <w:szCs w:val="24"/>
              </w:rPr>
              <w:t>30101810400000000225</w:t>
            </w:r>
          </w:p>
          <w:p>
            <w:pPr>
              <w:pStyle w:val="Normal"/>
              <w:rPr>
                <w:sz w:val="24"/>
                <w:szCs w:val="24"/>
              </w:rPr>
            </w:pPr>
            <w:r>
              <w:rPr>
                <w:sz w:val="24"/>
                <w:szCs w:val="24"/>
              </w:rPr>
              <w:t>(номер корреспондентского счета банка)</w:t>
            </w:r>
          </w:p>
          <w:p>
            <w:pPr>
              <w:pStyle w:val="Normal"/>
              <w:rPr>
                <w:sz w:val="24"/>
                <w:szCs w:val="24"/>
              </w:rPr>
            </w:pPr>
            <w:r>
              <w:rPr>
                <w:rFonts w:eastAsia="" w:eastAsiaTheme="minorEastAsia"/>
                <w:sz w:val="24"/>
                <w:szCs w:val="24"/>
              </w:rPr>
              <w:t>044525225</w:t>
            </w:r>
            <w:r>
              <w:rPr>
                <w:sz w:val="24"/>
                <w:szCs w:val="24"/>
              </w:rPr>
              <w:t xml:space="preserve"> </w:t>
            </w:r>
          </w:p>
          <w:p>
            <w:pPr>
              <w:pStyle w:val="Normal"/>
              <w:rPr>
                <w:sz w:val="24"/>
                <w:szCs w:val="24"/>
              </w:rPr>
            </w:pPr>
            <w:r>
              <w:rPr>
                <w:sz w:val="24"/>
                <w:szCs w:val="24"/>
              </w:rPr>
              <w:t xml:space="preserve">(БИК банка) </w:t>
            </w:r>
          </w:p>
          <w:p>
            <w:pPr>
              <w:pStyle w:val="Normal"/>
              <w:rPr>
                <w:sz w:val="24"/>
                <w:szCs w:val="24"/>
              </w:rPr>
            </w:pPr>
            <w:r>
              <w:rPr>
                <w:sz w:val="24"/>
                <w:szCs w:val="24"/>
              </w:rPr>
              <w:t>+7 (4152) 300-702</w:t>
            </w:r>
          </w:p>
          <w:p>
            <w:pPr>
              <w:pStyle w:val="Normal"/>
              <w:rPr>
                <w:sz w:val="24"/>
                <w:szCs w:val="24"/>
              </w:rPr>
            </w:pPr>
            <w:r>
              <w:rPr>
                <w:sz w:val="24"/>
                <w:szCs w:val="24"/>
              </w:rPr>
              <w:t>(номер телефона)</w:t>
            </w:r>
          </w:p>
          <w:p>
            <w:pPr>
              <w:pStyle w:val="Normal"/>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t>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Юридический адрес:________________________________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rHeight w:val="1366" w:hRule="atLeast"/>
        </w:trPr>
        <w:tc>
          <w:tcPr>
            <w:tcW w:w="4778" w:type="dxa"/>
            <w:tcBorders/>
          </w:tcPr>
          <w:p>
            <w:pPr>
              <w:pStyle w:val="Normal"/>
              <w:rPr>
                <w:sz w:val="24"/>
                <w:szCs w:val="24"/>
              </w:rPr>
            </w:pPr>
            <w:r>
              <w:rPr>
                <w:sz w:val="24"/>
                <w:szCs w:val="24"/>
              </w:rPr>
              <w:t>Директор Камчатского филиала</w:t>
            </w:r>
          </w:p>
          <w:p>
            <w:pPr>
              <w:pStyle w:val="Normal"/>
              <w:rPr>
                <w:b/>
                <w:sz w:val="24"/>
                <w:szCs w:val="24"/>
              </w:rPr>
            </w:pPr>
            <w:r>
              <w:rPr>
                <w:sz w:val="24"/>
                <w:szCs w:val="24"/>
              </w:rPr>
              <w:t xml:space="preserve">АО «ТК РусГидро» </w:t>
            </w:r>
          </w:p>
          <w:p>
            <w:pPr>
              <w:pStyle w:val="Normal"/>
              <w:rPr>
                <w:b/>
                <w:sz w:val="24"/>
                <w:szCs w:val="24"/>
              </w:rPr>
            </w:pPr>
            <w:r>
              <w:rPr>
                <w:b/>
                <w:sz w:val="24"/>
                <w:szCs w:val="24"/>
              </w:rPr>
            </w:r>
          </w:p>
          <w:p>
            <w:pPr>
              <w:pStyle w:val="Normal"/>
              <w:rPr>
                <w:b/>
                <w:sz w:val="24"/>
                <w:szCs w:val="24"/>
              </w:rPr>
            </w:pPr>
            <w:r>
              <w:rPr>
                <w:b/>
                <w:sz w:val="24"/>
                <w:szCs w:val="24"/>
              </w:rPr>
            </w:r>
          </w:p>
          <w:p>
            <w:pPr>
              <w:pStyle w:val="Normal"/>
              <w:rPr>
                <w:b/>
                <w:sz w:val="24"/>
                <w:szCs w:val="24"/>
              </w:rPr>
            </w:pPr>
            <w:r>
              <w:rPr>
                <w:sz w:val="24"/>
                <w:szCs w:val="24"/>
              </w:rPr>
              <w:t>___________________/________________</w:t>
            </w:r>
          </w:p>
          <w:p>
            <w:pPr>
              <w:pStyle w:val="Normal"/>
              <w:rPr>
                <w:b/>
                <w:sz w:val="24"/>
                <w:szCs w:val="24"/>
              </w:rPr>
            </w:pPr>
            <w:r>
              <w:rPr>
                <w:b/>
                <w:sz w:val="24"/>
                <w:szCs w:val="24"/>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8"/>
        <w:gridCol w:w="155"/>
        <w:gridCol w:w="667"/>
        <w:gridCol w:w="581"/>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7"/>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8"/>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3"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4"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21</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Заказчика.</w:t>
      </w:r>
    </w:p>
  </w:footnote>
  <w:footnote w:id="3">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pPr>
      <w:r>
        <w:rPr>
          <w:rStyle w:val="Style14"/>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5">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6">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8">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5"/>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414</TotalTime>
  <Application>AlterOffice/2026.2.0.0$Linux_X86_64 LibreOffice_project/bc4ef1adf80b36c7a6365f8ed6cbf29021361edd</Application>
  <AppVersion>15.0000</AppVersion>
  <Pages>21</Pages>
  <Words>7453</Words>
  <Characters>53556</Characters>
  <CharactersWithSpaces>60787</CharactersWithSpaces>
  <Paragraphs>340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oleinikovadv@corp.gidroogk.com</cp:lastModifiedBy>
  <cp:lastPrinted>2018-05-22T09:46:00Z</cp:lastPrinted>
  <dcterms:modified xsi:type="dcterms:W3CDTF">2026-11-03T15:53:59Z</dcterms:modified>
  <cp:revision>55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