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</w:r>
      <w:bookmarkStart w:id="6" w:name="_Toc137554584_Копия_1"/>
      <w:bookmarkStart w:id="7" w:name="_Toc139856287_Копия_1"/>
      <w:bookmarkStart w:id="8" w:name="_Toc141696704_Копия_1"/>
      <w:bookmarkStart w:id="9" w:name="_Toc137554584_Копия_1"/>
      <w:bookmarkStart w:id="10" w:name="_Toc139856287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на ОКПД2 49.41.20.000 Оказание услуг спецтехники с экипажем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Лот №______________________________</w:t>
      </w:r>
    </w:p>
    <w:p>
      <w:pPr>
        <w:pStyle w:val="Normal"/>
        <w:jc w:val="center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sz w:val="24"/>
          <w:szCs w:val="24"/>
        </w:rPr>
      </w:pPr>
      <w:bookmarkStart w:id="12" w:name="_Toc54643694"/>
      <w:r>
        <w:rPr>
          <w:b/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432" w:left="567"/>
        <w:rPr>
          <w:sz w:val="24"/>
          <w:szCs w:val="24"/>
        </w:rPr>
      </w:pPr>
      <w:r>
        <w:rPr>
          <w:sz w:val="24"/>
          <w:szCs w:val="24"/>
        </w:rPr>
        <w:t>Обозначения и сокращения: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54"/>
        <w:gridCol w:w="3505"/>
        <w:gridCol w:w="5662"/>
      </w:tblGrid>
      <w:tr>
        <w:trPr/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Горюче-смазочные материалы</w:t>
            </w:r>
          </w:p>
        </w:tc>
      </w:tr>
      <w:tr>
        <w:trPr/>
        <w:tc>
          <w:tcPr>
            <w:tcW w:w="7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567"/>
        <w:rPr>
          <w:sz w:val="24"/>
          <w:szCs w:val="24"/>
        </w:rPr>
      </w:pPr>
      <w:bookmarkStart w:id="13" w:name="_Toc54643696"/>
      <w:bookmarkStart w:id="14" w:name="_Toc46743506"/>
      <w:r>
        <w:rPr>
          <w:bCs w:val="false"/>
          <w:sz w:val="24"/>
          <w:szCs w:val="24"/>
        </w:rPr>
        <w:t>Наименование закупаемой продукции</w:t>
      </w:r>
      <w:bookmarkEnd w:id="13"/>
      <w:bookmarkEnd w:id="14"/>
      <w:r>
        <w:rPr>
          <w:bCs w:val="false"/>
          <w:sz w:val="24"/>
          <w:szCs w:val="24"/>
          <w:lang w:val="ru-RU"/>
        </w:rPr>
        <w:t xml:space="preserve">: </w:t>
      </w:r>
      <w:r>
        <w:rPr>
          <w:rFonts w:eastAsia="Calibri"/>
          <w:b w:val="false"/>
          <w:bCs w:val="false"/>
          <w:sz w:val="24"/>
          <w:szCs w:val="24"/>
          <w:lang w:val="ru-RU"/>
        </w:rPr>
        <w:t>ОКПД2 49.41.20.000 Оказание услуг спецтехники с экипажем для нужд Дагестанского филиала АО «Гидроремонт-ВКК» в г. Махачкала</w:t>
      </w:r>
      <w:r>
        <w:rPr>
          <w:bCs w:val="false"/>
          <w:sz w:val="24"/>
          <w:szCs w:val="24"/>
          <w:lang w:val="ru-RU"/>
        </w:rPr>
        <w:t>.</w:t>
      </w:r>
    </w:p>
    <w:p>
      <w:pPr>
        <w:pStyle w:val="Heading4"/>
        <w:numPr>
          <w:ilvl w:val="1"/>
          <w:numId w:val="3"/>
        </w:numPr>
        <w:ind w:hanging="432" w:left="567"/>
        <w:rPr/>
      </w:pPr>
      <w:bookmarkStart w:id="15" w:name="_Toc54643697"/>
      <w:bookmarkStart w:id="16" w:name="_Toc46743507"/>
      <w:r>
        <w:rPr>
          <w:bCs w:val="false"/>
          <w:sz w:val="24"/>
          <w:szCs w:val="24"/>
          <w:lang w:val="ru-RU"/>
        </w:rPr>
        <w:t xml:space="preserve">Цель </w:t>
      </w:r>
      <w:bookmarkEnd w:id="16"/>
      <w:r>
        <w:rPr>
          <w:bCs w:val="false"/>
          <w:sz w:val="24"/>
          <w:szCs w:val="24"/>
          <w:lang w:val="ru-RU"/>
        </w:rPr>
        <w:t xml:space="preserve">оказания услуг: </w:t>
      </w:r>
      <w:bookmarkEnd w:id="15"/>
      <w:r>
        <w:rPr>
          <w:bCs w:val="false"/>
          <w:sz w:val="24"/>
          <w:szCs w:val="24"/>
          <w:lang w:val="ru-RU"/>
        </w:rPr>
        <w:t xml:space="preserve"> </w:t>
      </w:r>
      <w:r>
        <w:rPr>
          <w:rStyle w:val="Style8"/>
          <w:b w:val="false"/>
          <w:bCs w:val="false"/>
          <w:i w:val="false"/>
          <w:color w:val="000000"/>
          <w:sz w:val="24"/>
          <w:szCs w:val="24"/>
          <w:shd w:fill="auto" w:val="clear"/>
          <w:lang w:val="ru-RU"/>
        </w:rPr>
        <w:t xml:space="preserve">выполнение работ в рамках исполнения </w:t>
      </w:r>
      <w:r>
        <w:rPr>
          <w:rStyle w:val="Style8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договоров подряда с ПАО «РусГидро»</w:t>
      </w:r>
      <w:r>
        <w:rPr>
          <w:rStyle w:val="Style8"/>
          <w:b w:val="false"/>
          <w:bCs w:val="false"/>
          <w:i w:val="false"/>
          <w:color w:val="000000"/>
          <w:sz w:val="24"/>
          <w:szCs w:val="24"/>
          <w:shd w:fill="auto" w:val="clear"/>
          <w:lang w:val="ru-RU"/>
        </w:rPr>
        <w:t>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17" w:name="_Toc54643699"/>
      <w:r>
        <w:rPr>
          <w:sz w:val="24"/>
          <w:szCs w:val="24"/>
        </w:rPr>
        <w:t>Таблица 1. Перечень объектов заказчика</w:t>
      </w:r>
      <w:bookmarkEnd w:id="17"/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10"/>
        <w:gridCol w:w="3557"/>
        <w:gridCol w:w="2700"/>
        <w:gridCol w:w="2653"/>
      </w:tblGrid>
      <w:tr>
        <w:trPr/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оказания услуг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Чирюртская ГЭС-1,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Чирюртская ГЭС-2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 xml:space="preserve">Республика Дагестан, </w:t>
              <w:br/>
              <w:t>Чирюртская ГЭС-1,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>Чирюртская ГЭС-2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spacing w:before="120" w:after="60"/>
              <w:ind w:hanging="0" w:left="135"/>
              <w:jc w:val="center"/>
              <w:rPr/>
            </w:pPr>
            <w:r>
              <w:rPr>
                <w:rStyle w:val="Style8"/>
                <w:b w:val="false"/>
                <w:bCs w:val="false"/>
                <w:i w:val="false"/>
                <w:iCs/>
                <w:color w:val="000000"/>
                <w:sz w:val="24"/>
                <w:szCs w:val="24"/>
                <w:shd w:fill="auto" w:val="clear"/>
                <w:lang w:val="ru-RU"/>
              </w:rPr>
              <w:t>Отводящий канал Чирюртской ГЭС-1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567"/>
        <w:rPr>
          <w:sz w:val="24"/>
          <w:szCs w:val="24"/>
        </w:rPr>
      </w:pPr>
      <w:bookmarkStart w:id="18" w:name="_Hlk49857604"/>
      <w:bookmarkStart w:id="19" w:name="_Toc54643700"/>
      <w:bookmarkStart w:id="20" w:name="_Toc46743509"/>
      <w:r>
        <w:rPr>
          <w:sz w:val="24"/>
          <w:szCs w:val="24"/>
        </w:rPr>
        <w:t xml:space="preserve">Информация в отношении исполнения договора, </w:t>
      </w:r>
      <w:bookmarkStart w:id="21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21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Start w:id="22" w:name="_Hlk48209761"/>
      <w:bookmarkEnd w:id="18"/>
      <w:bookmarkEnd w:id="19"/>
      <w:bookmarkEnd w:id="20"/>
      <w:r>
        <w:rPr>
          <w:sz w:val="24"/>
          <w:szCs w:val="24"/>
          <w:lang w:val="ru-RU"/>
        </w:rPr>
        <w:t xml:space="preserve">: </w:t>
      </w:r>
    </w:p>
    <w:p>
      <w:pPr>
        <w:pStyle w:val="Normal"/>
        <w:ind w:hanging="432"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1.4.1. </w:t>
      </w:r>
      <w:r>
        <w:rPr>
          <w:sz w:val="24"/>
          <w:szCs w:val="24"/>
          <w:lang w:val="x-none" w:eastAsia="x-none"/>
        </w:rPr>
        <w:t>Планируемое к использованию количество машино-часов, указывается в подаваемых Заказчиком заявках на оказание услуг.</w:t>
      </w: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val="x-none" w:eastAsia="x-none"/>
        </w:rPr>
        <w:t>Продолжительность минимальной заявки составляет 8 маш/часов.</w:t>
      </w:r>
    </w:p>
    <w:p>
      <w:pPr>
        <w:pStyle w:val="ListParagraph"/>
        <w:ind w:hanging="0" w:left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spacing w:before="0" w:after="60"/>
        <w:ind w:hanging="360" w:left="567"/>
        <w:jc w:val="center"/>
        <w:rPr>
          <w:sz w:val="24"/>
          <w:szCs w:val="24"/>
        </w:rPr>
      </w:pPr>
      <w:bookmarkStart w:id="23" w:name="_Toc54643702"/>
      <w:bookmarkStart w:id="24" w:name="_Toc51339693"/>
      <w:bookmarkStart w:id="25" w:name="_Toc50125126"/>
      <w:bookmarkStart w:id="26" w:name="_Toc46743510"/>
      <w:bookmarkEnd w:id="22"/>
      <w:bookmarkEnd w:id="25"/>
      <w:bookmarkEnd w:id="26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ind w:hanging="432" w:left="567"/>
        <w:rPr>
          <w:sz w:val="24"/>
          <w:szCs w:val="24"/>
        </w:rPr>
      </w:pPr>
      <w:bookmarkStart w:id="27" w:name="_Toc54643703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27"/>
    </w:p>
    <w:p>
      <w:pPr>
        <w:pStyle w:val="Heading3"/>
        <w:numPr>
          <w:ilvl w:val="2"/>
          <w:numId w:val="3"/>
        </w:numPr>
        <w:ind w:hanging="504" w:left="567"/>
        <w:rPr>
          <w:sz w:val="24"/>
          <w:szCs w:val="24"/>
        </w:rPr>
      </w:pPr>
      <w:bookmarkStart w:id="28" w:name="_Toc54643704"/>
      <w:r>
        <w:rPr>
          <w:sz w:val="24"/>
          <w:szCs w:val="24"/>
        </w:rPr>
        <w:t>Требования к перечню и объему услуг</w:t>
      </w:r>
      <w:bookmarkEnd w:id="28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29" w:name="_Toc54643705"/>
      <w:bookmarkStart w:id="30" w:name="_Toc51339695"/>
      <w:r>
        <w:rPr>
          <w:sz w:val="24"/>
          <w:szCs w:val="24"/>
        </w:rPr>
        <w:t xml:space="preserve">Таблица 2. Перечень </w:t>
      </w:r>
      <w:bookmarkEnd w:id="30"/>
      <w:r>
        <w:rPr>
          <w:sz w:val="24"/>
          <w:szCs w:val="24"/>
        </w:rPr>
        <w:t>и объем оказываемых услуг</w:t>
      </w:r>
      <w:bookmarkEnd w:id="29"/>
    </w:p>
    <w:tbl>
      <w:tblPr>
        <w:tblW w:w="1009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5"/>
        <w:gridCol w:w="3315"/>
        <w:gridCol w:w="2771"/>
        <w:gridCol w:w="1260"/>
        <w:gridCol w:w="2042"/>
      </w:tblGrid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 ТС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Ориентировочное количество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Оказание услуг фронтального погрузчика с экипажем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Грузоподъемность ковша — не менее 5000 кг, высота выгрузки — не менее 3,1 метра, дальность выгрузки — не менее 1,2 метра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маш/час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>
        <w:trPr/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Оказание услуг гусеничного экскаватора с экипажем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Грузоподъемность – не менее 15 тонн;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кузова – не менее 10м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Разгрузка - назад;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Преодолеваемый подъем с грузом – 25%.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маш/час</w:t>
            </w:r>
          </w:p>
        </w:tc>
        <w:tc>
          <w:tcPr>
            <w:tcW w:w="2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</w:tr>
      <w:tr>
        <w:trPr/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Оказание услуг самосвала с экипажем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true"/>
              <w:spacing w:before="0" w:after="0"/>
              <w:ind w:hanging="0" w:left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Объем ковша – не менее 1,25 м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true"/>
              <w:spacing w:before="0" w:after="0"/>
              <w:ind w:hanging="0" w:left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Мощность двигателя не менее 180 л/с,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true"/>
              <w:spacing w:before="0" w:after="0"/>
              <w:ind w:hanging="0" w:left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Сталь рабочего органа – для разработки грунтов класса 3-4,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hanging="0" w:left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Масса – не менее 23 тонн.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маш/час</w:t>
            </w:r>
          </w:p>
        </w:tc>
        <w:tc>
          <w:tcPr>
            <w:tcW w:w="2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567"/>
        <w:rPr>
          <w:sz w:val="24"/>
          <w:szCs w:val="24"/>
        </w:rPr>
      </w:pPr>
      <w:bookmarkStart w:id="31" w:name="_Toc54643706"/>
      <w:bookmarkStart w:id="32" w:name="_Toc51339696"/>
      <w:bookmarkStart w:id="33" w:name="_GoBack_Копия_1_Копия_1"/>
      <w:bookmarkEnd w:id="33"/>
      <w:r>
        <w:rPr>
          <w:sz w:val="24"/>
          <w:szCs w:val="24"/>
        </w:rPr>
        <w:t xml:space="preserve">Требования </w:t>
      </w:r>
      <w:bookmarkEnd w:id="32"/>
      <w:r>
        <w:rPr>
          <w:sz w:val="24"/>
          <w:szCs w:val="24"/>
        </w:rPr>
        <w:t>к срокам оказания услуг</w:t>
      </w:r>
      <w:bookmarkEnd w:id="31"/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sz w:val="24"/>
          <w:szCs w:val="24"/>
        </w:rPr>
      </w:pPr>
      <w:bookmarkStart w:id="34" w:name="_Toc54643707"/>
      <w:bookmarkStart w:id="35" w:name="_Toc51339697"/>
      <w:bookmarkStart w:id="36" w:name="_Toc50125127"/>
      <w:bookmarkStart w:id="37" w:name="_Toc501251261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оказания услуг</w:t>
      </w:r>
      <w:bookmarkEnd w:id="34"/>
    </w:p>
    <w:tbl>
      <w:tblPr>
        <w:tblW w:w="10201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1136"/>
        <w:gridCol w:w="4103"/>
        <w:gridCol w:w="2555"/>
        <w:gridCol w:w="2406"/>
      </w:tblGrid>
      <w:tr>
        <w:trPr/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Оказание услуг фронтального погрузчика с экипажем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Оказание услуг гусеничного экскаватора с экипажем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  <w:tr>
        <w:trPr/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Оказание услуг самосвала с экипажем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31.12.2026г.</w:t>
            </w:r>
          </w:p>
        </w:tc>
      </w:tr>
    </w:tbl>
    <w:p>
      <w:pPr>
        <w:pStyle w:val="Normal"/>
        <w:rPr>
          <w:sz w:val="24"/>
          <w:szCs w:val="24"/>
        </w:rPr>
      </w:pPr>
      <w:bookmarkStart w:id="39" w:name="_Toc467435101"/>
      <w:bookmarkEnd w:id="39"/>
      <w:r>
        <w:rPr>
          <w:sz w:val="24"/>
          <w:szCs w:val="24"/>
          <w:lang w:eastAsia="x-none"/>
        </w:rPr>
        <w:t>*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x-none"/>
        </w:rPr>
        <w:t>Данный срок установлен в соответствии с требованиями заключенного договора, указанного в пункте 1.3. Технических требований.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2.2.</w:t>
        <w:tab/>
      </w:r>
      <w:bookmarkStart w:id="40" w:name="_Toc141969503"/>
      <w:r>
        <w:rPr>
          <w:b/>
          <w:sz w:val="24"/>
          <w:szCs w:val="24"/>
        </w:rPr>
        <w:t>Требования к качеству услуг</w:t>
      </w:r>
      <w:bookmarkEnd w:id="40"/>
    </w:p>
    <w:p>
      <w:pPr>
        <w:pStyle w:val="Heading1"/>
        <w:ind w:hanging="567" w:left="567"/>
        <w:rPr>
          <w:sz w:val="24"/>
          <w:szCs w:val="24"/>
        </w:rPr>
      </w:pPr>
      <w:bookmarkStart w:id="41" w:name="_Toc54643709"/>
      <w:bookmarkStart w:id="42" w:name="_Toc141969504"/>
      <w:bookmarkStart w:id="43" w:name="_Toc51339698"/>
      <w:bookmarkStart w:id="44" w:name="_Toc50125131"/>
      <w:r>
        <w:rPr>
          <w:b/>
          <w:sz w:val="24"/>
          <w:szCs w:val="24"/>
        </w:rPr>
        <w:t xml:space="preserve">Таблица 4. Требования к </w:t>
      </w:r>
      <w:bookmarkEnd w:id="43"/>
      <w:bookmarkEnd w:id="44"/>
      <w:r>
        <w:rPr>
          <w:b/>
          <w:sz w:val="24"/>
          <w:szCs w:val="24"/>
        </w:rPr>
        <w:t>качеству услуг</w:t>
      </w:r>
      <w:bookmarkEnd w:id="41"/>
      <w:bookmarkEnd w:id="42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(позиция № 1- таблицы 2): </w:t>
      </w:r>
      <w:r>
        <w:rPr>
          <w:rFonts w:eastAsia="Calibri"/>
          <w:b w:val="false"/>
          <w:bCs w:val="false"/>
          <w:sz w:val="24"/>
          <w:szCs w:val="24"/>
        </w:rPr>
        <w:t>ОКПД2 49.41.20.000 Оказание услуг спецтехники с экипажем для нужд Дагестанского филиала АО «Гидроремонт-ВКК» в г. Махачкала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val="ru-RU" w:eastAsia="x-none"/>
        </w:rPr>
        <w:t>.</w:t>
      </w:r>
    </w:p>
    <w:tbl>
      <w:tblPr>
        <w:tblStyle w:val="affffa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0"/>
        <w:gridCol w:w="3049"/>
        <w:gridCol w:w="6252"/>
      </w:tblGrid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45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5"/>
          </w:p>
        </w:tc>
        <w:tc>
          <w:tcPr>
            <w:tcW w:w="30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30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6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304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 в части оказания услуг</w:t>
            </w:r>
          </w:p>
        </w:tc>
        <w:tc>
          <w:tcPr>
            <w:tcW w:w="6252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перед третьими лицами за ущерб оказанный в процессе оказания услуг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4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оказывает Услуги, в соответствии с потребностью Заказчика, на основании соответствующей заявки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4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производит страхование Техники и несет ответственность за возможный ущерб, причиненный Заказчику, в случае ненадлежащей эксплуатации Исполнителем ТС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30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Используемые ТС должны соответствовать требованиям безопасности, общим требованиям, установленным «ГОСТ 25646-95. Эксплуатация строительных машин. Общие требования», ГОСТ 33997-2016 «Колесные транспортные средства. Требования к безопасности в эксплуатации и методы проверки»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304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Выпускать на маршрут технически исправную Технику, прошедшую в установленном порядке государственный технический осмотр.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4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(по мере необходимости), техническое обслуживание и ремонт, в том числе приобретение запасных частей, шин, расходных материалов) заправка топливом и смазочными материалами автотранспорта и спецтехники осуществляется силами и средствами Исполнителя,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304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6252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и водительское удостоверение с разрешенной категорией</w:t>
            </w:r>
          </w:p>
        </w:tc>
      </w:tr>
      <w:tr>
        <w:trPr>
          <w:trHeight w:val="20" w:hRule="atLeast"/>
        </w:trPr>
        <w:tc>
          <w:tcPr>
            <w:tcW w:w="620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4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6252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Разрешается допускать к управлению, только специально обученных и имеющих опыт работы на ТС операторов-водителей, имеющих соответствующую квалификацию, прошедших стажировку и медицинское освидетельствование, предрейсовый, послерейсовый медосмотр собственным лицензированным медицинским работником или, при наличии договора на данный вид услуг, медицинским учреждением согласно рекомендациям Минздрава РФ и Минтранса РФ от 29.01.02 г и требованиями ФЗ от 10.12.1995 № 96-ФЗ «О безопасности дорожного движения».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Исполнителя технологической, производственной и трудовой дисциплин</w:t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</w:t>
            </w:r>
          </w:p>
        </w:tc>
        <w:tc>
          <w:tcPr>
            <w:tcW w:w="30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техники предоставляемых Заказчику.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предоставить документы о праве собственности или владения техникой (ПТС или договор аренды техники у собственника).  Документы предоставляются после заключения договора.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7.1</w:t>
            </w:r>
          </w:p>
        </w:tc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25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техники,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8.1</w:t>
            </w:r>
          </w:p>
        </w:tc>
        <w:tc>
          <w:tcPr>
            <w:tcW w:w="30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2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технику с аналогичными техническими характеристиками, соответствующими условиям Договора и на условиях, согласованных в Заявках.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9.1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 маш/часа</w:t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1 маш/часа является фиксированной и постоянной на протяжении всего срока действия договора</w:t>
            </w:r>
          </w:p>
        </w:tc>
      </w:tr>
      <w:tr>
        <w:trPr>
          <w:trHeight w:val="20" w:hRule="atLeast"/>
        </w:trPr>
        <w:tc>
          <w:tcPr>
            <w:tcW w:w="620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9.2</w:t>
            </w:r>
          </w:p>
        </w:tc>
        <w:tc>
          <w:tcPr>
            <w:tcW w:w="30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Конфиденциальность</w:t>
            </w:r>
          </w:p>
        </w:tc>
        <w:tc>
          <w:tcPr>
            <w:tcW w:w="62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гарантировать наличие у персонала необходимых допусков и разрешений для оказания услуг, соблюдение установленных на объекте режимных требований при входе и выходе персонала, въезде, выезде Техники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hanging="357" w:left="357"/>
        <w:outlineLvl w:val="0"/>
        <w:rPr>
          <w:sz w:val="24"/>
          <w:szCs w:val="24"/>
        </w:rPr>
      </w:pPr>
      <w:r>
        <w:rPr>
          <w:rFonts w:eastAsia="Calibri"/>
          <w:b/>
          <w:iCs/>
          <w:sz w:val="24"/>
          <w:szCs w:val="24"/>
          <w:lang w:eastAsia="x-none"/>
        </w:rPr>
        <w:t>3. Требования к документации по ценообразованию на этапе закупки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3.2.   Дополнительные документы по ценообразованию в состав заявки не включаются.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202B1-4B86-46DA-923B-925B9DDB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Application>AlterOffice/2026.2.0.0$Linux_X86_64 LibreOffice_project/bc4ef1adf80b36c7a6365f8ed6cbf29021361edd</Application>
  <AppVersion>15.0000</AppVersion>
  <Pages>5</Pages>
  <Words>1047</Words>
  <Characters>7192</Characters>
  <CharactersWithSpaces>8089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sunkulievaa@corp.gidroogk.com</cp:lastModifiedBy>
  <cp:lastPrinted>2025-03-26T13:19:00Z</cp:lastPrinted>
  <dcterms:modified xsi:type="dcterms:W3CDTF">2026-11-03T13:56:11Z</dcterms:modified>
  <cp:revision>93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