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10"/>
        <w:shd w:val="clear" w:color="auto" w:fill="auto"/>
        <w:spacing w:lineRule="auto" w:line="240"/>
        <w:ind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10"/>
        <w:shd w:val="clear" w:color="auto" w:fill="auto"/>
        <w:spacing w:lineRule="auto" w:line="240"/>
        <w:ind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10"/>
        <w:shd w:val="clear" w:color="auto" w:fill="auto"/>
        <w:spacing w:lineRule="auto" w:line="240"/>
        <w:ind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10"/>
        <w:shd w:val="clear" w:color="auto" w:fill="auto"/>
        <w:spacing w:lineRule="auto" w:line="240"/>
        <w:ind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10"/>
        <w:shd w:val="clear" w:color="auto" w:fill="auto"/>
        <w:spacing w:lineRule="auto" w:line="240"/>
        <w:ind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10"/>
        <w:shd w:val="clear" w:color="auto" w:fill="auto"/>
        <w:spacing w:lineRule="auto" w:line="240"/>
        <w:ind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10"/>
        <w:shd w:val="clear" w:color="auto" w:fill="auto"/>
        <w:spacing w:lineRule="auto" w:line="240"/>
        <w:ind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10"/>
        <w:shd w:val="clear" w:color="auto" w:fill="auto"/>
        <w:spacing w:lineRule="auto" w:line="240"/>
        <w:ind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10"/>
        <w:shd w:val="clear" w:color="auto" w:fill="auto"/>
        <w:spacing w:lineRule="auto" w:line="240"/>
        <w:ind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10"/>
        <w:shd w:val="clear" w:color="auto" w:fill="auto"/>
        <w:spacing w:lineRule="auto" w:line="240"/>
        <w:ind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10"/>
        <w:shd w:val="clear" w:color="auto" w:fill="auto"/>
        <w:spacing w:lineRule="auto" w:line="240"/>
        <w:ind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10"/>
        <w:shd w:val="clear" w:color="auto" w:fill="auto"/>
        <w:spacing w:lineRule="auto" w:line="240"/>
        <w:ind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10"/>
        <w:shd w:val="clear" w:color="auto" w:fill="auto"/>
        <w:spacing w:lineRule="auto" w:line="240"/>
        <w:ind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10"/>
        <w:shd w:val="clear" w:color="auto" w:fill="auto"/>
        <w:spacing w:lineRule="auto" w:line="240"/>
        <w:ind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10"/>
        <w:shd w:val="clear" w:color="auto" w:fill="auto"/>
        <w:spacing w:lineRule="auto" w:line="240"/>
        <w:ind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10"/>
        <w:shd w:val="clear" w:color="auto" w:fill="auto"/>
        <w:spacing w:lineRule="auto" w:line="240"/>
        <w:ind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10"/>
        <w:shd w:val="clear" w:color="auto" w:fill="auto"/>
        <w:spacing w:lineRule="auto" w:line="240"/>
        <w:ind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10"/>
        <w:shd w:val="clear" w:color="auto" w:fill="auto"/>
        <w:spacing w:lineRule="auto" w:line="240"/>
        <w:ind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10"/>
        <w:shd w:val="clear" w:color="auto" w:fill="auto"/>
        <w:spacing w:lineRule="auto" w:line="240"/>
        <w:ind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 w:val="false"/>
        <w:spacing w:lineRule="auto" w:line="360" w:before="0" w:after="261"/>
        <w:ind w:left="60"/>
        <w:contextualSpacing/>
        <w:jc w:val="center"/>
        <w:rPr/>
      </w:pPr>
      <w:r>
        <w:rPr>
          <w:b/>
          <w:bCs/>
          <w:sz w:val="24"/>
          <w:szCs w:val="24"/>
        </w:rPr>
        <w:t>Технические требования на оказание услуг</w:t>
      </w:r>
    </w:p>
    <w:p>
      <w:pPr>
        <w:pStyle w:val="Normal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ОКПД2 49.39.31 Оказание услуг по предоставлению спецтехники на Колымской ГЭС для нужд Башкирского филиала</w:t>
      </w:r>
    </w:p>
    <w:p>
      <w:pPr>
        <w:pStyle w:val="Normal"/>
        <w:numPr>
          <w:ilvl w:val="0"/>
          <w:numId w:val="0"/>
        </w:numPr>
        <w:spacing w:lineRule="auto" w:line="360"/>
        <w:ind w:hanging="0" w:left="0"/>
        <w:jc w:val="center"/>
        <w:outlineLvl w:val="0"/>
        <w:rPr>
          <w:rFonts w:eastAsia="Calibri"/>
          <w:b/>
          <w:bCs/>
          <w:color w:val="000000"/>
          <w:sz w:val="24"/>
          <w:szCs w:val="24"/>
          <w:lang w:eastAsia="en-US"/>
        </w:rPr>
      </w:pPr>
      <w:r>
        <w:rPr>
          <w:rFonts w:eastAsia="Calibri"/>
          <w:b/>
          <w:bCs/>
          <w:color w:val="000000"/>
          <w:sz w:val="24"/>
          <w:szCs w:val="24"/>
          <w:lang w:eastAsia="en-US"/>
        </w:rPr>
      </w:r>
    </w:p>
    <w:p>
      <w:pPr>
        <w:pStyle w:val="Normal"/>
        <w:widowControl w:val="false"/>
        <w:spacing w:before="0" w:after="261"/>
        <w:ind w:left="60"/>
        <w:contextualSpacing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Лот №0013-ТПиР БЕЗОП ДОХ-2026-ГРВКК-БашФ-Стор</w:t>
      </w:r>
    </w:p>
    <w:p>
      <w:pPr>
        <w:pStyle w:val="Normal"/>
        <w:widowControl w:val="false"/>
        <w:spacing w:before="0" w:after="261"/>
        <w:ind w:left="60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 w:val="false"/>
        <w:spacing w:before="0" w:after="261"/>
        <w:ind w:left="60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10"/>
        <w:shd w:val="clear" w:color="auto" w:fill="auto"/>
        <w:spacing w:lineRule="exact" w:line="331" w:before="0" w:after="263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Normal"/>
        <w:jc w:val="center"/>
        <w:rPr>
          <w:sz w:val="24"/>
          <w:szCs w:val="24"/>
        </w:rPr>
      </w:pPr>
      <w:r>
        <w:rPr>
          <w:b/>
          <w:sz w:val="24"/>
          <w:szCs w:val="24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/>
          </w:pPr>
          <w:r>
            <w:fldChar w:fldCharType="begin"/>
          </w:r>
          <w:r>
            <w:rPr>
              <w:webHidden/>
              <w:rStyle w:val="Style17"/>
              <w:vanish w:val="false"/>
              <w:rFonts w:cs="Times New Roman"/>
            </w:rPr>
            <w:instrText xml:space="preserve"> TOC \z \o "1-4" \u \h</w:instrText>
          </w:r>
          <w:r>
            <w:rPr>
              <w:webHidden/>
              <w:rStyle w:val="Style17"/>
              <w:vanish w:val="false"/>
              <w:rFonts w:cs="Times New Roman"/>
            </w:rPr>
            <w:fldChar w:fldCharType="separate"/>
          </w:r>
          <w:hyperlink w:anchor="_Toc54643694">
            <w:r>
              <w:rPr>
                <w:webHidden/>
                <w:rStyle w:val="Style17"/>
                <w:rFonts w:cs="Times New Roman"/>
                <w:vanish w:val="false"/>
              </w:rPr>
              <w:t>1.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7"/>
                <w:rFonts w:cs="Times New Roman"/>
              </w:rPr>
              <w:tab/>
              <w:t>Общие сведения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54643695">
            <w:r>
              <w:rPr>
                <w:webHidden/>
                <w:rStyle w:val="Style17"/>
                <w:bCs w:val="false"/>
                <w:vanish w:val="false"/>
              </w:rPr>
              <w:t>1.1.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7"/>
                <w:bCs w:val="false"/>
              </w:rPr>
              <w:tab/>
              <w:t>Обозначения и сокращения…………………………………………………………….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54643696">
            <w:r>
              <w:rPr>
                <w:webHidden/>
                <w:rStyle w:val="Style17"/>
                <w:bCs w:val="false"/>
                <w:vanish w:val="false"/>
              </w:rPr>
              <w:t>1.2.</w:t>
            </w:r>
            <w:r>
              <w:rPr>
                <w:rStyle w:val="Style17"/>
                <w:bCs w:val="false"/>
              </w:rPr>
              <w:tab/>
              <w:t>Наименование закупаемой продукции………………………………………………..</w:t>
            </w:r>
            <w:r>
              <w:rPr>
                <w:rStyle w:val="Style17"/>
                <w:b/>
                <w:bCs w:val="false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7"/>
                <w:bCs w:val="false"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54643697">
            <w:r>
              <w:rPr>
                <w:webHidden/>
                <w:rStyle w:val="Style17"/>
                <w:bCs w:val="false"/>
                <w:vanish w:val="false"/>
              </w:rPr>
              <w:t>1.3.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7"/>
                <w:bCs w:val="false"/>
              </w:rPr>
              <w:tab/>
              <w:t>Цель оказания услуг……………………………………………………………………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54643698">
            <w:r>
              <w:rPr>
                <w:webHidden/>
                <w:rStyle w:val="Style17"/>
                <w:bCs w:val="false"/>
                <w:vanish w:val="false"/>
              </w:rPr>
              <w:t>1.4.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7"/>
                <w:bCs w:val="false"/>
              </w:rPr>
              <w:tab/>
              <w:t>Существующее положение ……………………………………………………………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/>
          </w:pPr>
          <w:hyperlink w:anchor="_Toc54643699">
            <w:r>
              <w:rPr>
                <w:webHidden/>
                <w:rStyle w:val="Style17"/>
                <w:rFonts w:cs="Times New Roman"/>
                <w:vanish w:val="false"/>
              </w:rPr>
              <w:t>Таблица 1. Перечень объектов заказчика</w:t>
            </w:r>
            <w:r>
              <w:rPr>
                <w:rStyle w:val="Style17"/>
                <w:rFonts w:cs="Times New Roman"/>
              </w:rPr>
              <w:tab/>
            </w:r>
          </w:hyperlink>
          <w:r>
            <w:rPr>
              <w:rFonts w:cs="Times New Roman"/>
            </w:rPr>
            <w:t>4</w:t>
          </w:r>
        </w:p>
        <w:p>
          <w:pPr>
            <w:pStyle w:val="TOC4"/>
            <w:rPr/>
          </w:pPr>
          <w:hyperlink w:anchor="_Toc54643701">
            <w:r>
              <w:rPr>
                <w:webHidden/>
                <w:rStyle w:val="Style17"/>
                <w:bCs w:val="false"/>
                <w:vanish w:val="false"/>
              </w:rPr>
              <w:t>1.5.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7"/>
                <w:bCs w:val="false"/>
              </w:rPr>
              <w:tab/>
              <w:t>Иные требования и сведения общего характера……………………………………...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/>
          </w:pPr>
          <w:hyperlink w:anchor="_Toc54643702">
            <w:r>
              <w:rPr>
                <w:webHidden/>
                <w:rStyle w:val="Style17"/>
                <w:rFonts w:cs="Times New Roman"/>
                <w:vanish w:val="false"/>
              </w:rPr>
              <w:t>2.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7"/>
                <w:rFonts w:cs="Times New Roman"/>
              </w:rPr>
              <w:tab/>
              <w:t>Требования к продукции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54643703">
            <w:r>
              <w:rPr>
                <w:webHidden/>
                <w:rStyle w:val="Style17"/>
                <w:bCs w:val="false"/>
                <w:vanish w:val="false"/>
              </w:rPr>
              <w:t xml:space="preserve">2.1.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7"/>
                <w:bCs w:val="false"/>
              </w:rPr>
              <w:t>Требования к объемам и срокам оказания услуг…</w:t>
              <w:tab/>
              <w:t>…………………….…………….5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rPr/>
          </w:pPr>
          <w:r>
            <w:rPr>
              <w:bCs w:val="false"/>
            </w:rPr>
            <w:t xml:space="preserve">       </w:t>
          </w:r>
          <w:hyperlink w:anchor="_Toc54643704">
            <w:r>
              <w:rPr>
                <w:webHidden/>
                <w:rStyle w:val="Style17"/>
                <w:bCs w:val="false"/>
                <w:vanish w:val="false"/>
              </w:rPr>
              <w:t>2.1. Требования к перечню и объему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7"/>
                <w:bCs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/>
          </w:pPr>
          <w:hyperlink w:anchor="_Toc54643705">
            <w:r>
              <w:rPr>
                <w:webHidden/>
                <w:rStyle w:val="Style17"/>
                <w:rFonts w:cs="Times New Roman"/>
                <w:vanish w:val="false"/>
              </w:rPr>
              <w:t>Таблица 2. Перечень и объем оказываемых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7"/>
                <w:rFonts w:cs="Times New Roman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rPr/>
          </w:pPr>
          <w:r>
            <w:rPr>
              <w:b/>
              <w:bCs w:val="false"/>
            </w:rPr>
            <w:t xml:space="preserve">      </w:t>
          </w:r>
          <w:hyperlink w:anchor="_Toc54643706">
            <w:r>
              <w:rPr>
                <w:webHidden/>
                <w:rStyle w:val="Style17"/>
                <w:bCs w:val="false"/>
                <w:vanish w:val="false"/>
              </w:rPr>
              <w:t>2.1.2 Требования к срокам оказания услуг</w:t>
            </w:r>
            <w:r>
              <w:rPr>
                <w:rStyle w:val="Style17"/>
                <w:bCs w:val="false"/>
              </w:rPr>
              <w:tab/>
            </w:r>
          </w:hyperlink>
          <w:r>
            <w:rPr>
              <w:bCs w:val="false"/>
            </w:rPr>
            <w:t>5</w:t>
          </w:r>
        </w:p>
        <w:p>
          <w:pPr>
            <w:pStyle w:val="TOC1"/>
            <w:tabs>
              <w:tab w:val="clear" w:pos="708"/>
              <w:tab w:val="right" w:pos="9911" w:leader="dot"/>
            </w:tabs>
            <w:rPr/>
          </w:pPr>
          <w:hyperlink w:anchor="_Toc54643707">
            <w:r>
              <w:rPr>
                <w:webHidden/>
                <w:rStyle w:val="Style17"/>
                <w:rFonts w:cs="Times New Roman"/>
                <w:vanish w:val="false"/>
              </w:rPr>
              <w:t>Таблица 3. Требования к срокам оказания услуг</w:t>
            </w:r>
            <w:r>
              <w:rPr>
                <w:rStyle w:val="Style17"/>
                <w:rFonts w:cs="Times New Roman"/>
              </w:rPr>
              <w:tab/>
            </w:r>
          </w:hyperlink>
          <w:r>
            <w:rPr>
              <w:rFonts w:cs="Times New Roman"/>
            </w:rPr>
            <w:t>5</w:t>
          </w:r>
        </w:p>
        <w:p>
          <w:pPr>
            <w:pStyle w:val="TOC3"/>
            <w:rPr/>
          </w:pPr>
          <w:r>
            <w:rPr>
              <w:bCs w:val="false"/>
            </w:rPr>
            <w:t xml:space="preserve">      </w:t>
          </w:r>
          <w:r>
            <w:rPr>
              <w:bCs w:val="false"/>
            </w:rPr>
            <w:t>2.3. Требования к качеству услуг</w:t>
            <w:tab/>
            <w:t>6</w:t>
          </w:r>
        </w:p>
        <w:p>
          <w:pPr>
            <w:pStyle w:val="TOC1"/>
            <w:tabs>
              <w:tab w:val="clear" w:pos="708"/>
              <w:tab w:val="right" w:pos="9911" w:leader="dot"/>
            </w:tabs>
            <w:spacing w:lineRule="auto" w:line="276"/>
            <w:rPr/>
          </w:pPr>
          <w:hyperlink w:anchor="_Toc54643709">
            <w:r>
              <w:rPr>
                <w:webHidden/>
                <w:rStyle w:val="Style17"/>
                <w:rFonts w:cs="Times New Roman"/>
                <w:vanish w:val="false"/>
              </w:rPr>
              <w:t>Таблица 4. Требования к качеству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7"/>
                <w:rFonts w:cs="Times New Roman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/>
          </w:pPr>
          <w:r>
            <w:rPr>
              <w:rFonts w:cs="Times New Roman"/>
            </w:rPr>
            <w:t>3</w:t>
          </w:r>
          <w:hyperlink w:anchor="_Toc54643694">
            <w:r>
              <w:rPr>
                <w:webHidden/>
                <w:rStyle w:val="Style17"/>
                <w:rFonts w:cs="Times New Roman"/>
                <w:vanish w:val="false"/>
              </w:rPr>
              <w:t>.</w:t>
            </w:r>
            <w:r>
              <w:rPr>
                <w:rStyle w:val="Style17"/>
                <w:rFonts w:cs="Times New Roman"/>
              </w:rPr>
              <w:tab/>
              <w:t>Требования к документации по ценообразованию на этапе закупки</w:t>
              <w:tab/>
            </w:r>
          </w:hyperlink>
          <w:r>
            <w:rPr>
              <w:rFonts w:cs="Times New Roman"/>
            </w:rPr>
            <w:t>10</w:t>
          </w:r>
          <w:r>
            <w:rPr>
              <w:rFonts w:cs="Times New Roman"/>
            </w:rPr>
            <w:fldChar w:fldCharType="end"/>
          </w:r>
        </w:p>
      </w:sdtContent>
    </w:sdt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TOC1"/>
        <w:tabs>
          <w:tab w:val="clear" w:pos="708"/>
          <w:tab w:val="right" w:pos="9911" w:leader="dot"/>
        </w:tabs>
        <w:rPr>
          <w:rFonts w:eastAsia="" w:cs="Times New Roman" w:eastAsiaTheme="minorEastAsia"/>
          <w:b w:val="false"/>
          <w:bCs w:val="false"/>
        </w:rPr>
      </w:pPr>
      <w:r>
        <w:rPr>
          <w:rFonts w:eastAsia="" w:cs="Times New Roman" w:eastAsiaTheme="minorEastAsia"/>
          <w:b w:val="false"/>
          <w:bCs w:val="false"/>
        </w:rPr>
      </w:r>
    </w:p>
    <w:p>
      <w:pPr>
        <w:pStyle w:val="Heading2"/>
        <w:tabs>
          <w:tab w:val="clear" w:pos="0"/>
          <w:tab w:val="left" w:pos="851" w:leader="none"/>
          <w:tab w:val="left" w:pos="993" w:leader="none"/>
          <w:tab w:val="left" w:pos="1701" w:leader="none"/>
        </w:tabs>
        <w:rPr/>
      </w:pPr>
      <w:r>
        <w:rPr/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ind w:hanging="0" w:left="4253"/>
        <w:rPr>
          <w:sz w:val="24"/>
          <w:szCs w:val="24"/>
        </w:rPr>
      </w:pPr>
      <w:bookmarkStart w:id="0" w:name="_Toc54643694"/>
      <w:r>
        <w:rPr>
          <w:b/>
          <w:sz w:val="24"/>
          <w:szCs w:val="24"/>
        </w:rPr>
        <w:t>Общие сведения</w:t>
      </w:r>
      <w:bookmarkEnd w:id="0"/>
      <w:r>
        <w:rPr>
          <w:b/>
          <w:sz w:val="24"/>
          <w:szCs w:val="24"/>
          <w:lang w:val="ru-RU"/>
        </w:rPr>
        <w:t>.</w:t>
      </w:r>
    </w:p>
    <w:p>
      <w:pPr>
        <w:pStyle w:val="Heading4"/>
        <w:numPr>
          <w:ilvl w:val="1"/>
          <w:numId w:val="3"/>
        </w:numPr>
        <w:ind w:hanging="0" w:left="0"/>
        <w:rPr/>
      </w:pPr>
      <w:bookmarkStart w:id="1" w:name="_Toc54643695"/>
      <w:bookmarkStart w:id="2" w:name="_Toc46743505"/>
      <w:r>
        <w:rPr/>
        <w:t>Обозначения и сокращения</w:t>
      </w:r>
      <w:bookmarkEnd w:id="1"/>
      <w:bookmarkEnd w:id="2"/>
      <w:r>
        <w:rPr>
          <w:lang w:val="ru-RU"/>
        </w:rPr>
        <w:t>:</w:t>
      </w:r>
    </w:p>
    <w:tbl>
      <w:tblPr>
        <w:tblW w:w="93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067"/>
        <w:gridCol w:w="7315"/>
      </w:tblGrid>
      <w:tr>
        <w:trPr>
          <w:cantSplit w:val="true"/>
        </w:trPr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РФ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</w:t>
            </w:r>
          </w:p>
        </w:tc>
      </w:tr>
      <w:tr>
        <w:trPr>
          <w:cantSplit w:val="true"/>
        </w:trPr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Обособленное подразделение «УКС-Запад» АО «Гидроремонт-ВКК»</w:t>
            </w:r>
          </w:p>
        </w:tc>
      </w:tr>
      <w:tr>
        <w:trPr>
          <w:cantSplit w:val="true"/>
        </w:trPr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ТТ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10"/>
              <w:shd w:val="clear" w:color="auto" w:fill="auto"/>
              <w:spacing w:lineRule="auto" w:line="2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Технические требования</w:t>
            </w:r>
          </w:p>
        </w:tc>
      </w:tr>
      <w:tr>
        <w:trPr>
          <w:cantSplit w:val="true"/>
        </w:trPr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ПС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Подъемные сооружения</w:t>
            </w:r>
          </w:p>
        </w:tc>
      </w:tr>
      <w:tr>
        <w:trPr>
          <w:cantSplit w:val="true"/>
        </w:trPr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ОРУ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  <w:shd w:fill="FFFFFF" w:val="clear"/>
              </w:rPr>
              <w:t>Открытое распределительное устройство</w:t>
            </w:r>
          </w:p>
        </w:tc>
      </w:tr>
      <w:tr>
        <w:trPr>
          <w:cantSplit w:val="true"/>
        </w:trPr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ВЛ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Высоковольтная линия</w:t>
            </w:r>
          </w:p>
        </w:tc>
      </w:tr>
      <w:tr>
        <w:trPr>
          <w:cantSplit w:val="true"/>
        </w:trPr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Спецтехника</w:t>
            </w:r>
          </w:p>
        </w:tc>
      </w:tr>
      <w:tr>
        <w:trPr>
          <w:cantSplit w:val="true"/>
        </w:trPr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НТД</w:t>
            </w:r>
          </w:p>
        </w:tc>
        <w:tc>
          <w:tcPr>
            <w:tcW w:w="73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Нормотивно-техническая документация</w:t>
            </w:r>
          </w:p>
        </w:tc>
      </w:tr>
      <w:tr>
        <w:trPr>
          <w:cantSplit w:val="true"/>
        </w:trPr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  <w:lang w:val="en-US"/>
              </w:rPr>
              <w:t>аш</w:t>
            </w:r>
            <w:r>
              <w:rPr>
                <w:sz w:val="24"/>
                <w:szCs w:val="24"/>
              </w:rPr>
              <w:t>/час</w:t>
            </w:r>
          </w:p>
        </w:tc>
        <w:tc>
          <w:tcPr>
            <w:tcW w:w="73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машино-час</w:t>
            </w:r>
          </w:p>
        </w:tc>
      </w:tr>
      <w:tr>
        <w:trPr>
          <w:cantSplit w:val="true"/>
        </w:trPr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ГПМ</w:t>
            </w:r>
          </w:p>
        </w:tc>
        <w:tc>
          <w:tcPr>
            <w:tcW w:w="73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Грузо-подъемные механизмы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3"/>
        </w:numPr>
        <w:ind w:hanging="0" w:left="0"/>
        <w:rPr/>
      </w:pPr>
      <w:bookmarkStart w:id="3" w:name="_Toc54643696"/>
      <w:bookmarkStart w:id="4" w:name="_Toc46743506"/>
      <w:r>
        <w:rPr>
          <w:b/>
        </w:rPr>
        <w:t>Наименование закупаемой продукции</w:t>
      </w:r>
      <w:bookmarkEnd w:id="3"/>
      <w:bookmarkEnd w:id="4"/>
      <w:r>
        <w:rPr>
          <w:b/>
          <w:lang w:val="ru-RU"/>
        </w:rPr>
        <w:t>.</w:t>
      </w:r>
    </w:p>
    <w:p>
      <w:pPr>
        <w:pStyle w:val="Normal"/>
        <w:jc w:val="both"/>
        <w:rPr/>
      </w:pPr>
      <w:r>
        <w:rPr>
          <w:sz w:val="24"/>
          <w:szCs w:val="24"/>
        </w:rPr>
        <w:t>ОКПД2 49.39.31 Оказание услуг по предоставлению спецтехники на Колымской ГЭС для нужд Башкирского филиала.</w:t>
      </w:r>
      <w:r>
        <w:rPr>
          <w:bCs/>
          <w:sz w:val="24"/>
          <w:szCs w:val="24"/>
        </w:rPr>
        <w:t>(далее- Услуги)</w:t>
      </w:r>
      <w:r>
        <w:rPr>
          <w:rFonts w:eastAsia="Calibri"/>
          <w:bCs/>
          <w:i/>
          <w:sz w:val="24"/>
          <w:szCs w:val="24"/>
          <w:lang w:eastAsia="x-none"/>
        </w:rPr>
        <w:t>.</w:t>
      </w:r>
    </w:p>
    <w:p>
      <w:pPr>
        <w:pStyle w:val="Heading4"/>
        <w:numPr>
          <w:ilvl w:val="1"/>
          <w:numId w:val="3"/>
        </w:numPr>
        <w:spacing w:before="0" w:after="0"/>
        <w:ind w:hanging="0" w:left="0"/>
        <w:contextualSpacing/>
        <w:rPr/>
      </w:pPr>
      <w:bookmarkStart w:id="5" w:name="_Toc54643697"/>
      <w:bookmarkStart w:id="6" w:name="_Toc46743507"/>
      <w:r>
        <w:rPr>
          <w:b/>
        </w:rPr>
        <w:t xml:space="preserve">Цель </w:t>
      </w:r>
      <w:bookmarkEnd w:id="6"/>
      <w:r>
        <w:rPr>
          <w:b/>
        </w:rPr>
        <w:t>оказания услуг</w:t>
      </w:r>
      <w:bookmarkEnd w:id="5"/>
      <w:r>
        <w:rPr>
          <w:b/>
        </w:rPr>
        <w:t>.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bCs/>
          <w:sz w:val="24"/>
          <w:szCs w:val="24"/>
        </w:rPr>
        <w:t>Целью является исполнение обязательств по договору подряду №3716-КГЭС/ТПИР БЕЗОП от 14.05.2026</w:t>
      </w:r>
      <w:r>
        <w:rPr>
          <w:bCs/>
          <w:color w:val="000000" w:themeColor="text1"/>
          <w:sz w:val="24"/>
          <w:szCs w:val="24"/>
        </w:rPr>
        <w:t xml:space="preserve"> «ОКПД2 80.20.10 Выполнение монтажных работ в части инженерно-технических средствзащиты, включая поставку оборудования и материалов по 3-м системам (системе контроля и управление доступом; системе охранной, телевизионной; инженерно-технических средств защиты) комплексной системы безопасности Колымской ГЭС в рамках инвестиционного проекта L_T-7036-100 для нужд филиала «Колымская ГЭС имени Фриштера Ю.И.» ПАО «Колымаэнерго»</w:t>
      </w:r>
      <w:r>
        <w:rPr>
          <w:bCs/>
          <w:sz w:val="24"/>
          <w:szCs w:val="24"/>
        </w:rPr>
        <w:t>».</w:t>
      </w:r>
    </w:p>
    <w:p>
      <w:pPr>
        <w:pStyle w:val="Heading4"/>
        <w:numPr>
          <w:ilvl w:val="1"/>
          <w:numId w:val="3"/>
        </w:numPr>
        <w:spacing w:before="0" w:after="0"/>
        <w:ind w:hanging="0" w:left="0"/>
        <w:contextualSpacing/>
        <w:rPr/>
      </w:pPr>
      <w:bookmarkStart w:id="7" w:name="_Toc46743508"/>
      <w:bookmarkStart w:id="8" w:name="_Toc54643698"/>
      <w:r>
        <w:rPr>
          <w:b/>
        </w:rPr>
        <w:t>Существующее положение</w:t>
      </w:r>
      <w:bookmarkStart w:id="9" w:name="_Toc54643699"/>
      <w:bookmarkEnd w:id="7"/>
      <w:bookmarkEnd w:id="8"/>
      <w:r>
        <w:rPr>
          <w:b/>
          <w:lang w:val="ru-RU"/>
        </w:rPr>
        <w:t>.</w:t>
      </w:r>
    </w:p>
    <w:p>
      <w:pPr>
        <w:pStyle w:val="Heading3"/>
        <w:numPr>
          <w:ilvl w:val="2"/>
          <w:numId w:val="3"/>
        </w:numPr>
        <w:spacing w:before="0" w:after="0"/>
        <w:ind w:hanging="0" w:left="0"/>
        <w:contextualSpacing/>
        <w:rPr/>
      </w:pPr>
      <w:r>
        <w:rPr/>
        <w:t>Заказчик</w:t>
      </w:r>
      <w:r>
        <w:rPr>
          <w:lang w:val="ru-RU"/>
        </w:rPr>
        <w:t>: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АО «Гидроремонт-ВКК», Нижегородская обл., г.о. город Нижний Новгород, 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г. Нижний Новгород, пер. Мотальный, д.8 помещ. ВП31, офис С1А </w:t>
      </w:r>
    </w:p>
    <w:p>
      <w:pPr>
        <w:pStyle w:val="Normal"/>
        <w:ind w:hanging="567" w:left="567"/>
        <w:jc w:val="both"/>
        <w:rPr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Башкирский Филиал АО «Гидроремонт-ВКК» в г.Уфа </w:t>
      </w:r>
    </w:p>
    <w:p>
      <w:pPr>
        <w:pStyle w:val="Normal"/>
        <w:ind w:hanging="567" w:left="567"/>
        <w:jc w:val="both"/>
        <w:rPr>
          <w:sz w:val="24"/>
          <w:szCs w:val="24"/>
        </w:rPr>
      </w:pPr>
      <w:r>
        <w:rPr>
          <w:color w:val="000000" w:themeColor="text1"/>
          <w:sz w:val="24"/>
          <w:szCs w:val="24"/>
        </w:rPr>
        <w:t>Адрес филиала: адрес: 450000, РБ, г. Уфа, ул. Цюрупы,74.</w:t>
      </w:r>
    </w:p>
    <w:p>
      <w:pPr>
        <w:pStyle w:val="Heading1"/>
        <w:tabs>
          <w:tab w:val="clear" w:pos="0"/>
          <w:tab w:val="left" w:pos="851" w:leader="none"/>
          <w:tab w:val="left" w:pos="993" w:leader="none"/>
          <w:tab w:val="left" w:pos="1701" w:leader="none"/>
        </w:tabs>
        <w:rPr>
          <w:sz w:val="24"/>
          <w:szCs w:val="24"/>
        </w:rPr>
      </w:pPr>
      <w:r>
        <w:rPr>
          <w:b/>
          <w:sz w:val="24"/>
          <w:szCs w:val="24"/>
        </w:rPr>
        <w:t>Таблица 1. Перечень объектов заказчика</w:t>
      </w:r>
      <w:bookmarkEnd w:id="9"/>
      <w:r>
        <w:rPr>
          <w:b/>
          <w:sz w:val="24"/>
          <w:szCs w:val="24"/>
        </w:rPr>
        <w:t>.</w:t>
      </w:r>
    </w:p>
    <w:tbl>
      <w:tblPr>
        <w:tblW w:w="9750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546"/>
        <w:gridCol w:w="3260"/>
        <w:gridCol w:w="3421"/>
        <w:gridCol w:w="2522"/>
      </w:tblGrid>
      <w:tr>
        <w:trPr/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ind w:hanging="6"/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6" w:left="284"/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ind w:hanging="6" w:left="284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6" w:left="-107"/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Расположение объекта </w:t>
            </w:r>
            <w:r>
              <w:rPr>
                <w:iCs/>
                <w:color w:val="000000" w:themeColor="text1"/>
                <w:sz w:val="24"/>
                <w:szCs w:val="24"/>
              </w:rPr>
              <w:t>(место оказания услуг)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6" w:left="-101"/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Наименование основного средства (в отношении которого оказываются услуги)</w:t>
            </w:r>
          </w:p>
        </w:tc>
      </w:tr>
      <w:tr>
        <w:trPr/>
        <w:tc>
          <w:tcPr>
            <w:tcW w:w="5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709" w:leader="none"/>
              </w:tabs>
              <w:spacing w:before="120" w:after="120"/>
              <w:ind w:hanging="6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Комплексной системы безопасности Колымской ГЭС</w:t>
            </w:r>
          </w:p>
        </w:tc>
        <w:tc>
          <w:tcPr>
            <w:tcW w:w="34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right="-13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Филиал</w:t>
            </w:r>
          </w:p>
          <w:p>
            <w:pPr>
              <w:pStyle w:val="Normal"/>
              <w:widowControl w:val="false"/>
              <w:ind w:right="-13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«Колымская ГЭС имени Фриштера Ю.И.» ПАО «Колымаэнерго», Российская Федерация,</w:t>
            </w:r>
          </w:p>
          <w:p>
            <w:pPr>
              <w:pStyle w:val="Normal"/>
              <w:widowControl w:val="false"/>
              <w:ind w:right="-13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Магаданская область, Ягоднинский район, п. Синегорье</w:t>
            </w:r>
          </w:p>
        </w:tc>
        <w:tc>
          <w:tcPr>
            <w:tcW w:w="25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709" w:leader="none"/>
              </w:tabs>
              <w:spacing w:before="120" w:after="120"/>
              <w:ind w:hanging="6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Комплексной системы безопасности</w:t>
            </w:r>
          </w:p>
        </w:tc>
      </w:tr>
    </w:tbl>
    <w:p>
      <w:pPr>
        <w:pStyle w:val="Normal"/>
        <w:tabs>
          <w:tab w:val="clear" w:pos="708"/>
          <w:tab w:val="left" w:pos="851" w:leader="none"/>
          <w:tab w:val="left" w:pos="993" w:leader="none"/>
          <w:tab w:val="left" w:pos="1701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</w:p>
    <w:p>
      <w:pPr>
        <w:pStyle w:val="Heading4"/>
        <w:numPr>
          <w:ilvl w:val="1"/>
          <w:numId w:val="3"/>
        </w:numPr>
        <w:ind w:hanging="0" w:left="0"/>
        <w:rPr/>
      </w:pPr>
      <w:bookmarkStart w:id="10" w:name="_Toc54643701"/>
      <w:r>
        <w:rPr>
          <w:b/>
          <w:bCs/>
        </w:rPr>
        <w:t>Иные требования и сведения общего характера</w:t>
      </w:r>
      <w:bookmarkEnd w:id="10"/>
      <w:r>
        <w:rPr>
          <w:b/>
          <w:bCs/>
          <w:lang w:val="ru-RU"/>
        </w:rPr>
        <w:t>.</w:t>
      </w:r>
    </w:p>
    <w:p>
      <w:pPr>
        <w:pStyle w:val="Heading3"/>
        <w:numPr>
          <w:ilvl w:val="2"/>
          <w:numId w:val="3"/>
        </w:numPr>
        <w:ind w:hanging="0" w:left="0"/>
        <w:rPr/>
      </w:pPr>
      <w:r>
        <w:rPr/>
        <w:t>Планируемое к использованию количество машино-часов, указывается в подаваемых Заказчиком заявках на оказание услуг. Минимальная продолжительность заявки –  один час. Доставка и вывоз специализированной техники до места работы не оплачивается Заказчиком.</w:t>
      </w:r>
    </w:p>
    <w:p>
      <w:pPr>
        <w:pStyle w:val="Normal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1.5.2.     </w:t>
      </w:r>
      <w:bookmarkStart w:id="11" w:name="_Toc54643700_Копия_2_Копия_2"/>
      <w:bookmarkStart w:id="12" w:name="_Toc46743509_Копия_2_Копия_2"/>
      <w:bookmarkStart w:id="13" w:name="_Hlk49857604_Копия_2_Копия_2"/>
      <w:r>
        <w:rPr>
          <w:color w:val="000000" w:themeColor="text1"/>
          <w:sz w:val="24"/>
          <w:szCs w:val="24"/>
        </w:rPr>
        <w:t xml:space="preserve">Информация в отношении исполнения договора, </w:t>
      </w:r>
      <w:bookmarkStart w:id="14" w:name="_Hlk46492347_Копия_2_Копия_2"/>
      <w:r>
        <w:rPr>
          <w:color w:val="000000" w:themeColor="text1"/>
          <w:sz w:val="24"/>
          <w:szCs w:val="24"/>
        </w:rPr>
        <w:t xml:space="preserve">которая должна быть </w:t>
      </w:r>
      <w:r>
        <w:rPr>
          <w:sz w:val="24"/>
          <w:szCs w:val="24"/>
        </w:rPr>
        <w:t xml:space="preserve">учтена при подготовке заявки </w:t>
      </w:r>
      <w:bookmarkEnd w:id="14"/>
      <w:r>
        <w:rPr>
          <w:sz w:val="24"/>
          <w:szCs w:val="24"/>
        </w:rPr>
        <w:t>(в том числе перечень ресурсов, услуг и документов, предоставляемых заказчиком на этапе исполнения договора)</w:t>
      </w:r>
      <w:bookmarkEnd w:id="11"/>
      <w:bookmarkEnd w:id="12"/>
      <w:bookmarkEnd w:id="13"/>
      <w:r>
        <w:rPr>
          <w:sz w:val="24"/>
          <w:szCs w:val="24"/>
        </w:rPr>
        <w:t>. Заказчик планирует использовать (применять) СТ в соответствии с номенклатурой (согласно табл.2. настоящих ТТ) и продолжительностью применения, указанных в подаваемых заявках Заказчика. При этом Заказчик оставляет за собой право исполнить договор не в полном объёме и не применять какую-либо единицу ПС в соответствии с номенклатурой (согласно табл.2.) в случае отсутствия необходимости.</w:t>
      </w:r>
    </w:p>
    <w:p>
      <w:pPr>
        <w:pStyle w:val="Heading1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2. </w:t>
      </w:r>
      <w:bookmarkStart w:id="15" w:name="_Toc54643702"/>
      <w:bookmarkStart w:id="16" w:name="_Toc51339693"/>
      <w:r>
        <w:rPr>
          <w:b/>
          <w:sz w:val="24"/>
          <w:szCs w:val="24"/>
        </w:rPr>
        <w:t>Требования к продукции</w:t>
      </w:r>
      <w:bookmarkEnd w:id="15"/>
      <w:bookmarkEnd w:id="16"/>
      <w:r>
        <w:rPr>
          <w:b/>
          <w:sz w:val="24"/>
          <w:szCs w:val="24"/>
        </w:rPr>
        <w:t>.</w:t>
      </w:r>
    </w:p>
    <w:p>
      <w:pPr>
        <w:pStyle w:val="Heading4"/>
        <w:spacing w:before="119" w:after="62"/>
        <w:contextualSpacing/>
        <w:jc w:val="left"/>
        <w:rPr/>
      </w:pPr>
      <w:r>
        <w:rPr>
          <w:b/>
        </w:rPr>
        <w:t xml:space="preserve">2.1. </w:t>
      </w:r>
      <w:bookmarkStart w:id="17" w:name="_Toc54643703"/>
      <w:r>
        <w:rPr>
          <w:b/>
        </w:rPr>
        <w:t xml:space="preserve">Требования к объемам и срокам </w:t>
      </w:r>
      <w:r>
        <w:rPr>
          <w:b/>
          <w:lang w:val="ru-RU"/>
        </w:rPr>
        <w:t>оказания услуг</w:t>
      </w:r>
      <w:bookmarkEnd w:id="17"/>
      <w:r>
        <w:rPr>
          <w:b/>
          <w:lang w:val="ru-RU"/>
        </w:rPr>
        <w:t xml:space="preserve">. </w:t>
      </w:r>
    </w:p>
    <w:p>
      <w:pPr>
        <w:pStyle w:val="Heading4"/>
        <w:spacing w:before="119" w:after="62"/>
        <w:contextualSpacing/>
        <w:jc w:val="left"/>
        <w:rPr/>
      </w:pPr>
      <w:r>
        <w:rPr>
          <w:b/>
        </w:rPr>
        <w:t xml:space="preserve">2.1.1 </w:t>
      </w:r>
      <w:bookmarkStart w:id="18" w:name="_Toc54643704"/>
      <w:r>
        <w:rPr>
          <w:b/>
        </w:rPr>
        <w:t>Требования к перечню и объему услуг</w:t>
      </w:r>
      <w:bookmarkEnd w:id="18"/>
      <w:r>
        <w:rPr>
          <w:b/>
        </w:rPr>
        <w:t>.</w:t>
      </w:r>
    </w:p>
    <w:p>
      <w:pPr>
        <w:pStyle w:val="Heading4"/>
        <w:spacing w:before="119" w:after="62"/>
        <w:contextualSpacing/>
        <w:jc w:val="left"/>
        <w:rPr/>
      </w:pPr>
      <w:bookmarkStart w:id="19" w:name="_Toc54643705"/>
      <w:bookmarkStart w:id="20" w:name="_Toc51339695"/>
      <w:r>
        <w:rPr>
          <w:b/>
        </w:rPr>
        <w:t xml:space="preserve">Таблица 2. Перечень </w:t>
      </w:r>
      <w:bookmarkEnd w:id="20"/>
      <w:r>
        <w:rPr>
          <w:b/>
        </w:rPr>
        <w:t xml:space="preserve">и </w:t>
      </w:r>
      <w:bookmarkEnd w:id="19"/>
      <w:r>
        <w:rPr>
          <w:b/>
        </w:rPr>
        <w:t>объем оказываемых услуг.</w:t>
      </w:r>
    </w:p>
    <w:tbl>
      <w:tblPr>
        <w:tblW w:w="9795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786"/>
        <w:gridCol w:w="4422"/>
        <w:gridCol w:w="3010"/>
        <w:gridCol w:w="1576"/>
      </w:tblGrid>
      <w:tr>
        <w:trPr/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услуги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>
        <w:trPr>
          <w:trHeight w:val="366" w:hRule="atLeast"/>
        </w:trPr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color w:val="000000"/>
                <w:sz w:val="24"/>
                <w:szCs w:val="24"/>
                <w:u w:val="none"/>
              </w:rPr>
              <w:t>ОКПД2 49.39.31 Оказание услуг по предоставлению спецтехники на Колымской ГЭС для нужд Башкирского филиала.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Условная единица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426" w:left="426"/>
        <w:rPr>
          <w:sz w:val="24"/>
          <w:szCs w:val="24"/>
        </w:rPr>
      </w:pPr>
      <w:r>
        <w:rPr>
          <w:sz w:val="24"/>
          <w:szCs w:val="24"/>
        </w:rPr>
        <w:t>*Перечень предоставляемой спецтехники с экипажем:</w:t>
      </w:r>
      <w:r>
        <w:br w:type="page"/>
      </w:r>
    </w:p>
    <w:tbl>
      <w:tblPr>
        <w:tblW w:w="9795" w:type="dxa"/>
        <w:jc w:val="left"/>
        <w:tblInd w:w="17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718"/>
        <w:gridCol w:w="2385"/>
        <w:gridCol w:w="3347"/>
        <w:gridCol w:w="1702"/>
        <w:gridCol w:w="1643"/>
      </w:tblGrid>
      <w:tr>
        <w:trPr>
          <w:trHeight w:val="914" w:hRule="atLeast"/>
        </w:trPr>
        <w:tc>
          <w:tcPr>
            <w:tcW w:w="71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color="FFFFFF" w:fill="auto" w:val="solid"/>
          </w:tcPr>
          <w:p>
            <w:pPr>
              <w:pStyle w:val="Normal"/>
              <w:pageBreakBefore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color="FFFFFF" w:fill="auto" w:val="solid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  спецтехники</w:t>
            </w:r>
          </w:p>
        </w:tc>
        <w:tc>
          <w:tcPr>
            <w:tcW w:w="334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color="FFFFFF" w:fill="auto" w:val="solid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и технические характеристики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color="FFFFFF" w:fill="auto" w:val="solid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Минимальная продолжительность заявки</w:t>
            </w:r>
          </w:p>
        </w:tc>
        <w:tc>
          <w:tcPr>
            <w:tcW w:w="16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Ориентировочное кол-во</w:t>
            </w:r>
          </w:p>
        </w:tc>
      </w:tr>
      <w:tr>
        <w:trPr>
          <w:trHeight w:val="610" w:hRule="atLeast"/>
        </w:trPr>
        <w:tc>
          <w:tcPr>
            <w:tcW w:w="71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color="FFFFFF" w:fill="auto" w:val="solid"/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color="FFFFFF" w:fill="auto" w:val="solid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  <w:lang w:eastAsia="x-none"/>
              </w:rPr>
              <w:t>Автобус</w:t>
            </w:r>
          </w:p>
        </w:tc>
        <w:tc>
          <w:tcPr>
            <w:tcW w:w="334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color="FFFFFF" w:fill="auto" w:val="solid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/>
              <w:t>Марка: Toyota Hiace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/>
              <w:t>Тип кузова: грузопассажирский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/>
              <w:t>Цель использования: перевозка пассажиров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/>
              <w:t>Количество мест: не менее 10 шт.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color="FFFFFF" w:fill="auto" w:val="solid"/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1 день (12 часов)</w:t>
            </w:r>
          </w:p>
        </w:tc>
        <w:tc>
          <w:tcPr>
            <w:tcW w:w="16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color="FFFFFF" w:fill="auto" w:val="solid"/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16 дней</w:t>
            </w:r>
          </w:p>
        </w:tc>
      </w:tr>
      <w:tr>
        <w:trPr>
          <w:trHeight w:val="610" w:hRule="atLeast"/>
        </w:trPr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FFFFFF" w:fill="auto" w:val="solid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hd w:fill="FFFFFF" w:val="clear"/>
              </w:rPr>
            </w:pPr>
            <w:r>
              <w:rPr>
                <w:sz w:val="24"/>
                <w:szCs w:val="24"/>
                <w:shd w:fill="FFFFFF" w:val="clear"/>
              </w:rPr>
              <w:t>2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FFFFFF" w:fill="auto" w:val="solid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shd w:fill="FFFFFF" w:val="clear"/>
              </w:rPr>
            </w:pPr>
            <w:r>
              <w:rPr>
                <w:sz w:val="24"/>
                <w:szCs w:val="24"/>
                <w:shd w:fill="FFFFFF" w:val="clear"/>
              </w:rPr>
              <w:t>Бензогенератор</w:t>
            </w:r>
          </w:p>
        </w:tc>
        <w:tc>
          <w:tcPr>
            <w:tcW w:w="3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FFFFFF" w:fill="auto" w:val="solid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shd w:fill="FFFFFF" w:val="clear"/>
              </w:rPr>
            </w:pPr>
            <w:r>
              <w:rPr>
                <w:sz w:val="24"/>
                <w:szCs w:val="24"/>
                <w:shd w:fill="FFFFFF" w:val="clear"/>
              </w:rPr>
              <w:t>Тип генератора: Бензиновый</w:t>
            </w:r>
          </w:p>
          <w:p>
            <w:pPr>
              <w:pStyle w:val="Normal"/>
              <w:widowControl w:val="false"/>
              <w:jc w:val="center"/>
              <w:rPr>
                <w:shd w:fill="FFFFFF" w:val="clear"/>
              </w:rPr>
            </w:pPr>
            <w:r>
              <w:rPr>
                <w:sz w:val="24"/>
                <w:szCs w:val="24"/>
                <w:shd w:fill="FFFFFF" w:val="clear"/>
              </w:rPr>
              <w:t>Мощность: не менее 8 кВт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FFFFFF" w:fill="auto" w:val="solid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1 день (12 часов)</w:t>
            </w:r>
          </w:p>
        </w:tc>
        <w:tc>
          <w:tcPr>
            <w:tcW w:w="1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FFFFFF" w:fill="auto" w:val="solid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38дней</w:t>
            </w:r>
          </w:p>
        </w:tc>
      </w:tr>
    </w:tbl>
    <w:p>
      <w:pPr>
        <w:pStyle w:val="Heading4"/>
        <w:spacing w:before="119" w:after="62"/>
        <w:contextualSpacing/>
        <w:rPr>
          <w:b/>
        </w:rPr>
      </w:pPr>
      <w:r>
        <w:rPr>
          <w:b/>
        </w:rPr>
      </w:r>
      <w:bookmarkStart w:id="21" w:name="_Toc46743510_Копия_1"/>
      <w:bookmarkStart w:id="22" w:name="_Toc50125126_Копия_1"/>
      <w:bookmarkStart w:id="23" w:name="_Toc46743510_Копия_1"/>
      <w:bookmarkStart w:id="24" w:name="_Toc50125126_Копия_1"/>
      <w:bookmarkEnd w:id="23"/>
      <w:bookmarkEnd w:id="24"/>
    </w:p>
    <w:p>
      <w:pPr>
        <w:pStyle w:val="Heading4"/>
        <w:spacing w:before="119" w:after="62"/>
        <w:contextualSpacing/>
        <w:rPr/>
      </w:pPr>
      <w:r>
        <w:rPr>
          <w:b/>
        </w:rPr>
        <w:t xml:space="preserve">2.1.2. </w:t>
      </w:r>
      <w:bookmarkStart w:id="25" w:name="_Toc50125131"/>
      <w:bookmarkStart w:id="26" w:name="_Toc54643706"/>
      <w:bookmarkStart w:id="27" w:name="_Toc51339696"/>
      <w:r>
        <w:rPr>
          <w:b/>
        </w:rPr>
        <w:t xml:space="preserve">Требования </w:t>
      </w:r>
      <w:bookmarkEnd w:id="27"/>
      <w:r>
        <w:rPr>
          <w:b/>
        </w:rPr>
        <w:t xml:space="preserve">к </w:t>
      </w:r>
      <w:bookmarkEnd w:id="26"/>
      <w:r>
        <w:rPr>
          <w:b/>
        </w:rPr>
        <w:t>срокам оказания услуг.</w:t>
      </w:r>
    </w:p>
    <w:p>
      <w:pPr>
        <w:pStyle w:val="Heading4"/>
        <w:spacing w:before="119" w:after="62"/>
        <w:contextualSpacing/>
        <w:rPr/>
      </w:pPr>
      <w:r>
        <w:rPr>
          <w:b/>
        </w:rPr>
        <w:t xml:space="preserve">Таблица </w:t>
      </w:r>
      <w:r>
        <w:rPr>
          <w:b/>
          <w:lang w:val="ru-RU"/>
        </w:rPr>
        <w:t>3</w:t>
      </w:r>
      <w:r>
        <w:rPr>
          <w:b/>
        </w:rPr>
        <w:t xml:space="preserve">. Требования </w:t>
      </w:r>
      <w:r>
        <w:rPr>
          <w:b/>
          <w:lang w:val="ru-RU"/>
        </w:rPr>
        <w:t>к</w:t>
      </w:r>
      <w:r>
        <w:rPr>
          <w:b/>
        </w:rPr>
        <w:t xml:space="preserve"> срокам </w:t>
      </w:r>
      <w:r>
        <w:rPr>
          <w:b/>
          <w:lang w:val="ru-RU"/>
        </w:rPr>
        <w:t>оказания услуг.</w:t>
      </w:r>
    </w:p>
    <w:tbl>
      <w:tblPr>
        <w:tblW w:w="9750" w:type="dxa"/>
        <w:jc w:val="left"/>
        <w:tblInd w:w="20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17"/>
        <w:gridCol w:w="5787"/>
        <w:gridCol w:w="1755"/>
        <w:gridCol w:w="1590"/>
      </w:tblGrid>
      <w:tr>
        <w:trPr/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>
          <w:trHeight w:val="675" w:hRule="atLeast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Cs/>
                <w:color w:val="000000"/>
                <w:sz w:val="24"/>
                <w:szCs w:val="24"/>
                <w:lang w:eastAsia="x-none"/>
              </w:rPr>
              <w:t>Автобус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shd w:fill="FFFFFF" w:val="clear"/>
              </w:rPr>
            </w:pPr>
            <w:r>
              <w:rPr>
                <w:sz w:val="24"/>
                <w:szCs w:val="24"/>
                <w:shd w:fill="FFFFFF" w:val="clear"/>
              </w:rPr>
              <w:t>С 24.11.2026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hd w:fill="FFFFFF" w:val="clear"/>
              </w:rPr>
            </w:pPr>
            <w:r>
              <w:rPr>
                <w:sz w:val="24"/>
                <w:szCs w:val="24"/>
                <w:shd w:fill="FFFFFF" w:val="clear"/>
              </w:rPr>
              <w:t>10.12.2026</w:t>
            </w:r>
          </w:p>
        </w:tc>
      </w:tr>
      <w:tr>
        <w:trPr>
          <w:trHeight w:val="675" w:hRule="atLeast"/>
        </w:trPr>
        <w:tc>
          <w:tcPr>
            <w:tcW w:w="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7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hd w:fill="FFFFFF" w:val="clear"/>
              </w:rPr>
            </w:pPr>
            <w:r>
              <w:rPr>
                <w:sz w:val="24"/>
                <w:szCs w:val="24"/>
                <w:shd w:fill="FFFFFF" w:val="clear"/>
              </w:rPr>
              <w:t>Бензогенератор</w:t>
            </w:r>
          </w:p>
        </w:tc>
        <w:tc>
          <w:tcPr>
            <w:tcW w:w="1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shd w:fill="FFFFFF" w:val="clear"/>
              </w:rPr>
            </w:pPr>
            <w:r>
              <w:rPr>
                <w:sz w:val="24"/>
                <w:szCs w:val="24"/>
                <w:shd w:fill="FFFFFF" w:val="clear"/>
              </w:rPr>
              <w:t>23.11.2026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shd w:fill="FFFFFF" w:val="clear"/>
              </w:rPr>
            </w:pPr>
            <w:r>
              <w:rPr>
                <w:sz w:val="24"/>
                <w:szCs w:val="24"/>
                <w:shd w:fill="FFFFFF" w:val="clear"/>
              </w:rPr>
              <w:t>31.12.2026</w:t>
            </w:r>
          </w:p>
        </w:tc>
      </w:tr>
    </w:tbl>
    <w:p>
      <w:pPr>
        <w:pStyle w:val="Normal"/>
        <w:spacing w:before="119" w:after="62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</w:r>
      <w:bookmarkStart w:id="28" w:name="_GoBack"/>
      <w:bookmarkStart w:id="29" w:name="_GoBack"/>
      <w:bookmarkEnd w:id="29"/>
    </w:p>
    <w:p>
      <w:pPr>
        <w:pStyle w:val="Heading1"/>
        <w:spacing w:before="0" w:after="0"/>
        <w:contextualSpacing/>
        <w:rPr>
          <w:sz w:val="24"/>
          <w:szCs w:val="24"/>
        </w:rPr>
      </w:pPr>
      <w:r>
        <w:rPr>
          <w:b/>
          <w:sz w:val="24"/>
          <w:szCs w:val="24"/>
          <w:lang w:val="ru-RU"/>
        </w:rPr>
        <w:t>2.2. Требования к качеству услуг.</w:t>
      </w:r>
    </w:p>
    <w:p>
      <w:pPr>
        <w:pStyle w:val="Heading1"/>
        <w:tabs>
          <w:tab w:val="clear" w:pos="0"/>
          <w:tab w:val="left" w:pos="851" w:leader="none"/>
          <w:tab w:val="left" w:pos="993" w:leader="none"/>
          <w:tab w:val="left" w:pos="1701" w:leader="none"/>
        </w:tabs>
        <w:spacing w:before="0" w:after="0"/>
        <w:contextualSpacing/>
        <w:jc w:val="left"/>
        <w:rPr>
          <w:sz w:val="24"/>
          <w:szCs w:val="24"/>
        </w:rPr>
      </w:pPr>
      <w:r>
        <w:rPr>
          <w:b/>
          <w:sz w:val="24"/>
          <w:szCs w:val="24"/>
        </w:rPr>
        <w:t>Таблица </w:t>
      </w:r>
      <w:r>
        <w:rPr>
          <w:b/>
          <w:sz w:val="24"/>
          <w:szCs w:val="24"/>
          <w:lang w:val="ru-RU"/>
        </w:rPr>
        <w:t>4</w:t>
      </w:r>
      <w:r>
        <w:rPr>
          <w:b/>
          <w:sz w:val="24"/>
          <w:szCs w:val="24"/>
        </w:rPr>
        <w:t xml:space="preserve">. Требования к </w:t>
      </w:r>
      <w:bookmarkEnd w:id="25"/>
      <w:r>
        <w:rPr>
          <w:b/>
          <w:sz w:val="24"/>
          <w:szCs w:val="24"/>
          <w:lang w:val="ru-RU"/>
        </w:rPr>
        <w:t>качеству услуг.</w:t>
      </w:r>
      <w:r>
        <w:rPr>
          <w:b/>
          <w:sz w:val="24"/>
          <w:szCs w:val="24"/>
        </w:rPr>
        <w:t xml:space="preserve"> </w:t>
      </w:r>
    </w:p>
    <w:p>
      <w:pPr>
        <w:pStyle w:val="Normal"/>
        <w:spacing w:before="0" w:after="0"/>
        <w:contextualSpacing/>
        <w:rPr>
          <w:sz w:val="24"/>
          <w:szCs w:val="24"/>
        </w:rPr>
      </w:pPr>
      <w:r>
        <w:rPr>
          <w:b/>
          <w:sz w:val="24"/>
          <w:szCs w:val="24"/>
          <w:lang w:eastAsia="x-none"/>
        </w:rPr>
        <w:t>Наименование услуг:</w:t>
      </w:r>
      <w:r>
        <w:rPr>
          <w:sz w:val="24"/>
          <w:szCs w:val="24"/>
          <w:lang w:eastAsia="x-none"/>
        </w:rPr>
        <w:t xml:space="preserve"> в соответствии с Таблицей 2 ТТ «Перечень оказываемых услуг».</w:t>
      </w:r>
    </w:p>
    <w:tbl>
      <w:tblPr>
        <w:tblStyle w:val="affffd"/>
        <w:tblW w:w="9750" w:type="dxa"/>
        <w:jc w:val="left"/>
        <w:tblInd w:w="20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19"/>
        <w:gridCol w:w="1601"/>
        <w:gridCol w:w="388"/>
        <w:gridCol w:w="3588"/>
        <w:gridCol w:w="1794"/>
        <w:gridCol w:w="1560"/>
      </w:tblGrid>
      <w:tr>
        <w:trPr/>
        <w:tc>
          <w:tcPr>
            <w:tcW w:w="81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1989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588" w:type="dxa"/>
            <w:vMerge w:val="restart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335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819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989" w:type="dxa"/>
            <w:gridSpan w:val="2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588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794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156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81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bookmarkStart w:id="30" w:name="_Toc53499667"/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  <w:bookmarkEnd w:id="30"/>
          </w:p>
        </w:tc>
        <w:tc>
          <w:tcPr>
            <w:tcW w:w="198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588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1794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156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</w:tr>
      <w:tr>
        <w:trPr/>
        <w:tc>
          <w:tcPr>
            <w:tcW w:w="81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577" w:type="dxa"/>
            <w:gridSpan w:val="3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оказанию услуг</w:t>
            </w:r>
          </w:p>
        </w:tc>
        <w:tc>
          <w:tcPr>
            <w:tcW w:w="1794" w:type="dxa"/>
            <w:vMerge w:val="restart"/>
            <w:tcBorders>
              <w:right w:val="nil"/>
            </w:tcBorders>
            <w:vAlign w:val="center"/>
          </w:tcPr>
          <w:p>
            <w:pPr>
              <w:pStyle w:val="Style31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both"/>
              <w:outlineLvl w:val="2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iCs/>
                <w:kern w:val="0"/>
                <w:sz w:val="20"/>
                <w:szCs w:val="20"/>
                <w:lang w:val="ru-RU" w:eastAsia="ru-RU" w:bidi="ar-SA"/>
              </w:rPr>
              <w:t>Участник должен предоставить в заявке согласие оказать услуги, полностью соответствующие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156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1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1.1.</w:t>
            </w:r>
          </w:p>
        </w:tc>
        <w:tc>
          <w:tcPr>
            <w:tcW w:w="5577" w:type="dxa"/>
            <w:gridSpan w:val="3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Общие требования к оказанию услуг</w:t>
            </w:r>
          </w:p>
        </w:tc>
        <w:tc>
          <w:tcPr>
            <w:tcW w:w="1794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6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1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1.1.1.</w:t>
            </w:r>
          </w:p>
        </w:tc>
        <w:tc>
          <w:tcPr>
            <w:tcW w:w="198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Требование к предоставляемой спецтехнике</w:t>
            </w:r>
          </w:p>
        </w:tc>
        <w:tc>
          <w:tcPr>
            <w:tcW w:w="3588" w:type="dxa"/>
            <w:tcBorders>
              <w:right w:val="nil"/>
            </w:tcBorders>
            <w:shd w:color="auto" w:fill="auto" w:val="clear"/>
          </w:tcPr>
          <w:p>
            <w:pPr>
              <w:pStyle w:val="Default"/>
              <w:widowControl w:val="false"/>
              <w:tabs>
                <w:tab w:val="clear" w:pos="708"/>
                <w:tab w:val="left" w:pos="0" w:leader="none"/>
                <w:tab w:val="left" w:pos="426" w:leader="none"/>
                <w:tab w:val="left" w:pos="709" w:leader="none"/>
                <w:tab w:val="left" w:pos="851" w:leader="none"/>
              </w:tabs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color w:val="auto"/>
                <w:kern w:val="0"/>
                <w:lang w:val="ru-RU" w:eastAsia="ru-RU" w:bidi="ar-SA"/>
              </w:rPr>
              <w:t>Исполнитель должен иметь СТ для исполнения договора в собственности или на праве аренды материально-технических ресурсов (машин и механизмов, специальных приспособлений и инструментов) на оказание услуг по предмету закупки.</w:t>
            </w:r>
          </w:p>
        </w:tc>
        <w:tc>
          <w:tcPr>
            <w:tcW w:w="1794" w:type="dxa"/>
            <w:vMerge w:val="continue"/>
            <w:tcBorders>
              <w:right w:val="nil"/>
            </w:tcBorders>
            <w:vAlign w:val="center"/>
          </w:tcPr>
          <w:p>
            <w:pPr>
              <w:pStyle w:val="Default"/>
              <w:widowControl w:val="false"/>
              <w:tabs>
                <w:tab w:val="clear" w:pos="708"/>
                <w:tab w:val="left" w:pos="0" w:leader="none"/>
                <w:tab w:val="left" w:pos="426" w:leader="none"/>
                <w:tab w:val="left" w:pos="709" w:leader="none"/>
                <w:tab w:val="left" w:pos="851" w:leader="none"/>
              </w:tabs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560" w:type="dxa"/>
            <w:vMerge w:val="continue"/>
            <w:tcBorders/>
            <w:vAlign w:val="center"/>
          </w:tcPr>
          <w:p>
            <w:pPr>
              <w:pStyle w:val="Default"/>
              <w:widowControl w:val="false"/>
              <w:tabs>
                <w:tab w:val="clear" w:pos="708"/>
                <w:tab w:val="left" w:pos="0" w:leader="none"/>
                <w:tab w:val="left" w:pos="426" w:leader="none"/>
                <w:tab w:val="left" w:pos="709" w:leader="none"/>
                <w:tab w:val="left" w:pos="851" w:leader="none"/>
              </w:tabs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19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b/>
                <w:kern w:val="0"/>
                <w:lang w:val="ru-RU" w:eastAsia="ru-RU" w:bidi="ar-SA"/>
              </w:rPr>
              <w:t>1.2.</w:t>
            </w:r>
          </w:p>
        </w:tc>
        <w:tc>
          <w:tcPr>
            <w:tcW w:w="5577" w:type="dxa"/>
            <w:gridSpan w:val="3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процедурам оказания услуг</w:t>
            </w:r>
          </w:p>
        </w:tc>
        <w:tc>
          <w:tcPr>
            <w:tcW w:w="1794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6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1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1.2.1.</w:t>
            </w:r>
          </w:p>
        </w:tc>
        <w:tc>
          <w:tcPr>
            <w:tcW w:w="198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Ответственность Исполнителя в части оказания услуг</w:t>
            </w:r>
          </w:p>
        </w:tc>
        <w:tc>
          <w:tcPr>
            <w:tcW w:w="3588" w:type="dxa"/>
            <w:tcBorders>
              <w:right w:val="nil"/>
            </w:tcBorders>
          </w:tcPr>
          <w:p>
            <w:pPr>
              <w:pStyle w:val="Default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color w:val="auto"/>
                <w:kern w:val="0"/>
                <w:lang w:val="ru-RU" w:eastAsia="ru-RU" w:bidi="ar-SA"/>
              </w:rPr>
              <w:t>Исполнитель несет ответственность за качество, работоспособность, функциональные свойства и технические характеристики СТ используемом для оказания услуг в соответствии с настоящими техническими требованиями и действующих нормативных актов РФ, сроков исполнения, в полном объеме, с надлежащим качеством</w:t>
            </w:r>
          </w:p>
        </w:tc>
        <w:tc>
          <w:tcPr>
            <w:tcW w:w="1794" w:type="dxa"/>
            <w:vMerge w:val="continue"/>
            <w:tcBorders>
              <w:right w:val="nil"/>
            </w:tcBorders>
            <w:vAlign w:val="center"/>
          </w:tcPr>
          <w:p>
            <w:pPr>
              <w:pStyle w:val="Default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560" w:type="dxa"/>
            <w:vMerge w:val="continue"/>
            <w:tcBorders/>
            <w:vAlign w:val="center"/>
          </w:tcPr>
          <w:p>
            <w:pPr>
              <w:pStyle w:val="Default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19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b/>
                <w:kern w:val="0"/>
                <w:lang w:val="ru-RU" w:eastAsia="ru-RU" w:bidi="ar-SA"/>
              </w:rPr>
              <w:t>1.3.</w:t>
            </w:r>
          </w:p>
        </w:tc>
        <w:tc>
          <w:tcPr>
            <w:tcW w:w="5577" w:type="dxa"/>
            <w:gridSpan w:val="3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применяемым при оказании услуг спецтехники</w:t>
            </w:r>
          </w:p>
        </w:tc>
        <w:tc>
          <w:tcPr>
            <w:tcW w:w="1794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6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1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1.3.1.</w:t>
            </w:r>
          </w:p>
        </w:tc>
        <w:tc>
          <w:tcPr>
            <w:tcW w:w="1989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Соответствие СТ законодательству РФ</w:t>
            </w:r>
          </w:p>
        </w:tc>
        <w:tc>
          <w:tcPr>
            <w:tcW w:w="3588" w:type="dxa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должен соблюдать законодательство РФ при эксплуатации, обслуживании и предоставлении СТ Заказчику.</w:t>
            </w:r>
          </w:p>
        </w:tc>
        <w:tc>
          <w:tcPr>
            <w:tcW w:w="1794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6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19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b/>
                <w:kern w:val="0"/>
                <w:lang w:val="ru-RU" w:eastAsia="ru-RU" w:bidi="ar-SA"/>
              </w:rPr>
              <w:t>1.4.</w:t>
            </w:r>
          </w:p>
        </w:tc>
        <w:tc>
          <w:tcPr>
            <w:tcW w:w="5577" w:type="dxa"/>
            <w:gridSpan w:val="3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персоналу исполнителя</w:t>
            </w:r>
          </w:p>
        </w:tc>
        <w:tc>
          <w:tcPr>
            <w:tcW w:w="1794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6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1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1.4.1.</w:t>
            </w:r>
          </w:p>
        </w:tc>
        <w:tc>
          <w:tcPr>
            <w:tcW w:w="198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квалификационных документов у персонала  Исполнителя обслуживающего СТ</w:t>
            </w:r>
          </w:p>
        </w:tc>
        <w:tc>
          <w:tcPr>
            <w:tcW w:w="3588" w:type="dxa"/>
            <w:tcBorders>
              <w:right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Исполнитель, предоставляющий СТ, должен иметь персонал (в том числе и ответственных лиц) соответствующий Приказу Ростехнадзора от 26 ноября 2020 года N 461 " Об утверждении федеральных норм и правил в области промышленной безопасности "Правила безопасности опасных производственных объектов, на которых используются подъемные сооружения".</w:t>
            </w:r>
          </w:p>
        </w:tc>
        <w:tc>
          <w:tcPr>
            <w:tcW w:w="1794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6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1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1.4.2.</w:t>
            </w:r>
          </w:p>
        </w:tc>
        <w:tc>
          <w:tcPr>
            <w:tcW w:w="198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квалификационных документов у обслуживающего  СТ персонала Исполнителя, при выполнении работ в электроустановках (ОРУ, освещение, охранная зона ВЛ и т.п.)</w:t>
            </w:r>
          </w:p>
        </w:tc>
        <w:tc>
          <w:tcPr>
            <w:tcW w:w="3588" w:type="dxa"/>
            <w:tcBorders>
              <w:right w:val="nil"/>
            </w:tcBorders>
          </w:tcPr>
          <w:p>
            <w:pPr>
              <w:pStyle w:val="Default"/>
              <w:widowControl w:val="false"/>
              <w:tabs>
                <w:tab w:val="clear" w:pos="708"/>
                <w:tab w:val="left" w:pos="0" w:leader="none"/>
                <w:tab w:val="left" w:pos="426" w:leader="none"/>
                <w:tab w:val="left" w:pos="851" w:leader="none"/>
              </w:tabs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color w:val="auto"/>
                <w:kern w:val="0"/>
                <w:lang w:val="ru-RU" w:eastAsia="ru-RU" w:bidi="ar-SA"/>
              </w:rPr>
              <w:t>При использовании СТ в электроустановках (ОРУ, освещение, охранная зона ВЛ и т.п.) у водителей (или машинистов и т.п.) необходимо наличие удостоверения по электробезопасности не ниже второй группы согласно Приказа Минтруда России от 15.12.2020 N 903н                       "Об утверждении Правил по охране труда при эксплуатации электроустановок".</w:t>
            </w:r>
          </w:p>
        </w:tc>
        <w:tc>
          <w:tcPr>
            <w:tcW w:w="1794" w:type="dxa"/>
            <w:vMerge w:val="continue"/>
            <w:tcBorders>
              <w:right w:val="nil"/>
            </w:tcBorders>
            <w:vAlign w:val="center"/>
          </w:tcPr>
          <w:p>
            <w:pPr>
              <w:pStyle w:val="Default"/>
              <w:widowControl w:val="false"/>
              <w:tabs>
                <w:tab w:val="clear" w:pos="708"/>
                <w:tab w:val="left" w:pos="0" w:leader="none"/>
                <w:tab w:val="left" w:pos="426" w:leader="none"/>
                <w:tab w:val="left" w:pos="851" w:leader="none"/>
              </w:tabs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560" w:type="dxa"/>
            <w:vMerge w:val="continue"/>
            <w:tcBorders/>
            <w:vAlign w:val="center"/>
          </w:tcPr>
          <w:p>
            <w:pPr>
              <w:pStyle w:val="Default"/>
              <w:widowControl w:val="false"/>
              <w:tabs>
                <w:tab w:val="clear" w:pos="708"/>
                <w:tab w:val="left" w:pos="0" w:leader="none"/>
                <w:tab w:val="left" w:pos="426" w:leader="none"/>
                <w:tab w:val="left" w:pos="851" w:leader="none"/>
              </w:tabs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</w:tr>
      <w:tr>
        <w:trPr>
          <w:trHeight w:val="482" w:hRule="atLeast"/>
        </w:trPr>
        <w:tc>
          <w:tcPr>
            <w:tcW w:w="81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1.4.3.</w:t>
            </w:r>
          </w:p>
        </w:tc>
        <w:tc>
          <w:tcPr>
            <w:tcW w:w="198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Требования к персоналу Исполнителя</w:t>
            </w:r>
          </w:p>
        </w:tc>
        <w:tc>
          <w:tcPr>
            <w:tcW w:w="3588" w:type="dxa"/>
            <w:tcBorders>
              <w:right w:val="nil"/>
            </w:tcBorders>
            <w:shd w:color="auto" w:fill="auto" w:val="clear"/>
          </w:tcPr>
          <w:p>
            <w:pPr>
              <w:pStyle w:val="Default"/>
              <w:widowControl w:val="false"/>
              <w:tabs>
                <w:tab w:val="clear" w:pos="708"/>
                <w:tab w:val="left" w:pos="426" w:leader="none"/>
                <w:tab w:val="left" w:pos="567" w:leader="none"/>
              </w:tabs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bCs/>
                <w:color w:val="auto"/>
                <w:kern w:val="0"/>
                <w:lang w:val="ru-RU" w:eastAsia="ru-RU" w:bidi="ar-SA"/>
              </w:rPr>
              <w:t>Лица, управляющие СТ, должны иметь действующие квалификационные удостоверения на работу с ПС в действующих электроустановках и водительское удостоверение с разрешенной категорией.</w:t>
            </w:r>
          </w:p>
        </w:tc>
        <w:tc>
          <w:tcPr>
            <w:tcW w:w="1794" w:type="dxa"/>
            <w:vMerge w:val="continue"/>
            <w:tcBorders>
              <w:right w:val="nil"/>
            </w:tcBorders>
            <w:vAlign w:val="center"/>
          </w:tcPr>
          <w:p>
            <w:pPr>
              <w:pStyle w:val="Default"/>
              <w:widowControl w:val="false"/>
              <w:tabs>
                <w:tab w:val="clear" w:pos="708"/>
                <w:tab w:val="left" w:pos="426" w:leader="none"/>
                <w:tab w:val="left" w:pos="567" w:leader="none"/>
              </w:tabs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560" w:type="dxa"/>
            <w:vMerge w:val="continue"/>
            <w:tcBorders/>
            <w:vAlign w:val="center"/>
          </w:tcPr>
          <w:p>
            <w:pPr>
              <w:pStyle w:val="Default"/>
              <w:widowControl w:val="false"/>
              <w:tabs>
                <w:tab w:val="clear" w:pos="708"/>
                <w:tab w:val="left" w:pos="426" w:leader="none"/>
                <w:tab w:val="left" w:pos="567" w:leader="none"/>
              </w:tabs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1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1.4.4</w:t>
            </w:r>
          </w:p>
        </w:tc>
        <w:tc>
          <w:tcPr>
            <w:tcW w:w="1989" w:type="dxa"/>
            <w:gridSpan w:val="2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Обязанности исполнителя</w:t>
            </w:r>
          </w:p>
        </w:tc>
        <w:tc>
          <w:tcPr>
            <w:tcW w:w="3588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Heading3"/>
              <w:widowControl w:val="false"/>
              <w:suppressAutoHyphens w:val="true"/>
              <w:spacing w:before="120" w:after="60"/>
              <w:rPr>
                <w:rFonts w:ascii="Times New Roman" w:hAnsi="Times New Roman" w:cs="Times New Roman"/>
                <w:kern w:val="0"/>
                <w:lang w:bidi="ar-SA"/>
              </w:rPr>
            </w:pPr>
            <w:r>
              <w:rPr>
                <w:rFonts w:cs="Times New Roman"/>
                <w:kern w:val="0"/>
                <w:lang w:bidi="ar-SA"/>
              </w:rPr>
              <w:t>Предоставленная Исполнителем СТ должна иметь экипаж (в том числе и лицо ответственное за работоспособное состояние СТ и т.д.)</w:t>
            </w:r>
          </w:p>
        </w:tc>
        <w:tc>
          <w:tcPr>
            <w:tcW w:w="1794" w:type="dxa"/>
            <w:vMerge w:val="continue"/>
            <w:tcBorders>
              <w:right w:val="nil"/>
            </w:tcBorders>
            <w:vAlign w:val="center"/>
          </w:tcPr>
          <w:p>
            <w:pPr>
              <w:pStyle w:val="Heading3"/>
              <w:widowControl w:val="false"/>
              <w:suppressAutoHyphens w:val="true"/>
              <w:spacing w:before="120" w:after="60"/>
              <w:rPr>
                <w:rFonts w:ascii="Times New Roman" w:hAnsi="Times New Roman" w:cs="Times New Roman"/>
                <w:kern w:val="0"/>
                <w:lang w:bidi="ar-SA"/>
              </w:rPr>
            </w:pPr>
            <w:r>
              <w:rPr>
                <w:rFonts w:cs="Times New Roman"/>
                <w:kern w:val="0"/>
                <w:lang w:bidi="ar-SA"/>
              </w:rPr>
            </w:r>
          </w:p>
        </w:tc>
        <w:tc>
          <w:tcPr>
            <w:tcW w:w="1560" w:type="dxa"/>
            <w:vMerge w:val="continue"/>
            <w:tcBorders/>
            <w:vAlign w:val="center"/>
          </w:tcPr>
          <w:p>
            <w:pPr>
              <w:pStyle w:val="Heading3"/>
              <w:widowControl w:val="false"/>
              <w:suppressAutoHyphens w:val="true"/>
              <w:spacing w:before="120" w:after="60"/>
              <w:rPr>
                <w:rFonts w:ascii="Times New Roman" w:hAnsi="Times New Roman" w:cs="Times New Roman"/>
                <w:kern w:val="0"/>
                <w:lang w:bidi="ar-SA"/>
              </w:rPr>
            </w:pPr>
            <w:r>
              <w:rPr>
                <w:rFonts w:cs="Times New Roman"/>
                <w:kern w:val="0"/>
                <w:lang w:bidi="ar-SA"/>
              </w:rPr>
            </w:r>
          </w:p>
        </w:tc>
      </w:tr>
      <w:tr>
        <w:trPr/>
        <w:tc>
          <w:tcPr>
            <w:tcW w:w="81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1.4.5</w:t>
            </w:r>
          </w:p>
        </w:tc>
        <w:tc>
          <w:tcPr>
            <w:tcW w:w="1989" w:type="dxa"/>
            <w:gridSpan w:val="2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График работы</w:t>
            </w:r>
          </w:p>
        </w:tc>
        <w:tc>
          <w:tcPr>
            <w:tcW w:w="3588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Heading3"/>
              <w:widowControl w:val="false"/>
              <w:suppressAutoHyphens w:val="true"/>
              <w:spacing w:before="120" w:after="60"/>
              <w:jc w:val="left"/>
              <w:rPr>
                <w:rFonts w:ascii="Times New Roman" w:hAnsi="Times New Roman" w:cs="Times New Roman"/>
                <w:kern w:val="0"/>
                <w:lang w:bidi="ar-SA"/>
              </w:rPr>
            </w:pPr>
            <w:r>
              <w:rPr>
                <w:rFonts w:cs="Times New Roman"/>
                <w:kern w:val="0"/>
                <w:lang w:bidi="ar-SA"/>
              </w:rPr>
              <w:t xml:space="preserve">Необходимо учесть возможное, но не обязательное, использование СТ в трехсменном режиме работы: </w:t>
            </w:r>
            <w:r>
              <w:rPr>
                <w:rFonts w:cs="Times New Roman"/>
                <w:kern w:val="0"/>
                <w:lang w:val="ru-RU" w:bidi="ar-SA"/>
              </w:rPr>
              <w:t xml:space="preserve"> </w:t>
            </w:r>
            <w:r>
              <w:rPr>
                <w:rFonts w:cs="Times New Roman"/>
                <w:kern w:val="0"/>
                <w:lang w:bidi="ar-SA"/>
              </w:rPr>
              <w:t xml:space="preserve"> </w:t>
            </w:r>
            <w:r>
              <w:rPr>
                <w:rFonts w:cs="Times New Roman"/>
                <w:kern w:val="0"/>
                <w:lang w:val="ru-RU" w:bidi="ar-SA"/>
              </w:rPr>
              <w:t xml:space="preserve"> - </w:t>
            </w:r>
            <w:r>
              <w:rPr>
                <w:rFonts w:cs="Times New Roman"/>
                <w:kern w:val="0"/>
                <w:lang w:bidi="ar-SA"/>
              </w:rPr>
              <w:t xml:space="preserve">1 смена: с </w:t>
            </w:r>
            <w:r>
              <w:rPr>
                <w:rFonts w:cs="Times New Roman"/>
                <w:kern w:val="0"/>
                <w:lang w:val="ru-RU" w:bidi="ar-SA"/>
              </w:rPr>
              <w:t>0</w:t>
            </w:r>
            <w:r>
              <w:rPr>
                <w:rFonts w:cs="Times New Roman"/>
                <w:kern w:val="0"/>
                <w:lang w:bidi="ar-SA"/>
              </w:rPr>
              <w:t>8:00 до 17:00</w:t>
            </w:r>
            <w:r>
              <w:rPr>
                <w:rFonts w:cs="Times New Roman"/>
                <w:kern w:val="0"/>
                <w:lang w:val="ru-RU" w:bidi="ar-SA"/>
              </w:rPr>
              <w:t xml:space="preserve">              - </w:t>
            </w:r>
            <w:r>
              <w:rPr>
                <w:rFonts w:cs="Times New Roman"/>
                <w:kern w:val="0"/>
                <w:lang w:bidi="ar-SA"/>
              </w:rPr>
              <w:t>2 смена: с 17:00 до 01:00</w:t>
            </w:r>
            <w:r>
              <w:rPr>
                <w:rFonts w:cs="Times New Roman"/>
                <w:kern w:val="0"/>
                <w:lang w:val="ru-RU" w:bidi="ar-SA"/>
              </w:rPr>
              <w:t xml:space="preserve">           - </w:t>
            </w:r>
            <w:r>
              <w:rPr>
                <w:rFonts w:cs="Times New Roman"/>
                <w:kern w:val="0"/>
                <w:lang w:bidi="ar-SA"/>
              </w:rPr>
              <w:t>3</w:t>
            </w:r>
            <w:r>
              <w:rPr>
                <w:rFonts w:cs="Times New Roman"/>
                <w:kern w:val="0"/>
                <w:lang w:val="ru-RU" w:bidi="ar-SA"/>
              </w:rPr>
              <w:t xml:space="preserve"> </w:t>
            </w:r>
            <w:r>
              <w:rPr>
                <w:rFonts w:cs="Times New Roman"/>
                <w:kern w:val="0"/>
                <w:lang w:bidi="ar-SA"/>
              </w:rPr>
              <w:t>смена:</w:t>
            </w:r>
            <w:r>
              <w:rPr>
                <w:rFonts w:cs="Times New Roman"/>
                <w:kern w:val="0"/>
                <w:lang w:val="ru-RU" w:bidi="ar-SA"/>
              </w:rPr>
              <w:t xml:space="preserve"> </w:t>
            </w:r>
            <w:r>
              <w:rPr>
                <w:rFonts w:cs="Times New Roman"/>
                <w:kern w:val="0"/>
                <w:lang w:bidi="ar-SA"/>
              </w:rPr>
              <w:t>с 01:00 до 08:00</w:t>
            </w:r>
          </w:p>
        </w:tc>
        <w:tc>
          <w:tcPr>
            <w:tcW w:w="1794" w:type="dxa"/>
            <w:vMerge w:val="continue"/>
            <w:tcBorders>
              <w:right w:val="nil"/>
            </w:tcBorders>
            <w:vAlign w:val="center"/>
          </w:tcPr>
          <w:p>
            <w:pPr>
              <w:pStyle w:val="Heading3"/>
              <w:widowControl w:val="false"/>
              <w:suppressAutoHyphens w:val="true"/>
              <w:spacing w:before="120" w:after="60"/>
              <w:rPr>
                <w:rFonts w:ascii="Times New Roman" w:hAnsi="Times New Roman" w:cs="Times New Roman"/>
                <w:kern w:val="0"/>
                <w:lang w:bidi="ar-SA"/>
              </w:rPr>
            </w:pPr>
            <w:r>
              <w:rPr>
                <w:rFonts w:cs="Times New Roman"/>
                <w:kern w:val="0"/>
                <w:lang w:bidi="ar-SA"/>
              </w:rPr>
            </w:r>
          </w:p>
        </w:tc>
        <w:tc>
          <w:tcPr>
            <w:tcW w:w="1560" w:type="dxa"/>
            <w:vMerge w:val="continue"/>
            <w:tcBorders/>
            <w:vAlign w:val="center"/>
          </w:tcPr>
          <w:p>
            <w:pPr>
              <w:pStyle w:val="Heading3"/>
              <w:widowControl w:val="false"/>
              <w:suppressAutoHyphens w:val="true"/>
              <w:spacing w:before="120" w:after="60"/>
              <w:rPr>
                <w:rFonts w:ascii="Times New Roman" w:hAnsi="Times New Roman" w:cs="Times New Roman"/>
                <w:kern w:val="0"/>
                <w:lang w:bidi="ar-SA"/>
              </w:rPr>
            </w:pPr>
            <w:r>
              <w:rPr>
                <w:rFonts w:cs="Times New Roman"/>
                <w:kern w:val="0"/>
                <w:lang w:bidi="ar-SA"/>
              </w:rPr>
            </w:r>
          </w:p>
        </w:tc>
      </w:tr>
      <w:tr>
        <w:trPr/>
        <w:tc>
          <w:tcPr>
            <w:tcW w:w="81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577" w:type="dxa"/>
            <w:gridSpan w:val="3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  <w:tc>
          <w:tcPr>
            <w:tcW w:w="1794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6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1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577" w:type="dxa"/>
            <w:gridSpan w:val="3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услуг</w:t>
            </w:r>
          </w:p>
        </w:tc>
        <w:tc>
          <w:tcPr>
            <w:tcW w:w="1794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6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1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755" w:left="755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601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соблюдению Исполнителя технологической, производственной и трудовой дисциплин</w:t>
            </w:r>
          </w:p>
        </w:tc>
        <w:tc>
          <w:tcPr>
            <w:tcW w:w="3976" w:type="dxa"/>
            <w:gridSpan w:val="2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должен соблюдать требования технологической, производственной и трудовой дисциплины.</w:t>
            </w:r>
          </w:p>
        </w:tc>
        <w:tc>
          <w:tcPr>
            <w:tcW w:w="1794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6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1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577" w:type="dxa"/>
            <w:gridSpan w:val="3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4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  <w:tc>
          <w:tcPr>
            <w:tcW w:w="1794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4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6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4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37" w:hRule="atLeast"/>
        </w:trPr>
        <w:tc>
          <w:tcPr>
            <w:tcW w:w="81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hanging="0" w:left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989" w:type="dxa"/>
            <w:gridSpan w:val="2"/>
            <w:tcBorders/>
            <w:vAlign w:val="center"/>
          </w:tcPr>
          <w:p>
            <w:pPr>
              <w:pStyle w:val="Style31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both"/>
              <w:outlineLvl w:val="2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  <w:t>Соответствие СТ законодательству РФ</w:t>
            </w:r>
          </w:p>
        </w:tc>
        <w:tc>
          <w:tcPr>
            <w:tcW w:w="3588" w:type="dxa"/>
            <w:tcBorders>
              <w:right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СТ предоставляемые исполнителем должны соответствовать НТД установленных законодательством РФ при эксплуатации специальной техники предоставленной Заказчику. Исполнитель должен соблюдать законодательство РФ при эксплуатации, обслуживании и предоставлении транспортных средств предоставляемых Заказчику.</w:t>
            </w:r>
          </w:p>
        </w:tc>
        <w:tc>
          <w:tcPr>
            <w:tcW w:w="1794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6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1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-103" w:leader="none"/>
              </w:tabs>
              <w:suppressAutoHyphens w:val="true"/>
              <w:spacing w:before="60" w:after="60"/>
              <w:ind w:firstLine="103" w:left="-103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577" w:type="dxa"/>
            <w:gridSpan w:val="3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ответственности и гарантиям исполнителя</w:t>
            </w:r>
          </w:p>
        </w:tc>
        <w:tc>
          <w:tcPr>
            <w:tcW w:w="1794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6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1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98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Обязанности Исполнителя</w:t>
            </w:r>
          </w:p>
        </w:tc>
        <w:tc>
          <w:tcPr>
            <w:tcW w:w="3588" w:type="dxa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Исполнитель обязан нести все расходы, связанные с эксплуатацией СТ,  включая, но не ограничиваясь расходы на заработную плату членам экипажей, оплату топлива, горюче-смазочных материалов и эксплуатационных жидкостей, оплату ремонта и запасных частей для СТ, оплату стоимости налоговых пошлин, страховых сборов, оплату штрафов, и иных расходов, возникающих в связи с эксплуатацией СТ. 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 xml:space="preserve">Предоставляемая СТ должна находиться в технически исправном состоянии с заправкой ГСМ и необходимой документацией (в т.ч. путевым листом), укомплектованная необходимыми вспомогательными средствами: огнетушителем, аварийным знаком, аптечкой со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средствами первой доврачебной помощи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, в соответствии с согласованными Сторонами в Заявке временем и местом подачи. Исполнитель несет ответственность за техническое состояние СТ. Исполнитель должен обеспечить соблюдение водителями (машинистами) правил и инструкций по охране труда, безопасности дорожного движения, пожарной и электробезопасности, промышленной безопасности во время оказания услуг. Исполнитель несет ответственность за соблюдение действующих норм и правил при работе с ГПМ. Исполнитель обязан при невозможности предоставления СТ, согласованной в Заявке (ДТП, постановка в ремонт / на техническое обслуживание, угон СТ, иные причины) незамедлительно уведомить об этом Заказчика и по согласованию с Заказчиком предоставить подменную СТ с аналогичными техническими характеристиками в срок не позднее 1 часа с момента ДТП постановка в ремонт / на техническое обслуживание, угон СТ, иные причины, соответствующими условиям Договора и на условиях, согласованных в Заявках. Время простоя, СТ, не оплачивается.</w:t>
            </w:r>
          </w:p>
        </w:tc>
        <w:tc>
          <w:tcPr>
            <w:tcW w:w="1794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6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1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577" w:type="dxa"/>
            <w:gridSpan w:val="3"/>
            <w:tcBorders>
              <w:right w:val="nil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исполнителю (и соисполнителям) и его обязательствам, влияющим на исполнение договора</w:t>
            </w:r>
          </w:p>
        </w:tc>
        <w:tc>
          <w:tcPr>
            <w:tcW w:w="1794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60" w:type="dxa"/>
            <w:vMerge w:val="continue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19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989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Исполнение договорных обязательств</w:t>
            </w:r>
          </w:p>
        </w:tc>
        <w:tc>
          <w:tcPr>
            <w:tcW w:w="3588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Style31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both"/>
              <w:outlineLvl w:val="2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kern w:val="0"/>
                <w:sz w:val="24"/>
                <w:szCs w:val="24"/>
                <w:lang w:val="ru-RU" w:eastAsia="ru-RU" w:bidi="ar-SA"/>
              </w:rPr>
              <w:t xml:space="preserve">На стадии исполнения подписанного сторонами договора, после получения согласованной Заявки,  Исполнитель обязан незамедлительно предоставить официальной письмо с разъяснением причины </w:t>
            </w:r>
            <w:r>
              <w:rPr>
                <w:rFonts w:eastAsia="Times New Roman" w:cs="Times New Roman"/>
                <w:b w:val="false"/>
                <w:bCs/>
                <w:kern w:val="0"/>
                <w:sz w:val="24"/>
                <w:szCs w:val="24"/>
                <w:lang w:val="ru-RU" w:eastAsia="ru-RU" w:bidi="ar-SA"/>
              </w:rPr>
              <w:t>невозможности предоставления СТ и описанием ПС предоставляемом на замену.</w:t>
            </w:r>
          </w:p>
        </w:tc>
        <w:tc>
          <w:tcPr>
            <w:tcW w:w="1794" w:type="dxa"/>
            <w:vMerge w:val="continue"/>
            <w:tcBorders>
              <w:right w:val="nil"/>
            </w:tcBorders>
            <w:vAlign w:val="center"/>
          </w:tcPr>
          <w:p>
            <w:pPr>
              <w:pStyle w:val="Style31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both"/>
              <w:outlineLvl w:val="2"/>
              <w:rPr>
                <w:rFonts w:eastAsia="Times New Roman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1560" w:type="dxa"/>
            <w:vMerge w:val="continue"/>
            <w:tcBorders/>
            <w:vAlign w:val="center"/>
          </w:tcPr>
          <w:p>
            <w:pPr>
              <w:pStyle w:val="Style31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both"/>
              <w:outlineLvl w:val="2"/>
              <w:rPr>
                <w:rFonts w:eastAsia="Times New Roman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1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577" w:type="dxa"/>
            <w:gridSpan w:val="3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Прочие требования к оказанию услуг</w:t>
            </w:r>
          </w:p>
        </w:tc>
        <w:tc>
          <w:tcPr>
            <w:tcW w:w="1794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6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1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989" w:type="dxa"/>
            <w:gridSpan w:val="2"/>
            <w:tcBorders/>
            <w:vAlign w:val="center"/>
          </w:tcPr>
          <w:p>
            <w:pPr>
              <w:pStyle w:val="Style31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both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kern w:val="0"/>
                <w:sz w:val="24"/>
                <w:szCs w:val="24"/>
                <w:lang w:val="ru-RU" w:eastAsia="ru-RU" w:bidi="ar-SA"/>
              </w:rPr>
              <w:t>Стоимость за 1 день (12 часов)</w:t>
            </w:r>
          </w:p>
        </w:tc>
        <w:tc>
          <w:tcPr>
            <w:tcW w:w="3588" w:type="dxa"/>
            <w:tcBorders>
              <w:right w:val="nil"/>
            </w:tcBorders>
            <w:vAlign w:val="center"/>
          </w:tcPr>
          <w:p>
            <w:pPr>
              <w:pStyle w:val="Style31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both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kern w:val="0"/>
                <w:sz w:val="24"/>
                <w:szCs w:val="24"/>
                <w:lang w:val="ru-RU" w:eastAsia="ru-RU" w:bidi="ar-SA"/>
              </w:rPr>
              <w:t>Стоимость 1 день (12 часов) является фиксированной и постоянной на протяжении всего срока действия договора.</w:t>
            </w:r>
          </w:p>
          <w:p>
            <w:pPr>
              <w:pStyle w:val="Style31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both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1794" w:type="dxa"/>
            <w:vMerge w:val="continue"/>
            <w:tcBorders>
              <w:right w:val="nil"/>
            </w:tcBorders>
            <w:vAlign w:val="center"/>
          </w:tcPr>
          <w:p>
            <w:pPr>
              <w:pStyle w:val="Style31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both"/>
              <w:outlineLvl w:val="2"/>
              <w:rPr>
                <w:rFonts w:eastAsia="Times New Roman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1560" w:type="dxa"/>
            <w:vMerge w:val="continue"/>
            <w:tcBorders/>
            <w:vAlign w:val="center"/>
          </w:tcPr>
          <w:p>
            <w:pPr>
              <w:pStyle w:val="Style31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both"/>
              <w:outlineLvl w:val="2"/>
              <w:rPr>
                <w:rFonts w:eastAsia="Times New Roman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19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989" w:type="dxa"/>
            <w:gridSpan w:val="2"/>
            <w:tcBorders>
              <w:top w:val="nil"/>
            </w:tcBorders>
            <w:vAlign w:val="center"/>
          </w:tcPr>
          <w:p>
            <w:pPr>
              <w:pStyle w:val="Style31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both"/>
              <w:outlineLvl w:val="2"/>
              <w:rPr>
                <w:rFonts w:ascii="Times New Roman" w:hAnsi="Times New Roman" w:cs="Times New Roman"/>
                <w:kern w:val="0"/>
                <w:sz w:val="20"/>
                <w:szCs w:val="20"/>
                <w:lang w:bidi="ar-SA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  <w:t>Учет времени</w:t>
            </w:r>
          </w:p>
        </w:tc>
        <w:tc>
          <w:tcPr>
            <w:tcW w:w="3588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108" w:left="108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Учет времени эксплуатации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СТ производится по факту отработанного времени, указанному в путевых листах, подписанных Заказчиком. Доставка до места работы СТ не оплачивается. Минимальная заявка  на СТ -1 </w:t>
            </w:r>
            <w:r>
              <w:rPr>
                <w:rFonts w:eastAsia="Times New Roman" w:cs="Times New Roman"/>
                <w:b w:val="false"/>
                <w:kern w:val="0"/>
                <w:sz w:val="24"/>
                <w:szCs w:val="24"/>
                <w:lang w:val="ru-RU" w:eastAsia="ru-RU" w:bidi="ar-SA"/>
              </w:rPr>
              <w:t>день (12 часов)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.</w:t>
            </w:r>
          </w:p>
        </w:tc>
        <w:tc>
          <w:tcPr>
            <w:tcW w:w="1794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108" w:left="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6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108" w:left="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sectPr>
      <w:headerReference w:type="even" r:id="rId2"/>
      <w:headerReference w:type="default" r:id="rId3"/>
      <w:footerReference w:type="default" r:id="rId4"/>
      <w:type w:val="nextPage"/>
      <w:pgSz w:w="11906" w:h="16838"/>
      <w:pgMar w:left="1418" w:right="849" w:gutter="0" w:header="680" w:top="737" w:footer="220" w:bottom="709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382105625"/>
    </w:sdtPr>
    <w:sdtContent>
      <w:p>
        <w:pPr>
          <w:pStyle w:val="Footer"/>
          <w:jc w:val="right"/>
          <w:rPr>
            <w:sz w:val="24"/>
            <w:szCs w:val="24"/>
          </w:rPr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10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4897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426"/>
        </w:tabs>
        <w:ind w:left="858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63" w:hanging="504"/>
      </w:pPr>
      <w:rPr>
        <w:sz w:val="24"/>
        <w:i w:val="false"/>
        <w:b/>
        <w:szCs w:val="24"/>
        <w:bCs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87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091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95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099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603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179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55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6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99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a932e1"/>
    <w:pPr>
      <w:keepNext w:val="true"/>
      <w:tabs>
        <w:tab w:val="clear" w:pos="708"/>
        <w:tab w:val="left" w:pos="0" w:leader="none"/>
        <w:tab w:val="left" w:pos="851" w:leader="none"/>
        <w:tab w:val="left" w:pos="993" w:leader="none"/>
        <w:tab w:val="left" w:pos="1701" w:leader="none"/>
      </w:tabs>
      <w:spacing w:before="120" w:after="60"/>
      <w:jc w:val="both"/>
      <w:outlineLvl w:val="2"/>
    </w:pPr>
    <w:rPr>
      <w:rFonts w:eastAsia="Calibri"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/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1" w:customStyle="1">
    <w:name w:val="Strong1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a932e1"/>
    <w:rPr>
      <w:rFonts w:eastAsia="Calibri"/>
      <w:bCs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5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3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 w:customStyle="1">
    <w:name w:val="Основной текст_"/>
    <w:link w:val="110"/>
    <w:uiPriority w:val="99"/>
    <w:qFormat/>
    <w:locked/>
    <w:rsid w:val="003c12f6"/>
    <w:rPr>
      <w:sz w:val="28"/>
      <w:szCs w:val="28"/>
      <w:shd w:fill="FFFFFF" w:val="clear"/>
    </w:rPr>
  </w:style>
  <w:style w:type="character" w:styleId="Style15" w:customStyle="1">
    <w:name w:val="Нижний колонтитул Знак"/>
    <w:basedOn w:val="DefaultParagraphFont"/>
    <w:uiPriority w:val="99"/>
    <w:qFormat/>
    <w:rsid w:val="00fc560b"/>
    <w:rPr>
      <w:sz w:val="28"/>
      <w:szCs w:val="28"/>
    </w:rPr>
  </w:style>
  <w:style w:type="character" w:styleId="Style16" w:customStyle="1">
    <w:name w:val="Текст Знак"/>
    <w:basedOn w:val="DefaultParagraphFont"/>
    <w:link w:val="PlainText"/>
    <w:uiPriority w:val="99"/>
    <w:semiHidden/>
    <w:qFormat/>
    <w:rsid w:val="00fb2c23"/>
    <w:rPr>
      <w:rFonts w:ascii="Calibri" w:hAnsi="Calibri" w:eastAsia="Calibri" w:cs="" w:cstheme="minorBidi" w:eastAsiaTheme="minorHAnsi"/>
      <w:sz w:val="22"/>
      <w:szCs w:val="21"/>
      <w:lang w:eastAsia="en-US"/>
    </w:rPr>
  </w:style>
  <w:style w:type="character" w:styleId="Style17" w:customStyle="1">
    <w:name w:val="Ссылка указателя"/>
    <w:qFormat/>
    <w:rPr/>
  </w:style>
  <w:style w:type="character" w:styleId="Style18" w:customStyle="1">
    <w:name w:val="Маркеры"/>
    <w:qFormat/>
    <w:rPr>
      <w:rFonts w:ascii="OpenSymbol" w:hAnsi="OpenSymbol" w:eastAsia="OpenSymbol" w:cs="OpenSymbol"/>
    </w:rPr>
  </w:style>
  <w:style w:type="character" w:styleId="Strong2" w:customStyle="1">
    <w:name w:val="Strong2"/>
    <w:qFormat/>
    <w:rPr>
      <w:b/>
      <w:bCs/>
    </w:rPr>
  </w:style>
  <w:style w:type="character" w:styleId="Strong">
    <w:name w:val="Strong"/>
    <w:qFormat/>
    <w:rPr>
      <w:b/>
      <w:bCs/>
    </w:rPr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" w:customStyle="1">
    <w:name w:val="index heading11111"/>
    <w:basedOn w:val="Title"/>
    <w:qFormat/>
    <w:pPr/>
    <w:rPr/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" w:customStyle="1">
    <w:name w:val="index heading111111"/>
    <w:basedOn w:val="Title"/>
    <w:qFormat/>
    <w:pPr/>
    <w:rPr/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1" w:customStyle="1">
    <w:name w:val="index heading1111111"/>
    <w:basedOn w:val="Title"/>
    <w:qFormat/>
    <w:pPr/>
    <w:rPr/>
  </w:style>
  <w:style w:type="paragraph" w:styleId="Caption11111111" w:customStyle="1">
    <w:name w:val="caption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11" w:customStyle="1">
    <w:name w:val="index heading11111111"/>
    <w:basedOn w:val="Title"/>
    <w:qFormat/>
    <w:pPr/>
    <w:rPr/>
  </w:style>
  <w:style w:type="paragraph" w:styleId="13" w:customStyle="1">
    <w:name w:val="Заголовок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11111111" w:customStyle="1">
    <w:name w:val="caption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111" w:customStyle="1">
    <w:name w:val="index heading111111111"/>
    <w:basedOn w:val="13"/>
    <w:qFormat/>
    <w:pPr/>
    <w:rPr/>
  </w:style>
  <w:style w:type="paragraph" w:styleId="Caption1111111111" w:customStyle="1">
    <w:name w:val="caption1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1111" w:customStyle="1">
    <w:name w:val="index heading1111111111"/>
    <w:basedOn w:val="Title"/>
    <w:qFormat/>
    <w:pPr/>
    <w:rPr/>
  </w:style>
  <w:style w:type="paragraph" w:styleId="Style21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2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3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4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/>
    </w:pPr>
    <w:rPr>
      <w:sz w:val="24"/>
      <w:szCs w:val="24"/>
    </w:rPr>
  </w:style>
  <w:style w:type="paragraph" w:styleId="Footer">
    <w:name w:val="Footer"/>
    <w:basedOn w:val="Normal"/>
    <w:link w:val="Style15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styleId="Style25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d14d1b"/>
    <w:pPr>
      <w:tabs>
        <w:tab w:val="clear" w:pos="708"/>
        <w:tab w:val="left" w:pos="1120" w:leader="none"/>
        <w:tab w:val="right" w:pos="9911" w:leader="dot"/>
      </w:tabs>
      <w:ind w:left="142"/>
    </w:pPr>
    <w:rPr>
      <w:bCs/>
      <w:sz w:val="24"/>
      <w:szCs w:val="24"/>
    </w:rPr>
  </w:style>
  <w:style w:type="paragraph" w:styleId="Style26" w:customStyle="1">
    <w:name w:val="Раздел регламента"/>
    <w:basedOn w:val="Normal"/>
    <w:qFormat/>
    <w:rsid w:val="00e228fa"/>
    <w:pPr/>
    <w:rPr/>
  </w:style>
  <w:style w:type="paragraph" w:styleId="Style27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d4007"/>
    <w:pPr>
      <w:tabs>
        <w:tab w:val="clear" w:pos="708"/>
        <w:tab w:val="left" w:pos="1120" w:leader="none"/>
        <w:tab w:val="right" w:pos="9911" w:leader="none"/>
      </w:tabs>
      <w:ind w:left="560"/>
    </w:pPr>
    <w:rPr>
      <w:bCs/>
      <w:sz w:val="24"/>
      <w:szCs w:val="24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8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11111111" w:customStyle="1">
    <w:name w:val="caption1111111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99"/>
    <w:qFormat/>
    <w:rsid w:val="00d22f6d"/>
    <w:pPr>
      <w:spacing w:before="0" w:after="0"/>
      <w:ind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9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9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30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31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2" w:customStyle="1">
    <w:name w:val="Таблица шапка"/>
    <w:basedOn w:val="Normal"/>
    <w:qFormat/>
    <w:rsid w:val="00f64089"/>
    <w:pPr>
      <w:keepNext w:val="true"/>
      <w:spacing w:before="40" w:after="40"/>
      <w:ind w:left="57" w:right="57"/>
    </w:pPr>
    <w:rPr>
      <w:sz w:val="22"/>
      <w:szCs w:val="26"/>
    </w:rPr>
  </w:style>
  <w:style w:type="paragraph" w:styleId="Style33" w:customStyle="1">
    <w:name w:val="Подподпункт"/>
    <w:basedOn w:val="Style25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4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5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  <w:tab w:val="left" w:pos="851" w:leader="none"/>
        <w:tab w:val="left" w:pos="993" w:leader="none"/>
        <w:tab w:val="left" w:pos="1701" w:leader="none"/>
      </w:tabs>
      <w:spacing w:before="480" w:after="240"/>
      <w:ind w:hanging="567" w:left="567"/>
    </w:pPr>
    <w:rPr>
      <w:rFonts w:ascii="Arial" w:hAnsi="Arial" w:eastAsia="Times New Roman"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6" w:customStyle="1">
    <w:name w:val="Таблица текст"/>
    <w:basedOn w:val="Normal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110" w:customStyle="1">
    <w:name w:val="Основной текст1"/>
    <w:basedOn w:val="Normal"/>
    <w:link w:val="Style14"/>
    <w:uiPriority w:val="99"/>
    <w:qFormat/>
    <w:rsid w:val="003c12f6"/>
    <w:pPr>
      <w:widowControl w:val="false"/>
      <w:shd w:val="clear" w:color="auto" w:fill="FFFFFF"/>
      <w:spacing w:lineRule="exact" w:line="302"/>
    </w:pPr>
    <w:rPr/>
  </w:style>
  <w:style w:type="paragraph" w:styleId="Default" w:customStyle="1">
    <w:name w:val="Default"/>
    <w:qFormat/>
    <w:rsid w:val="002d5c4a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ru-RU" w:bidi="ar-SA"/>
    </w:rPr>
  </w:style>
  <w:style w:type="paragraph" w:styleId="PlainText">
    <w:name w:val="Plain Text"/>
    <w:basedOn w:val="Normal"/>
    <w:link w:val="Style16"/>
    <w:uiPriority w:val="99"/>
    <w:semiHidden/>
    <w:unhideWhenUsed/>
    <w:qFormat/>
    <w:rsid w:val="00fb2c23"/>
    <w:pPr/>
    <w:rPr>
      <w:rFonts w:ascii="Calibri" w:hAnsi="Calibri" w:eastAsia="Calibri" w:cs="" w:cstheme="minorBidi" w:eastAsiaTheme="minorHAnsi"/>
      <w:sz w:val="22"/>
      <w:szCs w:val="21"/>
      <w:lang w:eastAsia="en-US"/>
    </w:rPr>
  </w:style>
  <w:style w:type="paragraph" w:styleId="Style37" w:customStyle="1">
    <w:name w:val="Содержимое врезки"/>
    <w:basedOn w:val="Normal"/>
    <w:qFormat/>
    <w:pPr/>
    <w:rPr/>
  </w:style>
  <w:style w:type="paragraph" w:styleId="Style38" w:customStyle="1">
    <w:name w:val="Текст в заданном формате"/>
    <w:basedOn w:val="Normal"/>
    <w:qFormat/>
    <w:pPr/>
    <w:rPr>
      <w:rFonts w:ascii="Liberation Mono" w:hAnsi="Liberation Mono" w:eastAsia="Liberation Mono" w:cs="Liberation Mono"/>
      <w:sz w:val="20"/>
      <w:szCs w:val="20"/>
    </w:rPr>
  </w:style>
  <w:style w:type="paragraph" w:styleId="Style39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40" w:customStyle="1">
    <w:name w:val="Заголовок таблицы"/>
    <w:basedOn w:val="Style39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1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d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d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52AFC7-A47F-4F1B-8015-32273FD08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4219</TotalTime>
  <Application>AlterOffice/2026.2.0.0$Linux_X86_64 LibreOffice_project/bc4ef1adf80b36c7a6365f8ed6cbf29021361edd</Application>
  <AppVersion>15.0000</AppVersion>
  <Pages>5</Pages>
  <Words>1411</Words>
  <Characters>9749</Characters>
  <CharactersWithSpaces>11036</CharactersWithSpaces>
  <Paragraphs>200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2023-06-22T06:14:00Z</dcterms:created>
  <dc:creator>Быстров Олег Геннадьевич</dc:creator>
  <dc:description/>
  <dc:language>ru-RU</dc:language>
  <cp:lastModifiedBy>mikhailovvvl@corp.gidroogk.com</cp:lastModifiedBy>
  <dcterms:modified xsi:type="dcterms:W3CDTF">2026-11-03T16:28:19Z</dcterms:modified>
  <cp:revision>177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