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923" w:type="dxa"/>
        <w:jc w:val="start"/>
        <w:tblInd w:w="-57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670"/>
        <w:gridCol w:w="4253"/>
      </w:tblGrid>
      <w:tr>
        <w:trPr>
          <w:trHeight w:val="405" w:hRule="atLeast"/>
        </w:trPr>
        <w:tc>
          <w:tcPr>
            <w:tcW w:w="5670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bCs/>
                <w:color w:val="000000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Calibri" w:ascii="Calibri" w:hAnsi="Calibri"/>
                <w:bCs/>
                <w:color w:val="000000"/>
                <w:lang w:eastAsia="ru-RU"/>
              </w:rPr>
              <w:t>Наименование компании (с указанием организационно-правовой формы)</w:t>
            </w:r>
          </w:p>
        </w:tc>
        <w:tc>
          <w:tcPr>
            <w:tcW w:w="4253" w:type="dxa"/>
            <w:tcBorders>
              <w:top w:val="single" w:sz="8" w:space="0" w:color="000000"/>
              <w:end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5670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bCs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bCs/>
                <w:color w:val="000000"/>
                <w:lang w:eastAsia="ru-RU"/>
              </w:rPr>
              <w:t>ИНН</w:t>
            </w:r>
          </w:p>
        </w:tc>
        <w:tc>
          <w:tcPr>
            <w:tcW w:w="4253" w:type="dxa"/>
            <w:tcBorders>
              <w:top w:val="single" w:sz="8" w:space="0" w:color="000000"/>
              <w:end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 </w:t>
            </w:r>
          </w:p>
        </w:tc>
      </w:tr>
      <w:tr>
        <w:trPr>
          <w:trHeight w:val="360" w:hRule="atLeast"/>
        </w:trPr>
        <w:tc>
          <w:tcPr>
            <w:tcW w:w="567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bCs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bCs/>
                <w:color w:val="000000"/>
                <w:lang w:eastAsia="ru-RU"/>
              </w:rPr>
              <w:t>Срок действия предложения</w:t>
            </w:r>
          </w:p>
        </w:tc>
        <w:tc>
          <w:tcPr>
            <w:tcW w:w="425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Times New Roman" w:cs="Calibri"/>
                <w:color w:val="000000"/>
                <w:lang w:eastAsia="ru-RU"/>
              </w:rPr>
            </w:pPr>
            <w:r>
              <w:rPr>
                <w:rFonts w:eastAsia="Times New Roman" w:cs="Calibri" w:ascii="Calibri" w:hAnsi="Calibri"/>
                <w:color w:val="000000"/>
                <w:lang w:eastAsia="ru-RU"/>
              </w:rPr>
              <w:t> </w:t>
            </w:r>
          </w:p>
        </w:tc>
      </w:tr>
    </w:tbl>
    <w:p>
      <w:pPr>
        <w:pStyle w:val="Normal"/>
        <w:suppressLineNumbers/>
        <w:tabs>
          <w:tab w:val="clear" w:pos="708"/>
          <w:tab w:val="left" w:pos="5937" w:leader="none"/>
        </w:tabs>
        <w:suppressAutoHyphens w:val="true"/>
        <w:spacing w:lineRule="auto" w:line="240" w:before="0" w:after="0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</w:r>
    </w:p>
    <w:p>
      <w:pPr>
        <w:pStyle w:val="Normal"/>
        <w:suppressLineNumbers/>
        <w:tabs>
          <w:tab w:val="clear" w:pos="708"/>
          <w:tab w:val="left" w:pos="5937" w:leader="none"/>
        </w:tabs>
        <w:suppressAutoHyphens w:val="true"/>
        <w:spacing w:lineRule="auto" w:line="240" w:before="0" w:after="0"/>
        <w:ind w:firstLine="454"/>
        <w:jc w:val="center"/>
        <w:rPr>
          <w:rFonts w:ascii="Arial" w:hAnsi="Arial" w:eastAsia="Times New Roman" w:cs="Arial"/>
          <w:sz w:val="28"/>
          <w:szCs w:val="28"/>
        </w:rPr>
      </w:pPr>
      <w:r>
        <w:rPr>
          <w:rFonts w:eastAsia="Times New Roman" w:cs="Arial" w:ascii="Arial" w:hAnsi="Arial"/>
          <w:sz w:val="28"/>
          <w:szCs w:val="28"/>
        </w:rPr>
        <w:t>Коммерческое предложение</w:t>
      </w:r>
    </w:p>
    <w:p>
      <w:pPr>
        <w:pStyle w:val="Normal"/>
        <w:suppressLineNumbers/>
        <w:tabs>
          <w:tab w:val="clear" w:pos="708"/>
          <w:tab w:val="left" w:pos="5937" w:leader="none"/>
        </w:tabs>
        <w:suppressAutoHyphens w:val="true"/>
        <w:spacing w:lineRule="auto" w:line="240" w:before="0" w:after="0"/>
        <w:ind w:firstLine="454"/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Услуги мониторинга СМИ, интернет-ресурсов и социальных сетей на территории Уральского федерального округа и Пермского края по теме «Связь и телекоммуникации»</w:t>
      </w:r>
    </w:p>
    <w:p>
      <w:pPr>
        <w:pStyle w:val="Normal"/>
        <w:suppressLineNumbers/>
        <w:tabs>
          <w:tab w:val="clear" w:pos="708"/>
          <w:tab w:val="left" w:pos="5937" w:leader="none"/>
        </w:tabs>
        <w:suppressAutoHyphens w:val="true"/>
        <w:spacing w:lineRule="auto" w:line="240" w:before="0" w:after="0"/>
        <w:ind w:firstLine="454"/>
        <w:jc w:val="center"/>
        <w:rPr>
          <w:rFonts w:ascii="Arial" w:hAnsi="Arial" w:eastAsia="Times New Roman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Период: 202</w:t>
      </w:r>
      <w:r>
        <w:rPr>
          <w:rFonts w:cs="Arial" w:ascii="Arial" w:hAnsi="Arial"/>
          <w:sz w:val="28"/>
          <w:szCs w:val="28"/>
        </w:rPr>
        <w:t>7</w:t>
      </w:r>
      <w:r>
        <w:rPr>
          <w:rFonts w:cs="Arial" w:ascii="Arial" w:hAnsi="Arial"/>
          <w:sz w:val="28"/>
          <w:szCs w:val="28"/>
        </w:rPr>
        <w:t>-202</w:t>
      </w:r>
      <w:r>
        <w:rPr>
          <w:rFonts w:cs="Arial" w:ascii="Arial" w:hAnsi="Arial"/>
          <w:sz w:val="28"/>
          <w:szCs w:val="28"/>
        </w:rPr>
        <w:t>8</w:t>
      </w:r>
      <w:r>
        <w:rPr>
          <w:rFonts w:cs="Arial" w:ascii="Arial" w:hAnsi="Arial"/>
          <w:sz w:val="28"/>
          <w:szCs w:val="28"/>
        </w:rPr>
        <w:t xml:space="preserve"> гг.</w:t>
      </w:r>
    </w:p>
    <w:p>
      <w:pPr>
        <w:pStyle w:val="Normal"/>
        <w:suppressLineNumbers/>
        <w:tabs>
          <w:tab w:val="clear" w:pos="708"/>
          <w:tab w:val="left" w:pos="5937" w:leader="none"/>
        </w:tabs>
        <w:suppressAutoHyphens w:val="true"/>
        <w:spacing w:lineRule="auto" w:line="240" w:before="0" w:after="0"/>
        <w:ind w:firstLine="709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</w:r>
    </w:p>
    <w:tbl>
      <w:tblPr>
        <w:tblW w:w="10260" w:type="dxa"/>
        <w:jc w:val="start"/>
        <w:tblInd w:w="-71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55"/>
        <w:gridCol w:w="6015"/>
        <w:gridCol w:w="1245"/>
        <w:gridCol w:w="1140"/>
        <w:gridCol w:w="1305"/>
      </w:tblGrid>
      <w:tr>
        <w:trPr/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 xml:space="preserve">№ </w:t>
            </w: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п</w:t>
            </w:r>
            <w:r>
              <w:rPr>
                <w:rFonts w:eastAsia="MS Mincho" w:cs="Arial" w:ascii="Arial" w:hAnsi="Arial"/>
                <w:color w:val="000000"/>
                <w:sz w:val="20"/>
                <w:szCs w:val="20"/>
                <w:lang w:val="en-US"/>
              </w:rPr>
              <w:t>/</w:t>
            </w: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п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 xml:space="preserve">Цена 1 единицы измерения, руб., </w:t>
            </w:r>
            <w:r>
              <w:rPr>
                <w:rFonts w:eastAsia="MS Mincho" w:cs="Arial" w:ascii="Arial" w:hAnsi="Arial"/>
                <w:color w:val="FF0000"/>
                <w:sz w:val="20"/>
                <w:szCs w:val="20"/>
              </w:rPr>
              <w:t>без учета НДС</w:t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 xml:space="preserve">Цена 1 единицы измерения, руб., </w:t>
            </w:r>
            <w:r>
              <w:rPr>
                <w:rFonts w:eastAsia="MS Mincho" w:cs="Arial" w:ascii="Arial" w:hAnsi="Arial"/>
                <w:color w:val="FF0000"/>
                <w:sz w:val="20"/>
                <w:szCs w:val="20"/>
              </w:rPr>
              <w:t>с учетом НДС</w:t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Web"/>
              <w:spacing w:beforeAutospacing="0" w:before="0" w:afterAutospacing="0" w:after="0"/>
              <w:contextualSpacing/>
              <w:jc w:val="both"/>
              <w:rPr>
                <w:rFonts w:ascii="Arial" w:hAnsi="Arial" w:eastAsia="MS Mincho" w:cs="Arial"/>
                <w:i/>
                <w:sz w:val="20"/>
                <w:szCs w:val="20"/>
                <w:u w:val="single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Ежедневный мониторинг информационных блоков региональных и федеральных  средств массовой информации (далее – СМИ) Курганской области, Пермского края, Свердловской области, Тюменской области, включая ХМАО-Югра и ЯНАО, Челябинской области по вопросам деятельности зарубежных, российских, уральских региональных телеком-компаний, деятельности регуляторов на телеком-рынке (далее – по теме «Связь и телекоммуникации») предоставляется ежедневно, до 10.00 местного времени на электронную почту </w:t>
            </w:r>
            <w:hyperlink r:id="rId2">
              <w:r>
                <w:rPr>
                  <w:rStyle w:val="Hyperlink"/>
                  <w:rFonts w:cs="Arial" w:ascii="Arial" w:hAnsi="Arial"/>
                  <w:sz w:val="20"/>
                  <w:szCs w:val="20"/>
                  <w:lang w:val="en-US"/>
                </w:rPr>
                <w:t>pressa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</w:rPr>
                <w:t>@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  <w:lang w:val="en-US"/>
                </w:rPr>
                <w:t>ural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</w:rPr>
                <w:t>.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  <w:lang w:val="en-US"/>
                </w:rPr>
                <w:t>rt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</w:rPr>
                <w:t>.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rFonts w:cs="Arial" w:ascii="Arial" w:hAnsi="Arial"/>
                <w:sz w:val="20"/>
                <w:szCs w:val="20"/>
              </w:rPr>
              <w:t xml:space="preserve">; 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Web"/>
              <w:spacing w:beforeAutospacing="0" w:before="0" w:afterAutospacing="0" w:after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МЕСЯЦ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Web"/>
              <w:spacing w:beforeAutospacing="0" w:before="0" w:afterAutospacing="0"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Web"/>
              <w:spacing w:beforeAutospacing="0" w:before="0" w:afterAutospacing="0"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Web"/>
              <w:spacing w:beforeAutospacing="0" w:before="0" w:afterAutospacing="0"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Ежедневный мониторинг информационных блоков региональных и федеральных СМИ, а также интернет-ресурсов, не зарегистрированных в качестве СМИ Курганской области, Пермского края, Свердловской области, Тюменской области, включая ХМАО-Югра и ЯНАО, Челябинской области по теме «Ростелеком», по теме «Конкуренты» предоставляется ежедневно, до 12.00 местного времени на электронную почту </w:t>
            </w:r>
            <w:hyperlink r:id="rId3">
              <w:r>
                <w:rPr>
                  <w:rStyle w:val="Hyperlink"/>
                  <w:rFonts w:cs="Arial" w:ascii="Arial" w:hAnsi="Arial"/>
                  <w:sz w:val="20"/>
                  <w:szCs w:val="20"/>
                  <w:lang w:val="en-US"/>
                </w:rPr>
                <w:t>pressa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</w:rPr>
                <w:t>@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  <w:lang w:val="en-US"/>
                </w:rPr>
                <w:t>ural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</w:rPr>
                <w:t>.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  <w:lang w:val="en-US"/>
                </w:rPr>
                <w:t>rt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</w:rPr>
                <w:t>.</w:t>
              </w:r>
              <w:r>
                <w:rPr>
                  <w:rStyle w:val="Hyperlink"/>
                  <w:rFonts w:cs="Arial" w:ascii="Arial" w:hAnsi="Arial"/>
                  <w:sz w:val="20"/>
                  <w:szCs w:val="20"/>
                  <w:lang w:val="en-US"/>
                </w:rPr>
                <w:t>ru</w:t>
              </w:r>
            </w:hyperlink>
            <w:r>
              <w:rPr>
                <w:rFonts w:cs="Arial" w:ascii="Arial" w:hAnsi="Arial"/>
                <w:sz w:val="20"/>
                <w:szCs w:val="20"/>
              </w:rPr>
              <w:t>.</w:t>
            </w:r>
          </w:p>
          <w:p>
            <w:pPr>
              <w:pStyle w:val="NormalWeb"/>
              <w:spacing w:beforeAutospacing="0" w:before="0" w:afterAutospacing="0" w:after="0"/>
              <w:contextualSpacing/>
              <w:jc w:val="both"/>
              <w:rPr>
                <w:rFonts w:ascii="Arial" w:hAnsi="Arial" w:eastAsia="MS Mincho" w:cs="Arial"/>
                <w:sz w:val="20"/>
                <w:szCs w:val="20"/>
              </w:rPr>
            </w:pPr>
            <w:r>
              <w:rPr>
                <w:rFonts w:eastAsia="MS Mincho" w:cs="Arial" w:ascii="Arial" w:hAnsi="Arial"/>
                <w:sz w:val="20"/>
                <w:szCs w:val="20"/>
              </w:rPr>
              <w:t xml:space="preserve">Перечень провайдеров-конкурентов в регионах присутствия уральского филиала ПАО «Ростелеком» для ежедневного мониторинга по теме «Конкуренты»: Билайн, Мегафон, МТС, Dом.ru, Инсис, Convex, </w:t>
            </w:r>
            <w:r>
              <w:rPr>
                <w:rFonts w:cs="Arial" w:ascii="Arial" w:hAnsi="Arial"/>
                <w:sz w:val="20"/>
                <w:szCs w:val="20"/>
              </w:rPr>
              <w:t xml:space="preserve"> Акадо, УГМК-Телеком, ТрансТелеКом, Интерсвязь, Инсит, Магинфо, Позитив, Орбител, Уральские кабельные сети, Ютис, Ютек, Инфодом, ФасТел, Метросеть, Прайд, Данцер, Netbynet, «АБВ», Русская компания, Инфодом, ТелеПлюс, Северсвязь, КСС-телеком, ГлобалСтар, Орбител и др.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Web"/>
              <w:spacing w:beforeAutospacing="0" w:before="0" w:afterAutospacing="0" w:after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МЕСЯЦ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Web"/>
              <w:spacing w:beforeAutospacing="0" w:before="0" w:afterAutospacing="0"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Web"/>
              <w:spacing w:beforeAutospacing="0" w:before="0" w:afterAutospacing="0"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Еженедельные аналитические данные «Картина недели» размещается в электронном виде на сайте мониторингового агентства ___________ в первый рабочий день следующей недели до 14.00 местного времени. Содержит суммарный недельный анализ упоминаний компании «Ростелеком» в региональных СМИ и интернет-ресурсах, не зарегистрированных в качестве СМИ (Курганской области, Пермского края, Свердловской области, Тюменской области, включая ХМАО-Югра и ЯНАО, Челябинской области) по следующим характеристикам: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553" w:leader="none"/>
              </w:tabs>
              <w:spacing w:lineRule="auto" w:line="240" w:before="0" w:after="0"/>
              <w:ind w:hanging="0" w:start="31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количество материалов с разбивкой по территории выхода (вышеуказанным субъектам РФ);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553" w:leader="none"/>
              </w:tabs>
              <w:spacing w:lineRule="auto" w:line="240" w:before="0" w:after="0"/>
              <w:ind w:hanging="0" w:start="31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смысловое оценочное содержание (положительное, нейтральное, негативное) и охват по каждой оценке;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553" w:leader="none"/>
              </w:tabs>
              <w:spacing w:lineRule="auto" w:line="240" w:before="0" w:after="0"/>
              <w:ind w:hanging="0" w:start="31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охват в просмотрах каждой публикации + суммарный охват по каждому региону;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553" w:leader="none"/>
              </w:tabs>
              <w:spacing w:lineRule="auto" w:line="240" w:before="0" w:after="0"/>
              <w:ind w:hanging="0" w:start="31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охват населения каждого региона СМИ (Курганская область, Пермский край, Свердловская область, Тюменская область, включая ХМАО-Югра и ЯНАО, Челябинская область), в %</w:t>
            </w:r>
          </w:p>
          <w:p>
            <w:pPr>
              <w:pStyle w:val="Normal"/>
              <w:tabs>
                <w:tab w:val="clear" w:pos="708"/>
                <w:tab w:val="left" w:pos="553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Все расчеты должны строиться исходя из данных о населении регионов в возрасте от 14 до 69 лет.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МЕСЯЦ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Ежемесячные аналитические данные (размещаются до 10 числа месяца, следующего после окончания отчетного периода) в электронном виде на сайте мониторингового агентства ____________. Содержит анализ упоминаний компании «Ростелеком» в региональных СМИ и интернет-ресурсах, не зарегистрированных в качестве СМИ (Курганская область, Пермский край, Свердловская область, Тюменская область, включая ХМАО-Югра и ЯНАО, Челябинская область) по следующим характеристикам: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568" w:leader="none"/>
              </w:tabs>
              <w:spacing w:lineRule="auto" w:line="240" w:before="0" w:after="0"/>
              <w:ind w:hanging="0" w:start="31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количество материалов с разбивкой по территории выхода (вышеуказанным субъектам РФ) 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568" w:leader="none"/>
              </w:tabs>
              <w:spacing w:lineRule="auto" w:line="240" w:before="0" w:after="0"/>
              <w:ind w:hanging="0" w:start="31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смысловое оценочное содержание (положительное, нейтральное, негативное) и охват по каждой оценке;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568" w:leader="none"/>
              </w:tabs>
              <w:spacing w:lineRule="auto" w:line="240" w:before="0" w:after="0"/>
              <w:ind w:hanging="0" w:start="31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охват в просмотрах каждой публикации + суммарный охват по каждому региону + суммарный охват по МРФ «Урал»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568" w:leader="none"/>
              </w:tabs>
              <w:spacing w:lineRule="auto" w:line="240" w:before="0" w:after="0"/>
              <w:ind w:hanging="0" w:start="317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охват населения каждого региона СМИ (Курганская область, Пермский край, Свердловская область, Тюменская область, включая ХМАО-Югра и ЯНАО, Челябинская область), в % 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МЕСЯЦ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4814" w:hRule="atLeast"/>
        </w:trPr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Квартальные аналитические данные (предоставляются до 15 числа месяца, следующего после окончания квартала) на электронную почту </w:t>
            </w:r>
            <w:hyperlink r:id="rId4">
              <w:r>
                <w:rPr>
                  <w:rStyle w:val="Hyperlink"/>
                  <w:rFonts w:cs="Arial" w:ascii="Arial" w:hAnsi="Arial"/>
                  <w:sz w:val="20"/>
                  <w:szCs w:val="20"/>
                </w:rPr>
                <w:t>pressa@ural.rt.ru</w:t>
              </w:r>
            </w:hyperlink>
            <w:r>
              <w:rPr>
                <w:rFonts w:cs="Arial" w:ascii="Arial" w:hAnsi="Arial"/>
                <w:sz w:val="20"/>
                <w:szCs w:val="20"/>
              </w:rPr>
              <w:t>. Содержит анализ и сравнение упоминаний компании Ростелеком с компаниями: Билайн, Мегафон, МТС, Dом.ru, Инсис, Convex, Акадо, УГМК-Телеком, ТрансТелеКом, Интерсвязь, Инсит, Магинфо, Позитив, Орбител, Уральские кабельные сети, Ютис, Ютек, Инфодом, ФасТел, Метросеть, Прайд, Данцер, Netbynet, «АБВ», Русская компания, Инфодом, ТелеПлюс, Северсвязь, КСС-телеком, ГлобалСтар, Орбител и др.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в региональных СМИ и интернет-ресурсах, не зарегистрированных в качестве СМИ (Курганская область, Пермский край, Свердловская область, Тюменская область, включая ХМАО-Югра и ЯНАО, Челябинская область) по следующим характеристикам: 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  <w:tab w:val="left" w:pos="583" w:leader="none"/>
              </w:tabs>
              <w:spacing w:lineRule="auto" w:line="240" w:before="0" w:after="0"/>
              <w:ind w:hanging="0" w:start="317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количество материалов с разбивкой по территории выхода (вышеуказанным субъектам РФ);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  <w:tab w:val="left" w:pos="583" w:leader="none"/>
              </w:tabs>
              <w:spacing w:lineRule="auto" w:line="240" w:before="0" w:after="0"/>
              <w:ind w:hanging="0" w:start="317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смысловое оценочное содержание (положительное, нейтральное, негативное);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08"/>
                <w:tab w:val="left" w:pos="583" w:leader="none"/>
              </w:tabs>
              <w:spacing w:lineRule="auto" w:line="240" w:before="0" w:after="0"/>
              <w:ind w:hanging="0" w:start="317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охват в просмотрах и процентах (по отношению к каждому региону). 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КВАРТАЛ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Мониторинг социальных сетей регионов присутствия уральского филиала ПАО «Ростелеком» (Курганская область, Пермский край, Свердловская область, Тюменская область, включая ХМАО-Югра и ЯНАО, Челябинская область):</w:t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319" w:leader="none"/>
              </w:tabs>
              <w:spacing w:lineRule="auto" w:line="240" w:before="0" w:after="0"/>
              <w:ind w:hanging="0" w:start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Ежедневный мониторинг содержит все упоминания ПАО «Ростелеком» с разделением: на инициированные пресс-службой, рекламные и прочие. У каждой публикации указывается количество подписчиков источника, количество просмотров данной публикации, показатель вовлеченности аудитории (лайки, репосты, ответы).</w:t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val="clear" w:pos="708"/>
                <w:tab w:val="left" w:pos="319" w:leader="none"/>
              </w:tabs>
              <w:spacing w:lineRule="auto" w:line="240" w:before="0" w:after="0"/>
              <w:ind w:hanging="0" w:start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Ежемесячный аналитический отчет по упоминаниям ПАО «Ростелеком» в социальных сетях включает в себя: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об инициированных публикациях, размещенные в самых популярных группах (25% подписчиков и более от населения данного населенного пункта);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об инициированных публикациях в менее популярных группах (менее 25% подписчиков от населения данного населенного пункта);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количество охваченных городов (от оговоренного списка) инициированными публикациями;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список территорий (из оговоренного списка), с процентом Media Outreach (охват аудитории) инициированными публикациями;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разделение по типу соцсетей, с указанием данных о типе аккаунта, количестве, показателе Media Outreach, данных о просмотрах и проценте просмотров относительно населения каждого региона;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по показателю Media Outreach инициированных публикаций (в натуральных показателях и в процентах);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о просмотрах и вовлеченности аудитории (лайки+репосты+ответы) инициированных публикаций (в натуральных показателях и в процентах);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о суммарной аудитории вышедших рекламных публикаций;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о просмотрах и вовлеченности аудитории рекламных публикаций (в натуральных показателях и в процентах);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о коммерческих публикациях, размещенные в самых популярных группах (25% подписчиков и более от населения данного населенного пункта);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о коммерческих публикациях в менее популярных группах (менее 25% подписчиков от населения данного населенного пункта);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- количество городов, охваченных рекламными публикациями; 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разделение по типу соцсетей, с указанием данных о типе аккаунта, количестве, показателе Media Outreach, данных о просмотрах и проценте просмотров относительно населения каждого региона (для коммерческих публикаций);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по показателю Media Outreach коммерческих публикаций (в натуральных показателях и в процентах);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- данные о просмотрах и вовлеченности аудитории (лайки+репосты+ответы) коммерческих публикаций (в натуральных показателях и в процентах);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Информация из социальных сетей должна быть доступна для просмотра в системе по мере публикации материалов в сети.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МЕСЯЦ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MS Mincho" w:cs="Arial"/>
                <w:color w:val="000000"/>
                <w:sz w:val="20"/>
                <w:szCs w:val="20"/>
              </w:rPr>
            </w:pPr>
            <w:r>
              <w:rPr>
                <w:rFonts w:eastAsia="MS Mincho" w:cs="Arial" w:ascii="Arial" w:hAnsi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Ситуационный тематический анализ по запросу Заказчика о деятельности Заказчика, других участников телекоммуникационного рынка, о событиях в телекоммуникационной отрасли. Подготовка анализа начинается после получения запроса на электронную почту Исполнителя, в котором оговариваются сроки, тема и прочие условия подготовки мониторинга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1 ЕДИНИЦА анализа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eastAsia="MS Mincho" w:cs="Arial"/>
                <w:sz w:val="20"/>
                <w:szCs w:val="20"/>
              </w:rPr>
            </w:pPr>
            <w:r>
              <w:rPr>
                <w:rFonts w:eastAsia="MS Mincho" w:cs="Arial" w:ascii="Arial" w:hAnsi="Arial"/>
                <w:sz w:val="20"/>
                <w:szCs w:val="20"/>
              </w:rPr>
              <w:t>8</w:t>
            </w:r>
          </w:p>
        </w:tc>
        <w:tc>
          <w:tcPr>
            <w:tcW w:w="60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Размещение на сайте </w:t>
            </w:r>
            <w:hyperlink r:id="rId5">
              <w:r>
                <w:rPr>
                  <w:rStyle w:val="Hyperlink"/>
                  <w:rFonts w:cs="Arial" w:ascii="Arial" w:hAnsi="Arial"/>
                  <w:color w:val="auto"/>
                  <w:sz w:val="20"/>
                  <w:szCs w:val="20"/>
                </w:rPr>
                <w:t>http://www.apiural.ru/</w:t>
              </w:r>
            </w:hyperlink>
            <w:r>
              <w:rPr>
                <w:rFonts w:cs="Arial" w:ascii="Arial" w:hAnsi="Arial"/>
                <w:sz w:val="20"/>
                <w:szCs w:val="20"/>
              </w:rPr>
              <w:t xml:space="preserve"> до 5 новостей (релизов) Заказчика в месяц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МЕСЯЦ</w:t>
            </w:r>
          </w:p>
        </w:tc>
        <w:tc>
          <w:tcPr>
            <w:tcW w:w="11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30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spacing w:before="0" w:after="20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start"/>
      <w:pPr>
        <w:tabs>
          <w:tab w:val="num" w:pos="0"/>
        </w:tabs>
        <w:ind w:start="213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89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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56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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769bf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769bf"/>
    <w:rPr>
      <w:color w:themeColor="hyperlink" w:val="0563C1"/>
      <w:u w:val="single"/>
    </w:rPr>
  </w:style>
  <w:style w:type="character" w:styleId="Style14" w:customStyle="1">
    <w:name w:val="Обычный (веб) Знак"/>
    <w:link w:val="NormalWeb"/>
    <w:qFormat/>
    <w:locked/>
    <w:rsid w:val="00f769bf"/>
    <w:rPr>
      <w:rFonts w:ascii="Times New Roman" w:hAnsi="Times New Roman" w:eastAsia="Times New Roman" w:cs="Times New Roman"/>
      <w:sz w:val="24"/>
      <w:szCs w:val="24"/>
    </w:rPr>
  </w:style>
  <w:style w:type="character" w:styleId="Strong">
    <w:name w:val="Strong"/>
    <w:qFormat/>
    <w:rsid w:val="00f769bf"/>
    <w:rPr>
      <w:b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f769bf"/>
    <w:pPr>
      <w:spacing w:before="0" w:after="200"/>
      <w:ind w:start="720"/>
      <w:contextualSpacing/>
    </w:pPr>
    <w:rPr/>
  </w:style>
  <w:style w:type="paragraph" w:styleId="NormalWeb">
    <w:name w:val="Normal (Web)"/>
    <w:basedOn w:val="Normal"/>
    <w:link w:val="Style14"/>
    <w:qFormat/>
    <w:rsid w:val="00f769b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essa@ural.rt.ru" TargetMode="External"/><Relationship Id="rId3" Type="http://schemas.openxmlformats.org/officeDocument/2006/relationships/hyperlink" Target="mailto:pressa@ural.rt.ru" TargetMode="External"/><Relationship Id="rId4" Type="http://schemas.openxmlformats.org/officeDocument/2006/relationships/hyperlink" Target="mailto:pressa@ural.rt.ru" TargetMode="External"/><Relationship Id="rId5" Type="http://schemas.openxmlformats.org/officeDocument/2006/relationships/hyperlink" Target="http://www.apiural.ru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LibreOffice/25.8.7.3$Linux_X86_64 LibreOffice_project/30742500f2d3eb4366ac312fa33d3dcabdb3eba5</Application>
  <AppVersion>15.0000</AppVersion>
  <Pages>3</Pages>
  <Words>963</Words>
  <Characters>6860</Characters>
  <CharactersWithSpaces>7759</CharactersWithSpaces>
  <Paragraphs>70</Paragraphs>
  <Company>ПАО "Ростелеком"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2024-11-19T07:19:00Z</dcterms:created>
  <dc:creator>Лысак Ирина Владимировна</dc:creator>
  <dc:description/>
  <dc:language>ru-RU</dc:language>
  <cp:lastModifiedBy/>
  <dcterms:modified xsi:type="dcterms:W3CDTF">2026-10-30T11:40:44Z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