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oter8.xml" ContentType="application/vnd.openxmlformats-officedocument.wordprocessingml.foot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7.xml" ContentType="application/vnd.openxmlformats-officedocument.wordprocessingml.footer+xml"/>
  <Override PartName="/word/footer9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ind w:firstLine="709" w:right="3"/>
        <w:jc w:val="right"/>
        <w:rPr>
          <w:sz w:val="28"/>
          <w:szCs w:val="28"/>
        </w:rPr>
      </w:pPr>
      <w:r>
        <w:rPr/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right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tabs>
          <w:tab w:val="clear" w:pos="709"/>
          <w:tab w:val="left" w:pos="284" w:leader="none"/>
        </w:tabs>
        <w:ind w:firstLine="284"/>
        <w:jc w:val="center"/>
        <w:rPr>
          <w:sz w:val="28"/>
          <w:szCs w:val="28"/>
        </w:rPr>
      </w:pPr>
      <w:r>
        <w:rPr>
          <w:rFonts w:eastAsia="Times New Roman"/>
          <w:b/>
          <w:caps/>
          <w:sz w:val="28"/>
          <w:szCs w:val="28"/>
          <w:lang w:eastAsia="ru-RU"/>
        </w:rPr>
        <w:t>Технические ТРЕБОВАНИЯ</w:t>
      </w:r>
    </w:p>
    <w:p>
      <w:pPr>
        <w:pStyle w:val="Normal"/>
        <w:widowControl w:val="false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  <w:lang w:val="en-US"/>
        </w:rPr>
        <w:t xml:space="preserve">ОКПД2: 71.12.17.000 </w:t>
      </w:r>
      <w:r>
        <w:rPr>
          <w:b/>
          <w:color w:val="000000"/>
          <w:sz w:val="28"/>
          <w:szCs w:val="28"/>
        </w:rPr>
        <w:t>Разработка рабочей документации на текущий ремонт затворов ремонтных №1-12 нижнего бьефа Бурейской ГЭС»</w:t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bidi w:val="0"/>
        <w:jc w:val="left"/>
        <w:rPr>
          <w:rFonts w:ascii="Arial Unicode MS" w:hAnsi="Arial Unicode MS"/>
          <w:b w:val="false"/>
          <w:i w:val="false"/>
          <w:i w:val="false"/>
          <w:strike w:val="false"/>
          <w:dstrike w:val="false"/>
          <w:outline w:val="false"/>
          <w:shadow w:val="false"/>
          <w:sz w:val="20"/>
          <w:u w:val="none"/>
          <w:em w:val="none"/>
        </w:rPr>
      </w:pPr>
      <w:r>
        <w:rPr>
          <w:rFonts w:ascii="Arial Unicode MS" w:hAnsi="Arial Unicode MS"/>
          <w:b w:val="false"/>
          <w:i w:val="false"/>
          <w:strike w:val="false"/>
          <w:dstrike w:val="false"/>
          <w:outline w:val="false"/>
          <w:shadow w:val="false"/>
          <w:sz w:val="20"/>
          <w:u w:val="none"/>
          <w:em w:val="none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</w:r>
    </w:p>
    <w:p>
      <w:pPr>
        <w:sectPr>
          <w:footerReference w:type="default" r:id="rId2"/>
          <w:type w:val="nextPage"/>
          <w:pgSz w:w="11906" w:h="16838"/>
          <w:pgMar w:left="1701" w:right="851" w:gutter="0" w:header="0" w:top="1200" w:footer="620" w:bottom="904"/>
          <w:pgNumType w:fmt="decimal"/>
          <w:formProt w:val="false"/>
          <w:textDirection w:val="lrTb"/>
          <w:docGrid w:type="default" w:linePitch="299" w:charSpace="0"/>
        </w:sectPr>
        <w:pStyle w:val="Normal"/>
        <w:tabs>
          <w:tab w:val="clear" w:pos="709"/>
          <w:tab w:val="left" w:pos="2984" w:leader="none"/>
        </w:tabs>
        <w:jc w:val="center"/>
        <w:rPr>
          <w:szCs w:val="24"/>
        </w:rPr>
      </w:pPr>
      <w:r>
        <w:rPr>
          <w:szCs w:val="24"/>
        </w:rPr>
        <w:t>2026 г.</w:t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rPr>
              <w:szCs w:val="24"/>
            </w:rPr>
          </w:pPr>
          <w:r>
            <w:fldChar w:fldCharType="begin"/>
          </w:r>
          <w:r>
            <w:rPr>
              <w:szCs w:val="24"/>
            </w:rPr>
            <w:instrText xml:space="preserve"> TOC \o "1-4" \h</w:instrText>
          </w:r>
          <w:r>
            <w:rPr>
              <w:szCs w:val="24"/>
            </w:rPr>
            <w:fldChar w:fldCharType="separate"/>
          </w:r>
          <w:r>
            <w:rPr>
              <w:szCs w:val="24"/>
            </w:rPr>
            <w:t>1.1. Обозначения и сокращения                                                                                                   3</w:t>
          </w:r>
        </w:p>
        <w:p>
          <w:pPr>
            <w:pStyle w:val="TOC1"/>
            <w:rPr>
              <w:szCs w:val="24"/>
            </w:rPr>
          </w:pPr>
          <w:r>
            <w:rPr>
              <w:szCs w:val="24"/>
            </w:rPr>
            <w:t>1.2. Наименование закупаемой продукции                                                                                 4</w:t>
          </w:r>
        </w:p>
        <w:p>
          <w:pPr>
            <w:pStyle w:val="TOC1"/>
            <w:rPr>
              <w:szCs w:val="24"/>
            </w:rPr>
          </w:pPr>
          <w:r>
            <w:rPr>
              <w:szCs w:val="24"/>
            </w:rPr>
            <w:t>1.3. Цель и задачи выполнения работ                                                                                          4</w:t>
          </w:r>
        </w:p>
        <w:p>
          <w:pPr>
            <w:pStyle w:val="TOC1"/>
            <w:rPr>
              <w:szCs w:val="24"/>
            </w:rPr>
          </w:pPr>
          <w:r>
            <w:rPr>
              <w:szCs w:val="24"/>
            </w:rPr>
            <w:t>1.4. Существующее положение                                                                                                    4</w:t>
          </w:r>
        </w:p>
        <w:p>
          <w:pPr>
            <w:pStyle w:val="Normal"/>
            <w:rPr>
              <w:szCs w:val="24"/>
            </w:rPr>
          </w:pPr>
          <w:r>
            <w:rPr>
              <w:szCs w:val="24"/>
            </w:rPr>
            <w:t xml:space="preserve">       </w:t>
          </w:r>
          <w:r>
            <w:rPr>
              <w:i/>
              <w:iCs/>
              <w:szCs w:val="24"/>
            </w:rPr>
            <w:t>Таблица 1. Перечень объектов Заказчика</w:t>
          </w:r>
          <w:r>
            <w:rPr>
              <w:szCs w:val="24"/>
            </w:rPr>
            <w:t xml:space="preserve">                                                                            5</w:t>
          </w:r>
        </w:p>
        <w:p>
          <w:pPr>
            <w:pStyle w:val="Normal"/>
            <w:rPr>
              <w:szCs w:val="24"/>
            </w:rPr>
          </w:pPr>
          <w:r>
            <w:rPr>
              <w:szCs w:val="24"/>
            </w:rPr>
          </w:r>
        </w:p>
        <w:p>
          <w:pPr>
            <w:pStyle w:val="TOC1"/>
            <w:rPr>
              <w:szCs w:val="24"/>
            </w:rPr>
          </w:pPr>
          <w:r>
            <w:rPr>
              <w:szCs w:val="24"/>
            </w:rPr>
            <w:t>1.5. Основание на выполнение работ                                                                                           5 1.6. Наименование и место расположения функционального заказчика                                 5</w:t>
          </w:r>
        </w:p>
        <w:p>
          <w:pPr>
            <w:pStyle w:val="TOC1"/>
            <w:rPr>
              <w:szCs w:val="24"/>
            </w:rPr>
          </w:pPr>
          <w:r>
            <w:rPr>
              <w:szCs w:val="24"/>
            </w:rPr>
            <w:t>1.7.</w:t>
          </w:r>
          <w:bookmarkStart w:id="0" w:name="_Toc184134833_Копия_1"/>
          <w:r>
            <w:rPr>
              <w:szCs w:val="24"/>
            </w:rPr>
            <w:t xml:space="preserve"> Информация в отношении исполнения договора, </w:t>
          </w:r>
          <w:bookmarkStart w:id="1" w:name="_Hlk46492347_Копия_1"/>
          <w:r>
            <w:rPr>
              <w:szCs w:val="24"/>
            </w:rPr>
            <w:t xml:space="preserve">которая должна быть учтена </w:t>
          </w:r>
        </w:p>
        <w:p>
          <w:pPr>
            <w:pStyle w:val="TOC1"/>
            <w:rPr>
              <w:szCs w:val="24"/>
            </w:rPr>
          </w:pPr>
          <w:r>
            <w:rPr>
              <w:szCs w:val="24"/>
            </w:rPr>
            <w:t xml:space="preserve">       </w:t>
          </w:r>
          <w:r>
            <w:rPr>
              <w:szCs w:val="24"/>
            </w:rPr>
            <w:t xml:space="preserve">при подготовке заявки </w:t>
          </w:r>
          <w:bookmarkEnd w:id="1"/>
          <w:r>
            <w:rPr>
              <w:szCs w:val="24"/>
            </w:rPr>
            <w:t xml:space="preserve">(в том числе перечень ресурсов, услуг и документов, </w:t>
          </w:r>
        </w:p>
        <w:p>
          <w:pPr>
            <w:pStyle w:val="TOC1"/>
            <w:rPr>
              <w:szCs w:val="24"/>
            </w:rPr>
          </w:pPr>
          <w:r>
            <w:rPr>
              <w:szCs w:val="24"/>
            </w:rPr>
            <w:t xml:space="preserve">       </w:t>
          </w:r>
          <w:r>
            <w:rPr>
              <w:szCs w:val="24"/>
            </w:rPr>
            <w:t>предоставляемых заказчиком на этапе исполнения договора)</w:t>
          </w:r>
          <w:bookmarkEnd w:id="0"/>
          <w:r>
            <w:rPr>
              <w:szCs w:val="24"/>
            </w:rPr>
            <w:t xml:space="preserve">                                          6</w:t>
          </w:r>
        </w:p>
        <w:p>
          <w:pPr>
            <w:pStyle w:val="TOC1"/>
            <w:rPr>
              <w:szCs w:val="24"/>
            </w:rPr>
          </w:pPr>
          <w:r>
            <w:rPr>
              <w:szCs w:val="24"/>
            </w:rPr>
            <w:t>1.8. Иные требования и сведения общего характера                                                                  6</w:t>
          </w:r>
        </w:p>
        <w:p>
          <w:pPr>
            <w:pStyle w:val="TOC1"/>
            <w:rPr>
              <w:szCs w:val="24"/>
            </w:rPr>
          </w:pPr>
          <w:r>
            <w:rPr>
              <w:szCs w:val="24"/>
            </w:rPr>
            <w:t xml:space="preserve">2. </w:t>
          </w:r>
          <w:bookmarkStart w:id="2" w:name="_Toc473553327_Копия_1"/>
          <w:bookmarkStart w:id="3" w:name="_Toc184134837_Копия_1"/>
          <w:r>
            <w:rPr>
              <w:szCs w:val="24"/>
            </w:rPr>
            <w:t>Требования к продукции</w:t>
          </w:r>
          <w:bookmarkEnd w:id="2"/>
          <w:bookmarkEnd w:id="3"/>
          <w:r>
            <w:rPr>
              <w:szCs w:val="24"/>
            </w:rPr>
            <w:t xml:space="preserve">                                                                                                           6</w:t>
          </w:r>
        </w:p>
        <w:p>
          <w:pPr>
            <w:pStyle w:val="TOC1"/>
            <w:rPr>
              <w:szCs w:val="24"/>
            </w:rPr>
          </w:pPr>
          <w:r>
            <w:rPr>
              <w:szCs w:val="24"/>
            </w:rPr>
            <w:t>2.1. Требования к объемам и срокам выполнения работ                                                           6</w:t>
          </w:r>
        </w:p>
        <w:p>
          <w:pPr>
            <w:pStyle w:val="TOC1"/>
            <w:rPr>
              <w:szCs w:val="24"/>
            </w:rPr>
          </w:pPr>
          <w:r>
            <w:rPr>
              <w:szCs w:val="24"/>
            </w:rPr>
            <w:t>2.1.1. Требования к перечню и объему работ                                                                             6</w:t>
          </w:r>
        </w:p>
        <w:p>
          <w:pPr>
            <w:pStyle w:val="TOC1"/>
            <w:rPr>
              <w:szCs w:val="24"/>
            </w:rPr>
          </w:pPr>
          <w:r>
            <w:rPr>
              <w:szCs w:val="24"/>
            </w:rPr>
            <w:t xml:space="preserve">        </w:t>
          </w:r>
          <w:r>
            <w:rPr>
              <w:i/>
              <w:iCs/>
              <w:szCs w:val="24"/>
            </w:rPr>
            <w:t xml:space="preserve">Таблица 2. Перечень и объем выполняемых работ   </w:t>
          </w:r>
          <w:r>
            <w:rPr>
              <w:szCs w:val="24"/>
            </w:rPr>
            <w:t xml:space="preserve">                                                         6</w:t>
          </w:r>
        </w:p>
        <w:p>
          <w:pPr>
            <w:pStyle w:val="Heading3"/>
            <w:numPr>
              <w:ilvl w:val="2"/>
              <w:numId w:val="1"/>
            </w:numPr>
            <w:rPr>
              <w:rFonts w:ascii="Times New Roman" w:hAnsi="Times New Roman"/>
              <w:b w:val="false"/>
              <w:bCs w:val="false"/>
              <w:sz w:val="24"/>
              <w:szCs w:val="24"/>
            </w:rPr>
          </w:pPr>
          <w:bookmarkStart w:id="4" w:name="__RefHeading___Toc54643706_Копия_1"/>
          <w:bookmarkEnd w:id="4"/>
          <w:r>
            <w:rPr>
              <w:rFonts w:ascii="Times New Roman" w:hAnsi="Times New Roman"/>
              <w:b w:val="false"/>
              <w:bCs w:val="false"/>
              <w:sz w:val="24"/>
              <w:szCs w:val="24"/>
            </w:rPr>
            <w:t>2.1.2. Требования к срокам выполнения работ                                                                           7</w:t>
          </w:r>
        </w:p>
        <w:p>
          <w:pPr>
            <w:pStyle w:val="TOC1"/>
            <w:rPr>
              <w:szCs w:val="24"/>
            </w:rPr>
          </w:pPr>
          <w:bookmarkStart w:id="5" w:name="__RefHeading___Toc54643707_Копия_1"/>
          <w:bookmarkEnd w:id="5"/>
          <w:r>
            <w:rPr>
              <w:szCs w:val="24"/>
            </w:rPr>
            <w:t xml:space="preserve">        </w:t>
          </w:r>
          <w:r>
            <w:rPr>
              <w:i/>
              <w:iCs/>
              <w:szCs w:val="24"/>
            </w:rPr>
            <w:t xml:space="preserve">Таблица 3. </w:t>
          </w:r>
          <w:bookmarkStart w:id="6" w:name="_Hlk50465284_Копия_1"/>
          <w:r>
            <w:rPr>
              <w:i/>
              <w:iCs/>
              <w:szCs w:val="24"/>
            </w:rPr>
            <w:t xml:space="preserve">Требования к срокам </w:t>
          </w:r>
          <w:bookmarkEnd w:id="6"/>
          <w:r>
            <w:rPr>
              <w:i/>
              <w:iCs/>
              <w:szCs w:val="24"/>
            </w:rPr>
            <w:t xml:space="preserve">выполнения работ   </w:t>
          </w:r>
          <w:r>
            <w:rPr>
              <w:szCs w:val="24"/>
            </w:rPr>
            <w:t xml:space="preserve">                                                       7</w:t>
          </w:r>
        </w:p>
        <w:p>
          <w:pPr>
            <w:pStyle w:val="Normal"/>
            <w:rPr>
              <w:szCs w:val="24"/>
            </w:rPr>
          </w:pPr>
          <w:r>
            <w:rPr>
              <w:szCs w:val="24"/>
            </w:rPr>
          </w:r>
        </w:p>
        <w:p>
          <w:pPr>
            <w:pStyle w:val="TOC1"/>
            <w:rPr>
              <w:szCs w:val="24"/>
            </w:rPr>
          </w:pPr>
          <w:r>
            <w:rPr>
              <w:szCs w:val="24"/>
            </w:rPr>
            <w:t>2.2. Требования к качеству выполнения работ                                                                           8</w:t>
          </w:r>
        </w:p>
        <w:p>
          <w:pPr>
            <w:pStyle w:val="Normal"/>
            <w:rPr>
              <w:szCs w:val="24"/>
            </w:rPr>
          </w:pPr>
          <w:r>
            <w:rPr>
              <w:szCs w:val="24"/>
            </w:rPr>
            <w:t xml:space="preserve">        </w:t>
          </w:r>
          <w:r>
            <w:rPr>
              <w:i/>
              <w:iCs/>
              <w:szCs w:val="24"/>
            </w:rPr>
            <w:t xml:space="preserve">Таблица 4. Требования к качеству выполнения работ   </w:t>
          </w:r>
          <w:r>
            <w:rPr>
              <w:szCs w:val="24"/>
            </w:rPr>
            <w:t xml:space="preserve">                                                   8</w:t>
          </w:r>
        </w:p>
        <w:p>
          <w:pPr>
            <w:pStyle w:val="Normal"/>
            <w:rPr>
              <w:szCs w:val="24"/>
            </w:rPr>
          </w:pPr>
          <w:r>
            <w:rPr>
              <w:szCs w:val="24"/>
            </w:rPr>
          </w:r>
        </w:p>
        <w:p>
          <w:pPr>
            <w:pStyle w:val="TOC1"/>
            <w:rPr>
              <w:szCs w:val="24"/>
            </w:rPr>
          </w:pPr>
          <w:r>
            <w:rPr>
              <w:szCs w:val="24"/>
            </w:rPr>
          </w:r>
          <w:r>
            <w:rPr>
              <w:szCs w:val="24"/>
            </w:rPr>
            <w:fldChar w:fldCharType="end"/>
          </w:r>
        </w:p>
      </w:sdtContent>
    </w:sdt>
    <w:p>
      <w:pPr>
        <w:pStyle w:val="TOC1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rPr>
          <w:szCs w:val="24"/>
        </w:rPr>
      </w:pPr>
      <w:r>
        <w:rPr>
          <w:szCs w:val="24"/>
        </w:rPr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Normal"/>
        <w:jc w:val="center"/>
        <w:rPr>
          <w:szCs w:val="24"/>
        </w:rPr>
      </w:pPr>
      <w:r>
        <w:rPr>
          <w:szCs w:val="24"/>
        </w:rPr>
      </w:r>
    </w:p>
    <w:p>
      <w:pPr>
        <w:pStyle w:val="TOC1"/>
        <w:tabs>
          <w:tab w:val="clear" w:pos="426"/>
          <w:tab w:val="left" w:pos="284" w:leader="none"/>
          <w:tab w:val="right" w:pos="9344" w:leader="none"/>
        </w:tabs>
        <w:rPr>
          <w:rStyle w:val="Hyperlink"/>
          <w:szCs w:val="24"/>
        </w:rPr>
      </w:pPr>
      <w:r>
        <w:rPr>
          <w:szCs w:val="24"/>
        </w:rPr>
      </w:r>
      <w:r>
        <w:br w:type="page"/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142"/>
        <w:jc w:val="center"/>
        <w:rPr>
          <w:sz w:val="28"/>
          <w:szCs w:val="28"/>
        </w:rPr>
      </w:pPr>
      <w:bookmarkStart w:id="7" w:name="_Toc184134828"/>
      <w:r>
        <w:rPr>
          <w:b/>
          <w:sz w:val="28"/>
          <w:szCs w:val="28"/>
        </w:rPr>
        <w:t>1.1 ОБОЗНАЧЕНИЯ И СОКРАЩЕНИЯ</w:t>
      </w:r>
      <w:bookmarkEnd w:id="7"/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</w:r>
    </w:p>
    <w:tbl>
      <w:tblPr>
        <w:tblW w:w="946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296"/>
        <w:gridCol w:w="8163"/>
      </w:tblGrid>
      <w:tr>
        <w:trPr>
          <w:trHeight w:val="282" w:hRule="atLeast"/>
        </w:trPr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Cs w:val="24"/>
                <w:lang w:eastAsia="ru-RU"/>
              </w:rPr>
              <w:t>ГЭС</w:t>
            </w:r>
          </w:p>
        </w:tc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Cs w:val="24"/>
                <w:lang w:eastAsia="ru-RU"/>
              </w:rPr>
              <w:t>Гидроэлектростанция</w:t>
            </w:r>
          </w:p>
        </w:tc>
      </w:tr>
      <w:tr>
        <w:trPr>
          <w:trHeight w:val="282" w:hRule="atLeast"/>
        </w:trPr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Cs w:val="24"/>
                <w:lang w:eastAsia="ru-RU"/>
              </w:rPr>
              <w:t>АКЗ</w:t>
            </w:r>
          </w:p>
        </w:tc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Cs w:val="24"/>
                <w:lang w:eastAsia="ru-RU"/>
              </w:rPr>
              <w:t>Антикоррозийная защита</w:t>
            </w:r>
          </w:p>
        </w:tc>
      </w:tr>
      <w:tr>
        <w:trPr>
          <w:trHeight w:val="282" w:hRule="atLeast"/>
        </w:trPr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Cs w:val="24"/>
                <w:lang w:eastAsia="ru-RU"/>
              </w:rPr>
              <w:t>НТД</w:t>
            </w:r>
          </w:p>
        </w:tc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Cs w:val="24"/>
                <w:lang w:eastAsia="ru-RU"/>
              </w:rPr>
              <w:t>Нормативно-техническая документация</w:t>
            </w:r>
          </w:p>
        </w:tc>
      </w:tr>
      <w:tr>
        <w:trPr>
          <w:trHeight w:val="295" w:hRule="atLeast"/>
        </w:trPr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Cs w:val="24"/>
              </w:rPr>
              <w:t>ТТ</w:t>
            </w:r>
          </w:p>
        </w:tc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Cs w:val="24"/>
              </w:rPr>
              <w:t>Технические требования</w:t>
            </w:r>
          </w:p>
        </w:tc>
      </w:tr>
      <w:tr>
        <w:trPr>
          <w:trHeight w:val="295" w:hRule="atLeast"/>
        </w:trPr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Cs w:val="24"/>
                <w:lang w:eastAsia="ru-RU"/>
              </w:rPr>
              <w:t>РД</w:t>
            </w:r>
          </w:p>
        </w:tc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Cs w:val="24"/>
                <w:lang w:eastAsia="ru-RU"/>
              </w:rPr>
              <w:t>Рабочая документация</w:t>
            </w:r>
          </w:p>
        </w:tc>
      </w:tr>
      <w:tr>
        <w:trPr>
          <w:trHeight w:val="295" w:hRule="atLeast"/>
        </w:trPr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СБ</w:t>
            </w:r>
          </w:p>
        </w:tc>
        <w:tc>
          <w:tcPr>
            <w:tcW w:w="8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Сборочный чертеж</w:t>
            </w:r>
          </w:p>
        </w:tc>
      </w:tr>
      <w:tr>
        <w:trPr>
          <w:trHeight w:val="295" w:hRule="atLeast"/>
        </w:trPr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ДСП</w:t>
            </w:r>
          </w:p>
        </w:tc>
        <w:tc>
          <w:tcPr>
            <w:tcW w:w="8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Древесно-стружечные плиты</w:t>
            </w:r>
          </w:p>
        </w:tc>
      </w:tr>
      <w:tr>
        <w:trPr>
          <w:trHeight w:val="295" w:hRule="atLeast"/>
        </w:trPr>
        <w:tc>
          <w:tcPr>
            <w:tcW w:w="12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ПАО</w:t>
            </w:r>
          </w:p>
        </w:tc>
        <w:tc>
          <w:tcPr>
            <w:tcW w:w="81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Публично-акционерное общество</w:t>
            </w:r>
          </w:p>
        </w:tc>
      </w:tr>
    </w:tbl>
    <w:p>
      <w:pPr>
        <w:sectPr>
          <w:footerReference w:type="default" r:id="rId3"/>
          <w:footerReference w:type="first" r:id="rId4"/>
          <w:type w:val="nextPage"/>
          <w:pgSz w:w="11906" w:h="16838"/>
          <w:pgMar w:left="1701" w:right="851" w:gutter="0" w:header="0" w:top="851" w:footer="709" w:bottom="993"/>
          <w:pgNumType w:fmt="decimal"/>
          <w:formProt w:val="false"/>
          <w:textDirection w:val="lrTb"/>
          <w:docGrid w:type="default" w:linePitch="299" w:charSpace="0"/>
        </w:sectPr>
      </w:pP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</w:rPr>
      </w:pPr>
      <w:bookmarkStart w:id="8" w:name="_Toc184134829"/>
      <w:bookmarkStart w:id="9" w:name="_Toc473553325"/>
      <w:bookmarkStart w:id="10" w:name="_Toc428261676"/>
      <w:bookmarkStart w:id="11" w:name="_Toc428261814"/>
      <w:bookmarkStart w:id="12" w:name="_Toc428261145"/>
      <w:bookmarkStart w:id="13" w:name="_Toc428261146"/>
      <w:bookmarkStart w:id="14" w:name="_Toc428262214"/>
      <w:bookmarkStart w:id="15" w:name="_Toc428261723"/>
      <w:bookmarkStart w:id="16" w:name="_Toc428261725"/>
      <w:bookmarkStart w:id="17" w:name="_Toc428261808"/>
      <w:bookmarkStart w:id="18" w:name="_Toc428261141"/>
      <w:bookmarkStart w:id="19" w:name="_Toc428261677"/>
      <w:bookmarkStart w:id="20" w:name="_Toc428261681"/>
      <w:bookmarkStart w:id="21" w:name="_Toc428261683"/>
      <w:bookmarkStart w:id="22" w:name="_Toc428261147"/>
      <w:bookmarkStart w:id="23" w:name="_Toc428262210"/>
      <w:bookmarkStart w:id="24" w:name="_Toc428261809"/>
      <w:bookmarkStart w:id="25" w:name="_Toc428262216"/>
      <w:bookmarkStart w:id="26" w:name="_Toc428262209"/>
      <w:bookmarkStart w:id="27" w:name="_Toc137554595"/>
      <w:bookmarkStart w:id="28" w:name="_Toc428262215"/>
      <w:bookmarkStart w:id="29" w:name="_Toc428261140"/>
      <w:bookmarkStart w:id="30" w:name="_Toc428261682"/>
      <w:bookmarkStart w:id="31" w:name="_Toc428261730"/>
      <w:bookmarkStart w:id="32" w:name="_Toc428261813"/>
      <w:bookmarkStart w:id="33" w:name="_Toc428261729"/>
      <w:bookmarkStart w:id="34" w:name="_Toc428261142"/>
      <w:bookmarkStart w:id="35" w:name="_Toc428261810"/>
      <w:bookmarkStart w:id="36" w:name="_Toc428261728"/>
      <w:bookmarkStart w:id="37" w:name="_Toc428262211"/>
      <w:bookmarkStart w:id="38" w:name="_Toc428261724"/>
      <w:bookmarkStart w:id="39" w:name="_Toc428261678"/>
      <w:bookmarkStart w:id="40" w:name="_Toc428261815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r>
        <w:rPr>
          <w:b/>
          <w:color w:val="000000"/>
        </w:rPr>
        <w:t>1.2. Наименование закупаемой продукции</w:t>
      </w:r>
      <w:bookmarkEnd w:id="8"/>
      <w:bookmarkEnd w:id="9"/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</w:rPr>
      </w:pPr>
      <w:r>
        <w:rPr>
          <w:color w:val="000000"/>
        </w:rPr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firstLine="567" w:left="0"/>
        <w:jc w:val="both"/>
        <w:rPr>
          <w:color w:val="000000"/>
        </w:rPr>
      </w:pPr>
      <w:r>
        <w:rPr>
          <w:color w:val="000000"/>
        </w:rPr>
        <w:t>«</w:t>
      </w:r>
      <w:r>
        <w:rPr>
          <w:color w:val="000000"/>
          <w:lang w:val="en-US"/>
        </w:rPr>
        <w:t xml:space="preserve">ОКПД2: 71.12.17.000 </w:t>
      </w:r>
      <w:r>
        <w:rPr>
          <w:bCs w:val="false"/>
          <w:color w:val="000000"/>
        </w:rPr>
        <w:t>Разработка рабочей документации на текущий ремонт затворов ремонтных №1-12 нижнего бьефа Бурейской ГЭС»</w:t>
      </w:r>
      <w:r>
        <w:rPr>
          <w:color w:val="000000"/>
        </w:rPr>
        <w:t>.</w:t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</w:rPr>
      </w:pPr>
      <w:r>
        <w:rPr>
          <w:color w:val="000000"/>
        </w:rPr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</w:rPr>
      </w:pPr>
      <w:bookmarkStart w:id="41" w:name="_Toc473553326"/>
      <w:bookmarkStart w:id="42" w:name="_Toc184134830"/>
      <w:r>
        <w:rPr>
          <w:b/>
          <w:color w:val="000000"/>
        </w:rPr>
        <w:t>1.3. Цель и задачи выполнения работ</w:t>
      </w:r>
      <w:bookmarkEnd w:id="42"/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</w:rPr>
      </w:pPr>
      <w:r>
        <w:rPr>
          <w:color w:val="000000"/>
        </w:rPr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</w:rPr>
      </w:pPr>
      <w:r>
        <w:rPr>
          <w:b/>
          <w:i/>
          <w:iCs/>
          <w:color w:val="000000"/>
        </w:rPr>
        <w:t>1.3.1. Цель:</w:t>
      </w:r>
    </w:p>
    <w:p>
      <w:pPr>
        <w:pStyle w:val="Normal"/>
        <w:ind w:firstLine="567"/>
        <w:jc w:val="both"/>
        <w:rPr/>
      </w:pPr>
      <w:r>
        <w:rPr>
          <w:color w:val="000000"/>
          <w:szCs w:val="24"/>
          <w:lang w:eastAsia="ru-RU"/>
        </w:rPr>
        <w:t xml:space="preserve">Разработка рабочей документации на технологический процесс размещения и надежной фиксации, с использованием специальной монтажной оснастки (приспособлений), </w:t>
      </w:r>
      <w:r>
        <w:rPr>
          <w:rStyle w:val="Hyperlink"/>
          <w:rFonts w:eastAsia="Times New Roman"/>
          <w:bCs/>
          <w:iCs/>
          <w:color w:val="000000"/>
          <w:szCs w:val="24"/>
          <w:u w:val="none"/>
          <w:lang w:eastAsia="ru-RU"/>
        </w:rPr>
        <w:t xml:space="preserve">затворов ремонтных отсасывающих труб 8,0-6,01-36,8 (черт. 67БС, </w:t>
      </w:r>
      <w:r>
        <w:rPr>
          <w:rStyle w:val="Hyperlink"/>
          <w:rFonts w:eastAsia="Times New Roman"/>
          <w:bCs/>
          <w:iCs/>
          <w:color w:val="000000"/>
          <w:szCs w:val="24"/>
          <w:u w:val="none"/>
          <w:lang w:eastAsia="x-none"/>
        </w:rPr>
        <w:t xml:space="preserve">1107140 СБ </w:t>
      </w:r>
      <w:r>
        <w:rPr>
          <w:rStyle w:val="Hyperlink"/>
          <w:rFonts w:eastAsia="Times New Roman"/>
          <w:bCs/>
          <w:iCs/>
          <w:color w:val="000000"/>
          <w:szCs w:val="24"/>
          <w:u w:val="none"/>
          <w:lang w:eastAsia="ru-RU"/>
        </w:rPr>
        <w:t xml:space="preserve">) №1-12 Бурейской ГЭС (далее — Объекты) </w:t>
      </w:r>
      <w:r>
        <w:rPr>
          <w:color w:val="000000"/>
          <w:szCs w:val="24"/>
          <w:lang w:eastAsia="ru-RU"/>
        </w:rPr>
        <w:t>в пространстве, по месту проведения ремонтных работ, а также при инструментальных обследованиях Объектов.</w:t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</w:rPr>
      </w:pPr>
      <w:r>
        <w:rPr>
          <w:b/>
          <w:i/>
          <w:iCs/>
          <w:color w:val="000000"/>
        </w:rPr>
        <w:t>1.3.2. Задача:</w:t>
      </w:r>
    </w:p>
    <w:p>
      <w:pPr>
        <w:pStyle w:val="Normal"/>
        <w:ind w:firstLine="567"/>
        <w:jc w:val="both"/>
        <w:rPr/>
      </w:pPr>
      <w:r>
        <w:rPr>
          <w:rStyle w:val="Hyperlink"/>
          <w:rFonts w:eastAsia="Times New Roman"/>
          <w:bCs/>
          <w:iCs/>
          <w:color w:val="000000"/>
          <w:szCs w:val="24"/>
          <w:u w:val="none"/>
          <w:lang w:eastAsia="ru-RU"/>
        </w:rPr>
        <w:t>Подготовка комплекта рабочей документации, содержащей конструктивные и технические решения по специальной монтажной оснастке (конструкция, приспособление) для обеспечения безопасного доступа персонала к обследуемым элементам Объектов при проведении инструментальных обследований, а также для возможности проведения полного комплекса ремонтных работ на Объектах (замена уплотнений, антикоррозийная защита (далее — АКЗ), устранение дефектов металлоконструкции, ремонт опорно-ходовой части).</w:t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</w:rPr>
      </w:pPr>
      <w:r>
        <w:rPr>
          <w:color w:val="000000"/>
        </w:rPr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</w:rPr>
      </w:pPr>
      <w:bookmarkStart w:id="43" w:name="_Toc184134831"/>
      <w:r>
        <w:rPr>
          <w:b/>
          <w:color w:val="000000"/>
        </w:rPr>
        <w:t>1.4. Существующее положение:</w:t>
      </w:r>
      <w:bookmarkEnd w:id="43"/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rStyle w:val="Hyperlink"/>
          <w:iCs/>
          <w:color w:val="000000"/>
          <w:u w:val="none"/>
          <w:lang w:eastAsia="x-none"/>
        </w:rPr>
      </w:pPr>
      <w:r>
        <w:rPr>
          <w:iCs/>
          <w:color w:val="000000"/>
          <w:u w:val="none"/>
          <w:lang w:eastAsia="x-none"/>
        </w:rPr>
      </w:r>
    </w:p>
    <w:p>
      <w:pPr>
        <w:pStyle w:val="Normal"/>
        <w:spacing w:lineRule="auto" w:line="252"/>
        <w:ind w:firstLine="567"/>
        <w:jc w:val="both"/>
        <w:rPr/>
      </w:pPr>
      <w:r>
        <w:rPr>
          <w:rStyle w:val="Hyperlink"/>
          <w:rFonts w:eastAsia="Times New Roman"/>
          <w:bCs/>
          <w:iCs/>
          <w:color w:val="000000"/>
          <w:szCs w:val="24"/>
          <w:u w:val="none"/>
          <w:lang w:eastAsia="x-none"/>
        </w:rPr>
        <w:t>На Бурейской ГЭС эксплуатируются Объекты (Затворы) в количестве 12 штук, которые ведены в эксплуатацию в период 2003-2007 годов.</w:t>
      </w:r>
    </w:p>
    <w:p>
      <w:pPr>
        <w:pStyle w:val="Normal"/>
        <w:spacing w:lineRule="auto" w:line="252"/>
        <w:ind w:firstLine="567"/>
        <w:jc w:val="both"/>
        <w:rPr/>
      </w:pPr>
      <w:r>
        <w:rPr>
          <w:rStyle w:val="Hyperlink"/>
          <w:rFonts w:eastAsia="Times New Roman"/>
          <w:bCs/>
          <w:iCs/>
          <w:color w:val="000000"/>
          <w:szCs w:val="24"/>
          <w:u w:val="none"/>
          <w:lang w:eastAsia="x-none"/>
        </w:rPr>
        <w:t>В настоящее время ограничен объем ремонтных работ на Затворах, ввиду отсутствия необходимого технологического оснащения для возможности их надежного и безопасного размещения в зоне ремонтных работ, а именно, в районе раздельной стенки нижнего бъефа Бурейской ГЭС. Кроме того, на ремонтный процесс влияют постоянные ограничения по времени и особенности эксплуатации специального козлового крана 68БС1: он должен постоянно находиться в состоянии готовности для возможности оперативного маневрирования Объектами на всех гидроагрегатах станции.</w:t>
      </w:r>
    </w:p>
    <w:p>
      <w:pPr>
        <w:pStyle w:val="Normal"/>
        <w:spacing w:lineRule="auto" w:line="252"/>
        <w:ind w:firstLine="567"/>
        <w:jc w:val="both"/>
        <w:rPr/>
      </w:pPr>
      <w:r>
        <w:rPr>
          <w:rStyle w:val="Hyperlink"/>
          <w:rFonts w:eastAsia="Times New Roman"/>
          <w:bCs/>
          <w:iCs/>
          <w:color w:val="000000"/>
          <w:szCs w:val="24"/>
          <w:u w:val="none"/>
          <w:lang w:eastAsia="x-none"/>
        </w:rPr>
        <w:t>При существующей в настоящее время технологии установки одного из Затворов на водораздельной стенке, с использованием расчалок для раскрепления Затвора, не обеспечивается безопасность производства работ. В</w:t>
      </w:r>
      <w:r>
        <w:rPr>
          <w:rStyle w:val="Hyperlink"/>
          <w:rFonts w:eastAsia="Times New Roman"/>
          <w:bCs/>
          <w:iCs/>
          <w:color w:val="000000"/>
          <w:szCs w:val="24"/>
          <w:u w:val="none"/>
          <w:lang w:eastAsia="ru-RU"/>
        </w:rPr>
        <w:t xml:space="preserve"> процессе установки Затвора на ремонтные опоры, в момент отсоединения захватной балки крана козлового и его последующего следования к месту стоянки, Затвор находится в вертикальном положении, удерживаемый только двумя расчалками и посредством болтовых соединений к его опорам, что не обеспечивает требуемую устойчивость (схема раскрепления оборудованием для проведения работ по АКЗ металлических поверхностей Затворов, предусмотрено раскрепление Затвора четырьмя расчалками). В таком положении затвор находится достаточно длительное время, до тех пор, пока не будут установлены оставшиеся расчалки с применением автогидроподъёмника. </w:t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firstLine="567" w:left="0"/>
        <w:jc w:val="both"/>
        <w:rPr>
          <w:rStyle w:val="Hyperlink"/>
          <w:iCs/>
          <w:color w:val="000000"/>
          <w:u w:val="none"/>
        </w:rPr>
      </w:pPr>
      <w:r>
        <w:rPr>
          <w:iCs/>
          <w:color w:val="000000"/>
          <w:u w:val="none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jc w:val="both"/>
        <w:outlineLvl w:val="0"/>
        <w:rPr/>
      </w:pPr>
      <w:r>
        <w:rPr>
          <w:rStyle w:val="Hyperlink"/>
          <w:rFonts w:eastAsia="Times New Roman"/>
          <w:b/>
          <w:bCs/>
          <w:i/>
          <w:iCs/>
          <w:color w:val="000000"/>
          <w:szCs w:val="24"/>
          <w:u w:val="none"/>
          <w:lang w:eastAsia="ru-RU"/>
        </w:rPr>
        <w:t>Основные технические характеристики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Cs w:val="24"/>
          <w:u w:val="none"/>
          <w:lang w:eastAsia="ru-RU"/>
        </w:rPr>
        <w:t>Отверстие                                                                 глубинное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Cs w:val="24"/>
          <w:u w:val="none"/>
          <w:lang w:eastAsia="ru-RU"/>
        </w:rPr>
        <w:t>Пролет отверстия в свету, м                                   8,0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Cs w:val="24"/>
          <w:u w:val="none"/>
          <w:lang w:eastAsia="ru-RU"/>
        </w:rPr>
        <w:t>Расчетный пролет, м                                                8,5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Cs w:val="24"/>
          <w:u w:val="none"/>
          <w:lang w:eastAsia="ru-RU"/>
        </w:rPr>
        <w:t xml:space="preserve">Нагруженный пролет, м                                           8,15 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Cs w:val="24"/>
          <w:u w:val="none"/>
          <w:lang w:eastAsia="ru-RU"/>
        </w:rPr>
        <w:t>Высота отверстия, м                                                 6,01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Cs w:val="24"/>
          <w:u w:val="none"/>
          <w:lang w:eastAsia="ru-RU"/>
        </w:rPr>
        <w:t>Расчетный напор, м                                                  36,8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Cs w:val="24"/>
          <w:u w:val="none"/>
          <w:lang w:eastAsia="ru-RU"/>
        </w:rPr>
        <w:t>Нагрузка на затвор, т                                                1680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Cs w:val="24"/>
          <w:u w:val="none"/>
          <w:lang w:eastAsia="ru-RU"/>
        </w:rPr>
        <w:t>Расчетное подъемное усилие, т                               90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Cs w:val="24"/>
          <w:u w:val="none"/>
          <w:lang w:eastAsia="ru-RU"/>
        </w:rPr>
        <w:t>Масса затвора, т                                                        41,85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Cs w:val="24"/>
          <w:u w:val="none"/>
          <w:lang w:eastAsia="ru-RU"/>
        </w:rPr>
        <w:t xml:space="preserve">Грузоподъемность обслуживающего 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2268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Cs w:val="24"/>
          <w:u w:val="none"/>
          <w:lang w:eastAsia="ru-RU"/>
        </w:rPr>
        <w:t>механизма, т                                                              100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jc w:val="both"/>
        <w:outlineLvl w:val="0"/>
        <w:rPr/>
      </w:pPr>
      <w:r>
        <w:rPr>
          <w:rStyle w:val="Hyperlink"/>
          <w:rFonts w:eastAsia="Times New Roman"/>
          <w:b/>
          <w:bCs/>
          <w:i/>
          <w:iCs/>
          <w:color w:val="000000"/>
          <w:szCs w:val="24"/>
          <w:u w:val="none"/>
          <w:lang w:eastAsia="ru-RU"/>
        </w:rPr>
        <w:t>Описание конструкции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567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Cs w:val="24"/>
          <w:u w:val="none"/>
          <w:lang w:eastAsia="ru-RU"/>
        </w:rPr>
        <w:t>Ремонтные затворы в количестве 12 штук предназначены для перекрытия отверстий отсасывающих труб со стороны нижнего бьефа на период ремонта и осмотра гидроагрегатов.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567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Cs w:val="24"/>
          <w:u w:val="none"/>
          <w:lang w:eastAsia="ru-RU"/>
        </w:rPr>
        <w:t>Затвор односекционный, плоский, скользящий, сварной конструкции.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567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Cs w:val="24"/>
          <w:u w:val="none"/>
          <w:lang w:eastAsia="ru-RU"/>
        </w:rPr>
        <w:t>Затвор состоит из обшивки, расположенной с напорной стороны, восьми ригелей, опорно-концевых стоек и диафрагм.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567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Cs w:val="24"/>
          <w:u w:val="none"/>
          <w:lang w:eastAsia="ru-RU"/>
        </w:rPr>
        <w:t>Опорно-ходовые полозья с вкладышами из ДСП-Б-Гт. Для направления движения затвора в пазах имеются четыре торцевых направляющих и шесть обратных распорок.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567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Cs w:val="24"/>
          <w:u w:val="none"/>
          <w:lang w:eastAsia="ru-RU"/>
        </w:rPr>
        <w:t>Уплотнения боковые, верхние и нижние выполнены из резины специального профиля II и расположены с безнапорной стороны.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567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Cs w:val="24"/>
          <w:u w:val="none"/>
          <w:lang w:eastAsia="ru-RU"/>
        </w:rPr>
        <w:t>Затвор имеет одну точку подвеса и обслуживается козловым краном 100 т с помощью захватной балки с электромеханическим приводом на кране. Для подвешивания затвора в верхнем положении в пазах на металлоконструкции предусмотрены выдвижные подхваты.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firstLine="567" w:left="0"/>
        <w:jc w:val="both"/>
        <w:outlineLvl w:val="0"/>
        <w:rPr/>
      </w:pPr>
      <w:r>
        <w:rPr>
          <w:rStyle w:val="Hyperlink"/>
          <w:rFonts w:eastAsia="Times New Roman"/>
          <w:color w:val="000000"/>
          <w:szCs w:val="24"/>
          <w:u w:val="none"/>
          <w:lang w:eastAsia="ru-RU"/>
        </w:rPr>
        <w:t>Маневрирование затвором производится в безнапорном состоянии.</w:t>
      </w:r>
    </w:p>
    <w:p>
      <w:pPr>
        <w:pStyle w:val="22"/>
        <w:shd w:val="clear" w:color="auto" w:fill="auto"/>
        <w:tabs>
          <w:tab w:val="clear" w:pos="709"/>
          <w:tab w:val="left" w:pos="1469" w:leader="none"/>
        </w:tabs>
        <w:spacing w:lineRule="auto" w:line="240" w:before="0" w:after="0"/>
        <w:ind w:firstLine="567" w:right="5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Место размещения объекта:</w:t>
      </w:r>
    </w:p>
    <w:p>
      <w:pPr>
        <w:pStyle w:val="22"/>
        <w:shd w:val="clear" w:color="auto" w:fill="auto"/>
        <w:tabs>
          <w:tab w:val="clear" w:pos="709"/>
          <w:tab w:val="left" w:pos="1469" w:leader="none"/>
        </w:tabs>
        <w:spacing w:lineRule="auto" w:line="240" w:before="0" w:after="0"/>
        <w:ind w:firstLine="567" w:right="57"/>
        <w:jc w:val="both"/>
        <w:rPr/>
      </w:pPr>
      <w:r>
        <w:rPr>
          <w:rStyle w:val="Hyperlink"/>
          <w:color w:val="000000"/>
          <w:sz w:val="24"/>
          <w:szCs w:val="24"/>
          <w:u w:val="none"/>
        </w:rPr>
        <w:t>Амурская область, Бурейский район, п.г.т. Талакан, Бурейская ГЭС, нижний бьеф, отм 152,50.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jc w:val="both"/>
        <w:outlineLvl w:val="0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Heading1"/>
        <w:keepLines/>
        <w:numPr>
          <w:ilvl w:val="0"/>
          <w:numId w:val="0"/>
        </w:numPr>
        <w:ind w:hanging="0" w:left="0"/>
        <w:rPr>
          <w:color w:val="000000"/>
        </w:rPr>
      </w:pPr>
      <w:bookmarkStart w:id="44" w:name="__RefHeading___Toc54643699"/>
      <w:bookmarkEnd w:id="44"/>
      <w:r>
        <w:rPr>
          <w:b/>
          <w:color w:val="000000"/>
        </w:rPr>
        <w:t>Таблица 1. Перечень объектов заказчика</w:t>
      </w:r>
    </w:p>
    <w:p>
      <w:pPr>
        <w:pStyle w:val="Normal"/>
        <w:rPr>
          <w:b/>
          <w:color w:val="000000"/>
          <w:szCs w:val="24"/>
        </w:rPr>
      </w:pPr>
      <w:r>
        <w:rPr>
          <w:b/>
          <w:color w:val="000000"/>
          <w:szCs w:val="24"/>
        </w:rPr>
      </w:r>
    </w:p>
    <w:tbl>
      <w:tblPr>
        <w:tblW w:w="963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15"/>
        <w:gridCol w:w="3258"/>
        <w:gridCol w:w="2373"/>
        <w:gridCol w:w="3383"/>
      </w:tblGrid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п/п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Наименование объектов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Расположение объектов </w:t>
              <w:br/>
            </w:r>
            <w:r>
              <w:rPr>
                <w:b/>
                <w:bCs/>
                <w:i/>
                <w:iCs/>
                <w:color w:val="000000"/>
                <w:szCs w:val="24"/>
              </w:rPr>
              <w:t>(место выполнения работ)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Наименование основных средств </w:t>
              <w:br/>
              <w:t>(</w:t>
            </w:r>
            <w:r>
              <w:rPr>
                <w:b/>
                <w:bCs/>
                <w:i/>
                <w:iCs/>
                <w:color w:val="000000"/>
                <w:szCs w:val="24"/>
              </w:rPr>
              <w:t>в отношении которых выполняются работы</w:t>
            </w:r>
            <w:r>
              <w:rPr>
                <w:b/>
                <w:bCs/>
                <w:color w:val="000000"/>
                <w:szCs w:val="24"/>
              </w:rPr>
              <w:t>)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1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2</w:t>
            </w: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3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4</w:t>
            </w:r>
          </w:p>
        </w:tc>
      </w:tr>
      <w:tr>
        <w:trPr/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1.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Затвор ремонтный №1</w:t>
            </w:r>
          </w:p>
        </w:tc>
        <w:tc>
          <w:tcPr>
            <w:tcW w:w="23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Бурейская ГЭС, нижний бьеф</w:t>
            </w:r>
          </w:p>
        </w:tc>
        <w:tc>
          <w:tcPr>
            <w:tcW w:w="3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Инв.№ 831</w:t>
            </w:r>
          </w:p>
        </w:tc>
      </w:tr>
      <w:tr>
        <w:trPr/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2.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Затвор ремонтный №2</w:t>
            </w:r>
          </w:p>
        </w:tc>
        <w:tc>
          <w:tcPr>
            <w:tcW w:w="23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Инв.№832</w:t>
            </w:r>
          </w:p>
        </w:tc>
      </w:tr>
      <w:tr>
        <w:trPr/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3.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Затвор ремонтный №3</w:t>
            </w:r>
          </w:p>
        </w:tc>
        <w:tc>
          <w:tcPr>
            <w:tcW w:w="23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Инв.№833</w:t>
            </w:r>
          </w:p>
        </w:tc>
      </w:tr>
      <w:tr>
        <w:trPr/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4.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Затвор ремонтный №4</w:t>
            </w:r>
          </w:p>
        </w:tc>
        <w:tc>
          <w:tcPr>
            <w:tcW w:w="23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Инв.№834</w:t>
            </w:r>
          </w:p>
        </w:tc>
      </w:tr>
      <w:tr>
        <w:trPr/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5.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Затвор ремонтный №5</w:t>
            </w:r>
          </w:p>
        </w:tc>
        <w:tc>
          <w:tcPr>
            <w:tcW w:w="23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Инв.№835</w:t>
            </w:r>
          </w:p>
        </w:tc>
      </w:tr>
      <w:tr>
        <w:trPr/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6.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Затвор ремонтный №6</w:t>
            </w:r>
          </w:p>
        </w:tc>
        <w:tc>
          <w:tcPr>
            <w:tcW w:w="23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Инв.№836</w:t>
            </w:r>
          </w:p>
        </w:tc>
      </w:tr>
      <w:tr>
        <w:trPr/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7.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Затвор ремонтный №7</w:t>
            </w:r>
          </w:p>
        </w:tc>
        <w:tc>
          <w:tcPr>
            <w:tcW w:w="23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Инв.№837</w:t>
            </w:r>
          </w:p>
        </w:tc>
      </w:tr>
      <w:tr>
        <w:trPr/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8.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Затвор ремонтный №8</w:t>
            </w:r>
          </w:p>
        </w:tc>
        <w:tc>
          <w:tcPr>
            <w:tcW w:w="23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Инв.№838</w:t>
            </w:r>
          </w:p>
        </w:tc>
      </w:tr>
      <w:tr>
        <w:trPr/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9.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Затвор ремонтный №9</w:t>
            </w:r>
          </w:p>
        </w:tc>
        <w:tc>
          <w:tcPr>
            <w:tcW w:w="23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Инв.№839</w:t>
            </w:r>
          </w:p>
        </w:tc>
      </w:tr>
      <w:tr>
        <w:trPr/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10.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Затвор ремонтный №10</w:t>
            </w:r>
          </w:p>
        </w:tc>
        <w:tc>
          <w:tcPr>
            <w:tcW w:w="23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Инв.№840</w:t>
            </w:r>
          </w:p>
        </w:tc>
      </w:tr>
      <w:tr>
        <w:trPr/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11.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Затвор ремонтный №11</w:t>
            </w:r>
          </w:p>
        </w:tc>
        <w:tc>
          <w:tcPr>
            <w:tcW w:w="23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Инв.№841</w:t>
            </w:r>
          </w:p>
        </w:tc>
      </w:tr>
      <w:tr>
        <w:trPr/>
        <w:tc>
          <w:tcPr>
            <w:tcW w:w="6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en-US"/>
              </w:rPr>
              <w:t>12.</w:t>
            </w:r>
          </w:p>
        </w:tc>
        <w:tc>
          <w:tcPr>
            <w:tcW w:w="3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Затвор ремонтный №12</w:t>
            </w:r>
          </w:p>
        </w:tc>
        <w:tc>
          <w:tcPr>
            <w:tcW w:w="237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33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Инв.№842</w:t>
            </w:r>
          </w:p>
        </w:tc>
      </w:tr>
    </w:tbl>
    <w:p>
      <w:pPr>
        <w:pStyle w:val="Heading4"/>
        <w:numPr>
          <w:ilvl w:val="0"/>
          <w:numId w:val="0"/>
        </w:numPr>
        <w:spacing w:before="0" w:after="0"/>
        <w:ind w:hanging="0" w:left="43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jc w:val="both"/>
        <w:rPr>
          <w:color w:val="000000"/>
          <w:szCs w:val="24"/>
        </w:rPr>
      </w:pPr>
      <w:bookmarkStart w:id="45" w:name="_Toc184134836"/>
      <w:r>
        <w:rPr>
          <w:b/>
          <w:color w:val="000000"/>
          <w:szCs w:val="24"/>
        </w:rPr>
        <w:t>1.5. Основание на выполнение работ:</w:t>
      </w:r>
      <w:bookmarkEnd w:id="45"/>
    </w:p>
    <w:p>
      <w:pPr>
        <w:pStyle w:val="Normal"/>
        <w:jc w:val="both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Normal"/>
        <w:ind w:firstLine="567"/>
        <w:jc w:val="both"/>
        <w:rPr/>
      </w:pPr>
      <w:r>
        <w:rPr>
          <w:rStyle w:val="Hyperlink"/>
          <w:rFonts w:eastAsia="Times New Roman"/>
          <w:color w:val="000000"/>
          <w:szCs w:val="24"/>
          <w:u w:val="none"/>
          <w:lang w:eastAsia="ru-RU"/>
        </w:rPr>
        <w:t>Утвержденная производственная программа филиала ПАО «РусГидро»-«Бурейская ГЭС», а также настоящие Технические требования (далее — ТТ).</w:t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bCs w:val="false"/>
          <w:color w:val="000000"/>
        </w:rPr>
      </w:pPr>
      <w:r>
        <w:rPr>
          <w:bCs w:val="false"/>
          <w:color w:val="000000"/>
        </w:rPr>
      </w:r>
    </w:p>
    <w:p>
      <w:pPr>
        <w:pStyle w:val="Heading1"/>
        <w:numPr>
          <w:ilvl w:val="0"/>
          <w:numId w:val="0"/>
        </w:numPr>
        <w:tabs>
          <w:tab w:val="clear" w:pos="709"/>
          <w:tab w:val="left" w:pos="378" w:leader="none"/>
        </w:tabs>
        <w:ind w:hanging="0" w:left="0"/>
        <w:rPr>
          <w:color w:val="000000"/>
        </w:rPr>
      </w:pPr>
      <w:bookmarkStart w:id="46" w:name="_Toc184134832"/>
      <w:r>
        <w:rPr>
          <w:b/>
          <w:color w:val="000000"/>
        </w:rPr>
        <w:t xml:space="preserve">1.6.  </w:t>
      </w:r>
      <w:bookmarkStart w:id="47" w:name="_Toc54647827"/>
      <w:r>
        <w:rPr>
          <w:b/>
          <w:color w:val="000000"/>
        </w:rPr>
        <w:t>Наименование и место расположения функционального заказчика</w:t>
      </w:r>
      <w:bookmarkEnd w:id="41"/>
      <w:bookmarkEnd w:id="46"/>
      <w:bookmarkEnd w:id="47"/>
    </w:p>
    <w:p>
      <w:pPr>
        <w:pStyle w:val="Normal"/>
        <w:jc w:val="both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Normal"/>
        <w:ind w:firstLine="567"/>
        <w:jc w:val="both"/>
        <w:rPr>
          <w:color w:val="000000"/>
          <w:szCs w:val="24"/>
        </w:rPr>
      </w:pPr>
      <w:r>
        <w:rPr>
          <w:rFonts w:eastAsia="Times New Roman"/>
          <w:color w:val="000000"/>
          <w:szCs w:val="24"/>
          <w:lang w:eastAsia="ru-RU"/>
        </w:rPr>
        <w:t>ПАО «РусГидро», функциональный заказчик: филиал ПАО «РусГидро» - «Бурейская ГЭС» (676730, Амурская область, Бурейский район, п.г.т. Талакан).</w:t>
      </w:r>
    </w:p>
    <w:p>
      <w:pPr>
        <w:pStyle w:val="Normal"/>
        <w:jc w:val="both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Normal"/>
        <w:jc w:val="both"/>
        <w:rPr>
          <w:color w:val="000000"/>
          <w:szCs w:val="24"/>
        </w:rPr>
      </w:pPr>
      <w:bookmarkStart w:id="48" w:name="_Toc184134833"/>
      <w:r>
        <w:rPr>
          <w:b/>
          <w:color w:val="000000"/>
          <w:szCs w:val="24"/>
        </w:rPr>
        <w:t xml:space="preserve">1.7. Информация в отношении исполнения договора, </w:t>
      </w:r>
      <w:bookmarkStart w:id="49" w:name="_Hlk46492347"/>
      <w:r>
        <w:rPr>
          <w:b/>
          <w:color w:val="000000"/>
          <w:szCs w:val="24"/>
        </w:rPr>
        <w:t xml:space="preserve">которая должна быть учтена при подготовке заявки </w:t>
      </w:r>
      <w:bookmarkEnd w:id="49"/>
      <w:r>
        <w:rPr>
          <w:b/>
          <w:color w:val="000000"/>
          <w:szCs w:val="24"/>
        </w:rPr>
        <w:t>(в том числе перечень ресурсов, услуг и документов, предоставляемых заказчиком на этапе исполнения договора)</w:t>
      </w:r>
      <w:bookmarkEnd w:id="48"/>
    </w:p>
    <w:p>
      <w:pPr>
        <w:pStyle w:val="Normal"/>
        <w:jc w:val="both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Normal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При разработке РД Заказчик по мере необходимости предоставляет Исполнителю по его письменному требованию уточняющую информацию общего характера не являющейся коммерческой тайной или иной степени секретности.</w:t>
      </w:r>
    </w:p>
    <w:p>
      <w:pPr>
        <w:pStyle w:val="Normal"/>
        <w:jc w:val="both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Normal"/>
        <w:jc w:val="both"/>
        <w:rPr>
          <w:color w:val="000000"/>
          <w:szCs w:val="24"/>
        </w:rPr>
      </w:pPr>
      <w:bookmarkStart w:id="50" w:name="_Ref54637921"/>
      <w:bookmarkStart w:id="51" w:name="_Toc184134834"/>
      <w:r>
        <w:rPr>
          <w:b/>
          <w:color w:val="000000"/>
          <w:szCs w:val="24"/>
        </w:rPr>
        <w:t>1.8. Иные требования и сведения общего характера</w:t>
      </w:r>
      <w:bookmarkEnd w:id="50"/>
      <w:bookmarkEnd w:id="51"/>
    </w:p>
    <w:p>
      <w:pPr>
        <w:pStyle w:val="Normal"/>
        <w:jc w:val="both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Normal"/>
        <w:ind w:firstLine="567"/>
        <w:jc w:val="both"/>
        <w:rPr>
          <w:color w:val="000000"/>
          <w:szCs w:val="24"/>
        </w:rPr>
      </w:pPr>
      <w:r>
        <w:rPr>
          <w:bCs/>
          <w:color w:val="000000"/>
          <w:szCs w:val="24"/>
        </w:rPr>
        <w:t xml:space="preserve">Кран козловой специальный г/п 100 установлен на отметке 152,50 со стороны нижнего бьефа, применяется </w:t>
      </w:r>
      <w:r>
        <w:rPr>
          <w:color w:val="000000"/>
          <w:szCs w:val="24"/>
          <w:lang w:eastAsia="ru-RU"/>
        </w:rPr>
        <w:t>для маневрирования Затворами.</w:t>
      </w:r>
    </w:p>
    <w:p>
      <w:pPr>
        <w:pStyle w:val="Normal"/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Heading4"/>
        <w:numPr>
          <w:ilvl w:val="0"/>
          <w:numId w:val="0"/>
        </w:numPr>
        <w:spacing w:before="0" w:after="0"/>
        <w:ind w:hanging="0" w:left="0"/>
        <w:jc w:val="center"/>
        <w:rPr>
          <w:color w:val="000000"/>
        </w:rPr>
      </w:pPr>
      <w:bookmarkStart w:id="52" w:name="_Toc473553327"/>
      <w:bookmarkStart w:id="53" w:name="_Toc184134837"/>
      <w:r>
        <w:rPr>
          <w:color w:val="000000"/>
        </w:rPr>
        <w:t>2.  Требования к продукции</w:t>
      </w:r>
      <w:bookmarkEnd w:id="52"/>
      <w:bookmarkEnd w:id="53"/>
    </w:p>
    <w:p>
      <w:pPr>
        <w:pStyle w:val="Heading4"/>
        <w:numPr>
          <w:ilvl w:val="0"/>
          <w:numId w:val="0"/>
        </w:numPr>
        <w:spacing w:before="0" w:after="0"/>
        <w:ind w:hanging="0" w:left="864"/>
        <w:jc w:val="both"/>
        <w:rPr>
          <w:color w:val="000000"/>
        </w:rPr>
      </w:pPr>
      <w:r>
        <w:rPr>
          <w:color w:val="000000"/>
        </w:rPr>
      </w:r>
    </w:p>
    <w:p>
      <w:pPr>
        <w:pStyle w:val="Heading4"/>
        <w:numPr>
          <w:ilvl w:val="0"/>
          <w:numId w:val="0"/>
        </w:numPr>
        <w:spacing w:before="0" w:after="0"/>
        <w:ind w:hanging="0" w:left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2.1. Требования к объемам и срокам выполнения работ</w:t>
      </w:r>
    </w:p>
    <w:p>
      <w:pPr>
        <w:pStyle w:val="Normal"/>
        <w:jc w:val="both"/>
        <w:rPr>
          <w:color w:val="000000"/>
          <w:szCs w:val="24"/>
        </w:rPr>
      </w:pPr>
      <w:r>
        <w:rPr>
          <w:color w:val="000000"/>
          <w:szCs w:val="24"/>
        </w:rPr>
      </w:r>
    </w:p>
    <w:p>
      <w:pPr>
        <w:pStyle w:val="Heading4"/>
        <w:numPr>
          <w:ilvl w:val="0"/>
          <w:numId w:val="0"/>
        </w:numPr>
        <w:spacing w:before="0" w:after="0"/>
        <w:ind w:hanging="0" w:left="454"/>
        <w:rPr>
          <w:color w:val="000000"/>
          <w:sz w:val="24"/>
          <w:szCs w:val="24"/>
        </w:rPr>
      </w:pPr>
      <w:r>
        <w:rPr>
          <w:i/>
          <w:iCs/>
          <w:color w:val="000000"/>
          <w:sz w:val="24"/>
          <w:szCs w:val="24"/>
        </w:rPr>
        <w:t>2.1.1. Требования к перечню и объему работ</w:t>
      </w:r>
    </w:p>
    <w:p>
      <w:pPr>
        <w:pStyle w:val="Normal"/>
        <w:ind w:hanging="0" w:left="454"/>
        <w:rPr>
          <w:b/>
          <w:bCs/>
          <w:i/>
          <w:i/>
          <w:iCs/>
          <w:color w:val="000000"/>
          <w:szCs w:val="24"/>
        </w:rPr>
      </w:pPr>
      <w:r>
        <w:rPr>
          <w:b/>
          <w:bCs/>
          <w:i/>
          <w:iCs/>
          <w:color w:val="000000"/>
          <w:szCs w:val="24"/>
        </w:rPr>
      </w:r>
    </w:p>
    <w:p>
      <w:pPr>
        <w:pStyle w:val="Heading4"/>
        <w:numPr>
          <w:ilvl w:val="0"/>
          <w:numId w:val="0"/>
        </w:numPr>
        <w:spacing w:before="0" w:after="0"/>
        <w:ind w:hanging="0" w:left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Таблица 2. Перечень и объем выполняемых работ</w:t>
      </w:r>
    </w:p>
    <w:tbl>
      <w:tblPr>
        <w:tblW w:w="962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8"/>
        <w:gridCol w:w="5233"/>
        <w:gridCol w:w="1688"/>
        <w:gridCol w:w="1985"/>
      </w:tblGrid>
      <w:tr>
        <w:trPr>
          <w:trHeight w:val="113" w:hRule="atLeast"/>
        </w:trPr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п/п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Наименование работ / этапа работ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Единица измерения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Количество</w:t>
            </w:r>
          </w:p>
        </w:tc>
      </w:tr>
      <w:tr>
        <w:trPr>
          <w:trHeight w:val="131" w:hRule="atLeast"/>
        </w:trPr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1</w:t>
            </w:r>
          </w:p>
        </w:tc>
        <w:tc>
          <w:tcPr>
            <w:tcW w:w="5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2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3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4</w:t>
            </w:r>
          </w:p>
        </w:tc>
      </w:tr>
      <w:tr>
        <w:trPr/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1.</w:t>
            </w:r>
          </w:p>
        </w:tc>
        <w:tc>
          <w:tcPr>
            <w:tcW w:w="5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Этап 1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</w:tr>
      <w:tr>
        <w:trPr/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1.1</w:t>
            </w:r>
          </w:p>
        </w:tc>
        <w:tc>
          <w:tcPr>
            <w:tcW w:w="5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Предпроектное обследование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</w:tr>
      <w:tr>
        <w:trPr/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1.1.1</w:t>
            </w:r>
          </w:p>
        </w:tc>
        <w:tc>
          <w:tcPr>
            <w:tcW w:w="5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color w:val="000000"/>
                <w:szCs w:val="24"/>
                <w:lang w:eastAsia="ru-RU"/>
              </w:rPr>
              <w:t xml:space="preserve">Сбор исходных данных. Изучение Подрядчиком переданной Заказчиком имеющейся в наличии технической документации (не противоречащей п.1.7 настоящих ТТ) на </w:t>
            </w:r>
            <w:r>
              <w:rPr>
                <w:rStyle w:val="Hyperlink"/>
                <w:rFonts w:eastAsia="Times New Roman"/>
                <w:bCs/>
                <w:iCs/>
                <w:color w:val="000000"/>
                <w:szCs w:val="24"/>
                <w:u w:val="none"/>
                <w:lang w:eastAsia="x-none"/>
              </w:rPr>
              <w:t>Объекты (таблица 1 настоящих ТТ)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Условная единица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</w:tr>
      <w:tr>
        <w:trPr/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1.1.2</w:t>
            </w:r>
          </w:p>
        </w:tc>
        <w:tc>
          <w:tcPr>
            <w:tcW w:w="5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eastAsia="ru-RU"/>
              </w:rPr>
              <w:t>Подготовка Подрядчиком и согласование с Заказчиком Задания на выполнение работ по проведению предпроектного обследования Объектов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Условная единица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</w:tr>
      <w:tr>
        <w:trPr/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1.1.3</w:t>
            </w:r>
          </w:p>
        </w:tc>
        <w:tc>
          <w:tcPr>
            <w:tcW w:w="5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</w:rPr>
            </w:pPr>
            <w:r>
              <w:rPr>
                <w:color w:val="000000"/>
                <w:szCs w:val="24"/>
              </w:rPr>
              <w:t xml:space="preserve">Определение состава устанавливаемых конструкций, </w:t>
            </w:r>
            <w:r>
              <w:rPr>
                <w:color w:val="000000"/>
                <w:lang w:eastAsia="ru-RU"/>
              </w:rPr>
              <w:t>определение мест размещения конструкций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Условная единица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</w:t>
            </w:r>
          </w:p>
        </w:tc>
      </w:tr>
      <w:tr>
        <w:trPr/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1.1.4</w:t>
            </w:r>
          </w:p>
        </w:tc>
        <w:tc>
          <w:tcPr>
            <w:tcW w:w="5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eastAsia="ru-RU"/>
              </w:rPr>
              <w:t>Подготовка отчета о проведенном предпроектном обследовании Объектов и согласование его с Заказчиком</w:t>
            </w:r>
          </w:p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Экземпляр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</w:t>
            </w:r>
          </w:p>
        </w:tc>
      </w:tr>
      <w:tr>
        <w:trPr/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2.</w:t>
            </w:r>
          </w:p>
        </w:tc>
        <w:tc>
          <w:tcPr>
            <w:tcW w:w="5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Этап 2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</w:tr>
      <w:tr>
        <w:trPr/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2.1</w:t>
            </w:r>
          </w:p>
        </w:tc>
        <w:tc>
          <w:tcPr>
            <w:tcW w:w="5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  <w:lang w:eastAsia="ru-RU"/>
              </w:rPr>
              <w:t>Разработка рабочей документации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</w:tr>
      <w:tr>
        <w:trPr/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2.1.1</w:t>
            </w:r>
          </w:p>
        </w:tc>
        <w:tc>
          <w:tcPr>
            <w:tcW w:w="5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eastAsia="ru-RU"/>
              </w:rPr>
              <w:t>Разработка рабочей документации на текущий ремонт затворов ремонтных №1-12 нижнего бьефа Бурейской ГЭС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Экземпляр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</w:t>
            </w:r>
          </w:p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</w:tr>
      <w:tr>
        <w:trPr/>
        <w:tc>
          <w:tcPr>
            <w:tcW w:w="7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2.1.2</w:t>
            </w:r>
          </w:p>
        </w:tc>
        <w:tc>
          <w:tcPr>
            <w:tcW w:w="5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eastAsia="ru-RU"/>
              </w:rPr>
              <w:t>Согласование разработанной рабочей и сметной  документации с Заказчиком</w:t>
            </w:r>
          </w:p>
        </w:tc>
        <w:tc>
          <w:tcPr>
            <w:tcW w:w="1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Условная единица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widowControl w:val="false"/>
              <w:numPr>
                <w:ilvl w:val="0"/>
                <w:numId w:val="0"/>
              </w:numPr>
              <w:ind w:hanging="0" w:left="0"/>
              <w:jc w:val="center"/>
              <w:rPr>
                <w:bCs w:val="false"/>
                <w:color w:val="000000"/>
              </w:rPr>
            </w:pPr>
            <w:r>
              <w:rPr>
                <w:bCs w:val="false"/>
                <w:color w:val="000000"/>
              </w:rPr>
              <w:t>1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i/>
                <w:i/>
                <w:iCs/>
                <w:color w:val="000000"/>
                <w:szCs w:val="24"/>
                <w:shd w:fill="FFFF99" w:val="clear"/>
              </w:rPr>
            </w:pPr>
            <w:r>
              <w:rPr>
                <w:i/>
                <w:iCs/>
                <w:color w:val="000000"/>
                <w:szCs w:val="24"/>
                <w:shd w:fill="FFFF99" w:val="clear"/>
              </w:rPr>
            </w:r>
          </w:p>
        </w:tc>
      </w:tr>
    </w:tbl>
    <w:p>
      <w:pPr>
        <w:pStyle w:val="Heading3"/>
        <w:numPr>
          <w:ilvl w:val="0"/>
          <w:numId w:val="0"/>
        </w:numPr>
        <w:spacing w:before="0" w:after="0"/>
        <w:ind w:hanging="0" w:left="567"/>
        <w:rPr>
          <w:rFonts w:ascii="Times New Roman" w:hAnsi="Times New Roman"/>
          <w:i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i/>
          <w:iCs/>
          <w:color w:val="000000"/>
          <w:sz w:val="24"/>
          <w:szCs w:val="24"/>
        </w:rPr>
      </w:r>
    </w:p>
    <w:p>
      <w:pPr>
        <w:pStyle w:val="Normal"/>
        <w:ind w:hanging="0" w:left="567"/>
        <w:rPr>
          <w:i/>
          <w:i/>
          <w:iCs/>
          <w:color w:val="000000"/>
          <w:szCs w:val="24"/>
        </w:rPr>
      </w:pPr>
      <w:r>
        <w:rPr>
          <w:i/>
          <w:iCs/>
          <w:color w:val="000000"/>
          <w:szCs w:val="24"/>
        </w:rPr>
      </w:r>
    </w:p>
    <w:p>
      <w:pPr>
        <w:pStyle w:val="Heading3"/>
        <w:numPr>
          <w:ilvl w:val="2"/>
          <w:numId w:val="1"/>
        </w:numPr>
        <w:spacing w:before="0" w:after="0"/>
        <w:rPr>
          <w:rFonts w:ascii="Times New Roman" w:hAnsi="Times New Roman"/>
          <w:color w:val="000000"/>
          <w:sz w:val="24"/>
          <w:szCs w:val="24"/>
        </w:rPr>
      </w:pPr>
      <w:bookmarkStart w:id="54" w:name="__RefHeading___Toc54643706"/>
      <w:bookmarkEnd w:id="54"/>
      <w:r>
        <w:rPr>
          <w:rFonts w:ascii="Times New Roman" w:hAnsi="Times New Roman"/>
          <w:i/>
          <w:iCs/>
          <w:color w:val="000000"/>
          <w:sz w:val="24"/>
          <w:szCs w:val="24"/>
        </w:rPr>
        <w:t>2.1.2. Требования к срокам выполнения работ</w:t>
      </w:r>
    </w:p>
    <w:p>
      <w:pPr>
        <w:pStyle w:val="Normal"/>
        <w:rPr>
          <w:i/>
          <w:i/>
          <w:iCs/>
          <w:color w:val="000000"/>
          <w:szCs w:val="24"/>
        </w:rPr>
      </w:pPr>
      <w:r>
        <w:rPr>
          <w:i/>
          <w:iCs/>
          <w:color w:val="000000"/>
          <w:szCs w:val="24"/>
        </w:rPr>
      </w:r>
    </w:p>
    <w:p>
      <w:pPr>
        <w:pStyle w:val="Heading1"/>
        <w:numPr>
          <w:ilvl w:val="0"/>
          <w:numId w:val="0"/>
        </w:numPr>
        <w:ind w:hanging="0" w:left="0"/>
        <w:rPr>
          <w:color w:val="000000"/>
        </w:rPr>
      </w:pPr>
      <w:bookmarkStart w:id="55" w:name="__RefHeading___Toc54643707"/>
      <w:bookmarkEnd w:id="55"/>
      <w:r>
        <w:rPr>
          <w:b/>
          <w:color w:val="000000"/>
        </w:rPr>
        <w:t xml:space="preserve">Таблица 3. </w:t>
      </w:r>
      <w:bookmarkStart w:id="56" w:name="_Hlk50465284"/>
      <w:r>
        <w:rPr>
          <w:b/>
          <w:color w:val="000000"/>
        </w:rPr>
        <w:t xml:space="preserve">Требования к срокам </w:t>
      </w:r>
      <w:bookmarkEnd w:id="56"/>
      <w:r>
        <w:rPr>
          <w:b/>
          <w:color w:val="000000"/>
        </w:rPr>
        <w:t>выполнения работ</w:t>
      </w:r>
    </w:p>
    <w:tbl>
      <w:tblPr>
        <w:tblW w:w="9600" w:type="dxa"/>
        <w:jc w:val="left"/>
        <w:tblInd w:w="13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9"/>
        <w:gridCol w:w="3805"/>
        <w:gridCol w:w="2930"/>
        <w:gridCol w:w="2275"/>
      </w:tblGrid>
      <w:tr>
        <w:trPr>
          <w:trHeight w:val="450" w:hRule="atLeast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Cs w:val="24"/>
              </w:rPr>
              <w:t>п/п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Наименование работ / этапа работ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Требования к началу срока выполнения работ / этапа работ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>
        <w:trPr>
          <w:trHeight w:val="106" w:hRule="atLeast"/>
        </w:trPr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1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3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4</w:t>
            </w:r>
          </w:p>
        </w:tc>
      </w:tr>
      <w:tr>
        <w:trPr/>
        <w:tc>
          <w:tcPr>
            <w:tcW w:w="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ind w:hanging="0" w:left="-57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Cs w:val="24"/>
              </w:rPr>
              <w:t>Общий срок выполнения работ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День, следующий за днем подписания договора</w:t>
            </w:r>
          </w:p>
        </w:tc>
        <w:tc>
          <w:tcPr>
            <w:tcW w:w="2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Не позднее 15.02.2027 г.</w:t>
            </w:r>
          </w:p>
        </w:tc>
      </w:tr>
      <w:tr>
        <w:trPr/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ind w:hanging="0" w:left="-57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Cs w:val="24"/>
              </w:rPr>
              <w:t>Поэтапно: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</w:tr>
      <w:tr>
        <w:trPr/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2.1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/>
                <w:szCs w:val="24"/>
              </w:rPr>
            </w:pPr>
            <w:r>
              <w:rPr>
                <w:i/>
                <w:iCs/>
                <w:color w:val="000000"/>
                <w:szCs w:val="24"/>
              </w:rPr>
              <w:t>Этап 1 - Предпроектное обследование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День, следующий за днем подписания договора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</w:rPr>
              <w:t>В течении 3 месяцев с даты подписания договора</w:t>
            </w:r>
          </w:p>
        </w:tc>
      </w:tr>
      <w:tr>
        <w:trPr>
          <w:trHeight w:val="176" w:hRule="atLeast"/>
        </w:trPr>
        <w:tc>
          <w:tcPr>
            <w:tcW w:w="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uppressAutoHyphens w:val="true"/>
              <w:ind w:hanging="0" w:left="-57"/>
              <w:jc w:val="center"/>
              <w:rPr>
                <w:color w:val="000000"/>
              </w:rPr>
            </w:pPr>
            <w:r>
              <w:rPr>
                <w:color w:val="000000"/>
              </w:rPr>
              <w:t>2.2</w:t>
            </w:r>
          </w:p>
        </w:tc>
        <w:tc>
          <w:tcPr>
            <w:tcW w:w="3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/>
                <w:i/>
                <w:iCs/>
                <w:color w:val="000000"/>
                <w:szCs w:val="24"/>
              </w:rPr>
            </w:pPr>
            <w:r>
              <w:rPr>
                <w:i/>
                <w:iCs/>
                <w:color w:val="000000"/>
                <w:szCs w:val="24"/>
              </w:rPr>
              <w:t>Этап 2 - Разработка и согласование рабочей документации</w:t>
            </w:r>
          </w:p>
        </w:tc>
        <w:tc>
          <w:tcPr>
            <w:tcW w:w="2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4"/>
              <w:widowControl w:val="false"/>
              <w:numPr>
                <w:ilvl w:val="0"/>
                <w:numId w:val="0"/>
              </w:numPr>
              <w:spacing w:before="120" w:after="60"/>
              <w:ind w:hanging="0" w:left="0"/>
              <w:rPr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С даты окончания этапа 1</w:t>
            </w:r>
          </w:p>
        </w:tc>
        <w:tc>
          <w:tcPr>
            <w:tcW w:w="2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Не позднее 15.02.2027 г.</w:t>
            </w:r>
          </w:p>
        </w:tc>
      </w:tr>
    </w:tbl>
    <w:p>
      <w:pPr>
        <w:sectPr>
          <w:footerReference w:type="default" r:id="rId5"/>
          <w:footerReference w:type="first" r:id="rId6"/>
          <w:type w:val="nextPage"/>
          <w:pgSz w:w="11906" w:h="16838"/>
          <w:pgMar w:left="1675" w:right="593" w:gutter="0" w:header="0" w:top="1135" w:footer="709" w:bottom="993"/>
          <w:pgNumType w:fmt="decimal"/>
          <w:formProt w:val="false"/>
          <w:textDirection w:val="lrTb"/>
          <w:docGrid w:type="default" w:linePitch="326" w:charSpace="0"/>
        </w:sectPr>
        <w:pStyle w:val="Normal"/>
        <w:rPr>
          <w:color w:val="000000"/>
          <w:szCs w:val="24"/>
        </w:rPr>
      </w:pPr>
      <w:r>
        <w:rPr>
          <w:color w:val="000000"/>
          <w:szCs w:val="24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>
      <w:pPr>
        <w:pStyle w:val="Normal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2.2. </w:t>
      </w:r>
      <w:bookmarkStart w:id="57" w:name="__RefHeading___Toc54643709"/>
      <w:r>
        <w:rPr>
          <w:b/>
          <w:bCs/>
          <w:color w:val="000000"/>
          <w:szCs w:val="24"/>
        </w:rPr>
        <w:t>Требования к качеству выполнения работ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  <w:i/>
          <w:i/>
          <w:iCs/>
          <w:color w:val="000000"/>
          <w:szCs w:val="24"/>
        </w:rPr>
      </w:pPr>
      <w:r>
        <w:rPr>
          <w:b/>
          <w:bCs/>
          <w:i/>
          <w:iCs/>
          <w:color w:val="000000"/>
          <w:szCs w:val="24"/>
        </w:rPr>
        <w:t>Наименование работ / этапа работ таблицы 2: Этап 1 (позиции 1.1.1-1.1.4) — Предпроектное обследование Объектов</w:t>
      </w:r>
    </w:p>
    <w:p>
      <w:pPr>
        <w:pStyle w:val="Normal"/>
        <w:ind w:firstLine="5216"/>
        <w:rPr>
          <w:color w:val="000000"/>
          <w:szCs w:val="24"/>
        </w:rPr>
      </w:pPr>
      <w:r>
        <w:rPr>
          <w:b/>
          <w:bCs/>
          <w:i/>
          <w:iCs/>
          <w:color w:val="000000"/>
          <w:szCs w:val="24"/>
        </w:rPr>
        <w:t>Этап 2 (позиции 2.1.1-2.1.2) — Разработка рабочей документации</w:t>
      </w:r>
    </w:p>
    <w:p>
      <w:pPr>
        <w:pStyle w:val="Normal"/>
        <w:rPr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Таблица 4. Требования к качеству </w:t>
      </w:r>
      <w:bookmarkEnd w:id="57"/>
      <w:r>
        <w:rPr>
          <w:b/>
          <w:bCs/>
          <w:color w:val="000000"/>
          <w:szCs w:val="24"/>
        </w:rPr>
        <w:t xml:space="preserve">выполнения работ </w:t>
      </w:r>
    </w:p>
    <w:p>
      <w:pPr>
        <w:pStyle w:val="Normal"/>
        <w:rPr>
          <w:color w:val="000000"/>
          <w:szCs w:val="24"/>
          <w:lang w:eastAsia="ru-RU"/>
        </w:rPr>
      </w:pPr>
      <w:r>
        <w:rPr>
          <w:color w:val="000000"/>
          <w:szCs w:val="24"/>
          <w:lang w:eastAsia="ru-RU"/>
        </w:rPr>
      </w:r>
    </w:p>
    <w:tbl>
      <w:tblPr>
        <w:tblW w:w="15151" w:type="dxa"/>
        <w:jc w:val="left"/>
        <w:tblInd w:w="10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39"/>
        <w:gridCol w:w="2192"/>
        <w:gridCol w:w="5579"/>
        <w:gridCol w:w="2236"/>
        <w:gridCol w:w="2250"/>
        <w:gridCol w:w="2054"/>
      </w:tblGrid>
      <w:tr>
        <w:trPr/>
        <w:tc>
          <w:tcPr>
            <w:tcW w:w="83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Cs w:val="24"/>
              </w:rPr>
              <w:t>п/п</w:t>
            </w:r>
          </w:p>
        </w:tc>
        <w:tc>
          <w:tcPr>
            <w:tcW w:w="219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Cs w:val="24"/>
              </w:rPr>
              <w:t>Наименование параметра</w:t>
            </w:r>
          </w:p>
        </w:tc>
        <w:tc>
          <w:tcPr>
            <w:tcW w:w="55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Cs w:val="24"/>
              </w:rPr>
              <w:t>Требование Заказчика</w:t>
            </w:r>
          </w:p>
        </w:tc>
        <w:tc>
          <w:tcPr>
            <w:tcW w:w="44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Cs w:val="24"/>
              </w:rPr>
              <w:t>Способ подтверждения участником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Cs w:val="24"/>
              </w:rPr>
              <w:t>соответствия требованиям</w:t>
            </w:r>
          </w:p>
        </w:tc>
        <w:tc>
          <w:tcPr>
            <w:tcW w:w="20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39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</w:r>
          </w:p>
        </w:tc>
        <w:tc>
          <w:tcPr>
            <w:tcW w:w="2192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</w:r>
          </w:p>
        </w:tc>
        <w:tc>
          <w:tcPr>
            <w:tcW w:w="5579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</w:r>
          </w:p>
        </w:tc>
        <w:tc>
          <w:tcPr>
            <w:tcW w:w="2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54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</w:r>
          </w:p>
        </w:tc>
      </w:tr>
      <w:tr>
        <w:trPr/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1</w:t>
            </w:r>
          </w:p>
        </w:tc>
        <w:tc>
          <w:tcPr>
            <w:tcW w:w="21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2</w:t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3</w:t>
            </w:r>
          </w:p>
        </w:tc>
        <w:tc>
          <w:tcPr>
            <w:tcW w:w="22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4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5</w:t>
            </w:r>
          </w:p>
        </w:tc>
        <w:tc>
          <w:tcPr>
            <w:tcW w:w="20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6</w:t>
            </w:r>
          </w:p>
        </w:tc>
      </w:tr>
      <w:tr>
        <w:trPr/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1.</w:t>
            </w:r>
          </w:p>
        </w:tc>
        <w:tc>
          <w:tcPr>
            <w:tcW w:w="7771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Требования к выполнению работ</w:t>
            </w:r>
          </w:p>
        </w:tc>
        <w:tc>
          <w:tcPr>
            <w:tcW w:w="2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  <w:tc>
          <w:tcPr>
            <w:tcW w:w="20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</w:tr>
      <w:tr>
        <w:trPr/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b/>
                <w:bCs/>
                <w:i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1.1.</w:t>
            </w:r>
          </w:p>
        </w:tc>
        <w:tc>
          <w:tcPr>
            <w:tcW w:w="7771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/>
                <w:i/>
                <w:iCs/>
                <w:color w:val="000000"/>
                <w:szCs w:val="24"/>
              </w:rPr>
            </w:pPr>
            <w:r>
              <w:rPr>
                <w:b/>
                <w:i/>
                <w:iCs/>
                <w:color w:val="000000"/>
                <w:szCs w:val="24"/>
              </w:rPr>
              <w:t>Общие требования к выполнению работ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Вся документация разрабатывается в соответствии с национальными, отраслевыми и корпоративными (ПАО «РусГидро») нормативно-техническими документами.</w:t>
            </w:r>
          </w:p>
        </w:tc>
        <w:tc>
          <w:tcPr>
            <w:tcW w:w="2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Cs w:val="24"/>
              </w:rPr>
              <w:t>Согласие с требованием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</w:r>
          </w:p>
        </w:tc>
        <w:tc>
          <w:tcPr>
            <w:tcW w:w="20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spacing w:before="60" w:after="60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</w:r>
          </w:p>
        </w:tc>
      </w:tr>
      <w:tr>
        <w:trPr>
          <w:trHeight w:val="4810" w:hRule="atLeast"/>
        </w:trPr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pacing w:before="60" w:after="60"/>
              <w:ind w:hanging="1199" w:left="1224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192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/>
                <w:i/>
                <w:iCs/>
                <w:color w:val="000000"/>
                <w:szCs w:val="24"/>
              </w:rPr>
            </w:pPr>
            <w:r>
              <w:rPr>
                <w:i/>
                <w:iCs/>
                <w:color w:val="000000"/>
                <w:szCs w:val="24"/>
              </w:rPr>
              <w:t>Соблюдение при выполнении работ по РД норм и правил НТД</w:t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При выполнении работ необходимо руководствоваться следующими национальными, отраслевыми и корпоративными НТД: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  <w:szCs w:val="24"/>
              </w:rPr>
              <w:t>1. ГОСТ 2.102-2013 «Единая система конструкторской документации. Виды и комплектность конструкторских документов»;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color w:val="000000"/>
                <w:szCs w:val="24"/>
              </w:rPr>
              <w:t xml:space="preserve">2. </w:t>
            </w:r>
            <w:r>
              <w:rPr>
                <w:szCs w:val="24"/>
              </w:rPr>
              <w:t>ГОСТ Р 21.101-2020 «Система проектной документации для строительства (СПДС). Основные требования к проектной и рабочей документации»;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szCs w:val="24"/>
              </w:rPr>
              <w:t xml:space="preserve">3. </w:t>
            </w:r>
            <w:r>
              <w:rPr/>
              <w:t>ГОСТ 2.701-2008 «Единая система конструкторской документации. Схемы. Виды и типы. Общие требования к выполнению»;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szCs w:val="24"/>
              </w:rPr>
              <w:t>4. СТО РусГидро  01.01.78-2012  «Гидроэлектростанции. Нормы технологического проектирования»;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szCs w:val="24"/>
              </w:rPr>
              <w:t>5. СТО РусГидро 05.02.126-2020 «Правила организации безопасного обслуживания гидротехнических сооружений, гидросилового и гидромеханического оборудования гидроэлектростанций»;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szCs w:val="24"/>
              </w:rPr>
              <w:t>6. СТО РусГидро 01.02.115-2019 «Приёмка и ввод в эксплуатацию. Правила приёмки и ввода в эксплуатацию полностью законченных строительством объектов и отдельных этапов строительства» с изменениями, утв. Приказом ПАО «РусГидро» от 05.02.2019 № 81;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7. ГОСТ Р ИСО 14122-4-2009. Национальный стандарт РФ. «Безопасность машин. Средства доступа к машинам стационарные»;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8. Постановление Правительства РФ от 16.02.2008 № 87 «О составе разделов проектной документаций и требованиях к их содержанию»;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9. Межгосударственный стандарт ГОСТ Р 21.101-2026 «Система проектной документации для строительства. Основные требования к проектной и рабочей документации»;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10. Федеральный закон от 10.01.2002 № 7-ФЗ «Об охране окружающей среды» (действующая редакция);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11. Федеральный закон от 21.12.1994 № 69-ФЗ «О пожарной безопасности»;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12. Федеральный закон от 21.07.1997 № 116-ФЗ «О промышленной безопасности опасных производственных объектов»;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13. Федеральный закон от 22.07.2008 № 123-ФЗ «Технический регламент о требованиях пожарной безопасности»;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14. Приказ Министерства труда и социальной защиты Российской Федерации от 16.11.2020 № 782н «Об утверждении Правил по охране труда при работе на высоте»;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15. Приказ Министерства энергетики Российской Федерации от 08.07.2002 № 204 «Об утверждении глав Правил устройства электроустановок»;</w:t>
            </w:r>
          </w:p>
          <w:p>
            <w:pPr>
              <w:pStyle w:val="Normal"/>
              <w:widowControl w:val="false"/>
              <w:jc w:val="both"/>
              <w:rPr>
                <w:szCs w:val="24"/>
              </w:rPr>
            </w:pPr>
            <w:r>
              <w:rPr>
                <w:szCs w:val="24"/>
              </w:rPr>
              <w:t>16. Правила противопожарного режима в РФ (утв. Постановлением Правительства РФ от 16.09.2020 №1479);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17. Правила технической эксплуатации электрических станций и сетей, утвержденные приказом Минэнерго Российской Федерации от 04.10. 2022 № 1070;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18. СНиП 12-03-2001 «Безопасность труда в строительстве Часть 1. Общие требования»;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19. СНиП 12-04-2002 «Безопасность труда в строительстве Часть 2. Строительное производство».</w:t>
            </w:r>
          </w:p>
        </w:tc>
        <w:tc>
          <w:tcPr>
            <w:tcW w:w="223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Cs w:val="24"/>
              </w:rPr>
              <w:t>Согласие с требованием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outlineLvl w:val="2"/>
              <w:rPr>
                <w:rFonts w:ascii="Calibri" w:hAnsi="Calibri" w:eastAsia="Calibri"/>
                <w:color w:val="000000"/>
                <w:sz w:val="24"/>
                <w:szCs w:val="24"/>
              </w:rPr>
            </w:pPr>
            <w:r>
              <w:rPr>
                <w:rFonts w:eastAsia="Calibri" w:ascii="Calibri" w:hAnsi="Calibri"/>
                <w:color w:val="000000"/>
                <w:sz w:val="24"/>
                <w:szCs w:val="24"/>
              </w:rPr>
            </w:r>
          </w:p>
        </w:tc>
        <w:tc>
          <w:tcPr>
            <w:tcW w:w="20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</w:tr>
      <w:tr>
        <w:trPr/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b/>
                <w:bCs/>
                <w:i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1.2.</w:t>
            </w:r>
          </w:p>
        </w:tc>
        <w:tc>
          <w:tcPr>
            <w:tcW w:w="7771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bCs/>
                <w:i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szCs w:val="24"/>
              </w:rPr>
              <w:t>Требования к организации работ</w:t>
            </w:r>
          </w:p>
        </w:tc>
        <w:tc>
          <w:tcPr>
            <w:tcW w:w="2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  <w:tc>
          <w:tcPr>
            <w:tcW w:w="20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</w:tr>
      <w:tr>
        <w:trPr/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57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1.2.1.</w:t>
            </w:r>
          </w:p>
        </w:tc>
        <w:tc>
          <w:tcPr>
            <w:tcW w:w="2192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rPr>
                <w:i/>
                <w:i/>
                <w:iCs/>
                <w:color w:val="000000"/>
                <w:szCs w:val="24"/>
              </w:rPr>
            </w:pPr>
            <w:r>
              <w:rPr>
                <w:i/>
                <w:iCs/>
                <w:color w:val="000000"/>
                <w:szCs w:val="24"/>
              </w:rPr>
              <w:t>Организационно -технические мероприятия по допуску персонала Подрядчика</w:t>
            </w:r>
          </w:p>
        </w:tc>
        <w:tc>
          <w:tcPr>
            <w:tcW w:w="5579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ListParagraph"/>
              <w:widowControl w:val="false"/>
              <w:tabs>
                <w:tab w:val="clear" w:pos="709"/>
                <w:tab w:val="left" w:pos="426" w:leader="none"/>
              </w:tabs>
              <w:spacing w:before="0" w:after="0"/>
              <w:ind w:hanging="0" w:left="57" w:right="57"/>
              <w:contextualSpacing w:val="false"/>
              <w:jc w:val="both"/>
              <w:rPr/>
            </w:pPr>
            <w:r>
              <w:rPr/>
              <w:t xml:space="preserve">В соответствии с Регламентом процесса «Допуск персонала подрядных организаций на объекты ПАО «РусГидро» (утв. приказом ПАО «РусГидро» от 28.04.2023 № 300)» с обязательным оформлением необходимых распоряжений и нарядов-допусков </w:t>
            </w:r>
          </w:p>
        </w:tc>
        <w:tc>
          <w:tcPr>
            <w:tcW w:w="223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Cs w:val="24"/>
              </w:rPr>
              <w:t>Согласие с требованием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outlineLvl w:val="2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</w:r>
          </w:p>
        </w:tc>
        <w:tc>
          <w:tcPr>
            <w:tcW w:w="20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</w:r>
          </w:p>
        </w:tc>
      </w:tr>
      <w:tr>
        <w:trPr/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pacing w:before="60" w:after="6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7771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b/>
                <w:bCs/>
                <w:color w:val="000000"/>
                <w:szCs w:val="24"/>
              </w:rPr>
              <w:t>Требования к результатам работ</w:t>
            </w:r>
          </w:p>
        </w:tc>
        <w:tc>
          <w:tcPr>
            <w:tcW w:w="2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  <w:tc>
          <w:tcPr>
            <w:tcW w:w="20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</w:tr>
      <w:tr>
        <w:trPr/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b/>
                <w:bCs/>
                <w:i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2.1.</w:t>
            </w:r>
          </w:p>
        </w:tc>
        <w:tc>
          <w:tcPr>
            <w:tcW w:w="7771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i/>
                <w:color w:val="000000"/>
                <w:szCs w:val="24"/>
              </w:rPr>
              <w:t>Требования к проведению предпроектного обследования</w:t>
            </w:r>
          </w:p>
        </w:tc>
        <w:tc>
          <w:tcPr>
            <w:tcW w:w="2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  <w:tc>
          <w:tcPr>
            <w:tcW w:w="20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</w:tr>
      <w:tr>
        <w:trPr/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8"/>
              </w:numPr>
              <w:spacing w:before="60" w:after="60"/>
              <w:ind w:hanging="1199" w:left="1224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777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both"/>
              <w:rPr/>
            </w:pPr>
            <w:r>
              <w:rPr>
                <w:color w:val="000000"/>
                <w:szCs w:val="24"/>
              </w:rPr>
              <w:t xml:space="preserve">При предпроектном обследовании Объектов на основании полученных от Заказчика сборочных чертежей, в том числе на существующее оборудование комплекса антикоррозийной защиты Затворов, </w:t>
            </w:r>
            <w:r>
              <w:rPr>
                <w:iCs/>
                <w:color w:val="000000"/>
                <w:szCs w:val="24"/>
              </w:rPr>
              <w:t>разрабатываются возможные технические решения</w:t>
            </w:r>
            <w:r>
              <w:rPr>
                <w:color w:val="000000"/>
                <w:szCs w:val="24"/>
              </w:rPr>
              <w:t>.</w:t>
            </w:r>
          </w:p>
          <w:p>
            <w:pPr>
              <w:pStyle w:val="22"/>
              <w:widowControl w:val="false"/>
              <w:shd w:val="clear" w:color="auto" w:fill="auto"/>
              <w:spacing w:lineRule="auto" w:line="240" w:before="0" w:after="0"/>
              <w:ind w:hanging="0" w:right="2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Предпроектное обследование должно включать:</w:t>
            </w:r>
          </w:p>
          <w:p>
            <w:pPr>
              <w:pStyle w:val="22"/>
              <w:widowControl w:val="false"/>
              <w:numPr>
                <w:ilvl w:val="0"/>
                <w:numId w:val="7"/>
              </w:numPr>
              <w:shd w:val="clear" w:color="auto" w:fill="auto"/>
              <w:tabs>
                <w:tab w:val="clear" w:pos="709"/>
                <w:tab w:val="left" w:pos="256" w:leader="none"/>
              </w:tabs>
              <w:spacing w:lineRule="auto" w:line="240" w:before="0" w:after="0"/>
              <w:ind w:hanging="170" w:left="283" w:right="113"/>
              <w:jc w:val="both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>сбор исходных данных, необходимых и достаточных для разработки рабочей документации;</w:t>
            </w:r>
          </w:p>
          <w:p>
            <w:pPr>
              <w:pStyle w:val="22"/>
              <w:widowControl w:val="false"/>
              <w:numPr>
                <w:ilvl w:val="0"/>
                <w:numId w:val="7"/>
              </w:numPr>
              <w:shd w:val="clear" w:color="auto" w:fill="auto"/>
              <w:tabs>
                <w:tab w:val="clear" w:pos="709"/>
                <w:tab w:val="left" w:pos="256" w:leader="none"/>
              </w:tabs>
              <w:spacing w:lineRule="auto" w:line="240" w:before="0" w:after="0"/>
              <w:ind w:hanging="170" w:left="283" w:right="113"/>
              <w:jc w:val="both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изучение переданной Заказчиком технической документации;</w:t>
            </w:r>
          </w:p>
          <w:p>
            <w:pPr>
              <w:pStyle w:val="22"/>
              <w:widowControl w:val="false"/>
              <w:numPr>
                <w:ilvl w:val="0"/>
                <w:numId w:val="7"/>
              </w:numPr>
              <w:shd w:val="clear" w:color="auto" w:fill="auto"/>
              <w:tabs>
                <w:tab w:val="clear" w:pos="709"/>
                <w:tab w:val="left" w:pos="256" w:leader="none"/>
              </w:tabs>
              <w:spacing w:lineRule="auto" w:line="240" w:before="0" w:after="0"/>
              <w:ind w:hanging="170" w:left="283"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определение состава устанавливаемых конструкций;</w:t>
            </w:r>
          </w:p>
          <w:p>
            <w:pPr>
              <w:pStyle w:val="22"/>
              <w:widowControl w:val="false"/>
              <w:numPr>
                <w:ilvl w:val="0"/>
                <w:numId w:val="7"/>
              </w:numPr>
              <w:shd w:val="clear" w:color="auto" w:fill="auto"/>
              <w:tabs>
                <w:tab w:val="clear" w:pos="709"/>
                <w:tab w:val="left" w:pos="256" w:leader="none"/>
              </w:tabs>
              <w:spacing w:lineRule="auto" w:line="240" w:before="0" w:after="0"/>
              <w:ind w:hanging="170" w:left="283"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определение мест размещения конструкций;</w:t>
            </w:r>
          </w:p>
          <w:p>
            <w:pPr>
              <w:pStyle w:val="22"/>
              <w:widowControl w:val="false"/>
              <w:numPr>
                <w:ilvl w:val="0"/>
                <w:numId w:val="7"/>
              </w:numPr>
              <w:shd w:val="clear" w:color="auto" w:fill="auto"/>
              <w:tabs>
                <w:tab w:val="clear" w:pos="709"/>
                <w:tab w:val="left" w:pos="256" w:leader="none"/>
              </w:tabs>
              <w:spacing w:lineRule="auto" w:line="240" w:before="0" w:after="0"/>
              <w:ind w:hanging="170" w:left="283"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разработка и согласование с заказчиком </w:t>
            </w:r>
            <w:r>
              <w:rPr>
                <w:bCs/>
                <w:color w:val="000000"/>
                <w:sz w:val="24"/>
                <w:szCs w:val="24"/>
              </w:rPr>
              <w:t>отчета</w:t>
            </w:r>
            <w:bookmarkStart w:id="58" w:name="_GoBack"/>
            <w:bookmarkEnd w:id="58"/>
            <w:r>
              <w:rPr>
                <w:color w:val="000000"/>
                <w:sz w:val="24"/>
                <w:szCs w:val="24"/>
              </w:rPr>
              <w:t>, содержащего в том числе:</w:t>
            </w:r>
          </w:p>
          <w:p>
            <w:pPr>
              <w:pStyle w:val="22"/>
              <w:widowControl w:val="false"/>
              <w:shd w:val="clear" w:color="auto" w:fill="auto"/>
              <w:tabs>
                <w:tab w:val="clear" w:pos="709"/>
                <w:tab w:val="left" w:pos="256" w:leader="none"/>
              </w:tabs>
              <w:spacing w:lineRule="auto" w:line="240" w:before="0" w:after="0"/>
              <w:ind w:hanging="0" w:left="283"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общую информацию об объекте;</w:t>
            </w:r>
          </w:p>
          <w:p>
            <w:pPr>
              <w:pStyle w:val="22"/>
              <w:widowControl w:val="false"/>
              <w:shd w:val="clear" w:color="auto" w:fill="auto"/>
              <w:tabs>
                <w:tab w:val="clear" w:pos="709"/>
                <w:tab w:val="left" w:pos="256" w:leader="none"/>
              </w:tabs>
              <w:spacing w:lineRule="auto" w:line="240" w:before="0" w:after="0"/>
              <w:ind w:hanging="0" w:left="283"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информацию о составе и состоянии объекта;</w:t>
            </w:r>
          </w:p>
          <w:p>
            <w:pPr>
              <w:pStyle w:val="22"/>
              <w:widowControl w:val="false"/>
              <w:shd w:val="clear" w:color="auto" w:fill="auto"/>
              <w:tabs>
                <w:tab w:val="clear" w:pos="709"/>
                <w:tab w:val="left" w:pos="256" w:leader="none"/>
              </w:tabs>
              <w:spacing w:lineRule="auto" w:line="240" w:before="0" w:after="0"/>
              <w:ind w:hanging="0" w:left="283"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данные об эксплуатации конструкции;</w:t>
            </w:r>
          </w:p>
          <w:p>
            <w:pPr>
              <w:pStyle w:val="22"/>
              <w:widowControl w:val="false"/>
              <w:shd w:val="clear" w:color="auto" w:fill="auto"/>
              <w:tabs>
                <w:tab w:val="clear" w:pos="709"/>
                <w:tab w:val="left" w:pos="256" w:leader="none"/>
              </w:tabs>
              <w:spacing w:lineRule="auto" w:line="240" w:before="0" w:after="0"/>
              <w:ind w:hanging="0" w:left="283" w:right="1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выводы по текущему состоянию оборудования;</w:t>
            </w:r>
          </w:p>
          <w:p>
            <w:pPr>
              <w:pStyle w:val="22"/>
              <w:widowControl w:val="false"/>
              <w:shd w:val="clear" w:color="auto" w:fill="auto"/>
              <w:tabs>
                <w:tab w:val="clear" w:pos="709"/>
                <w:tab w:val="left" w:pos="256" w:leader="none"/>
              </w:tabs>
              <w:spacing w:lineRule="auto" w:line="240" w:before="0" w:after="0"/>
              <w:ind w:hanging="0" w:left="283" w:right="113"/>
              <w:jc w:val="both"/>
              <w:rPr/>
            </w:pPr>
            <w:r>
              <w:rPr>
                <w:color w:val="000000"/>
                <w:sz w:val="24"/>
                <w:szCs w:val="24"/>
              </w:rPr>
              <w:t xml:space="preserve">- вариантную проработку технических решений, с выбором наиболее оптимального варианта и с обязательным его </w:t>
            </w:r>
            <w:r>
              <w:rPr>
                <w:rStyle w:val="Hyperlink"/>
                <w:bCs/>
                <w:iCs/>
                <w:color w:val="000000"/>
                <w:spacing w:val="0"/>
                <w:sz w:val="24"/>
                <w:szCs w:val="24"/>
                <w:u w:val="none"/>
              </w:rPr>
              <w:t>согласованием с Заказчиком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Состав разделов может быть уточнен или дополнен по согласованию с Заказчиком.</w:t>
            </w:r>
          </w:p>
        </w:tc>
        <w:tc>
          <w:tcPr>
            <w:tcW w:w="223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Cs w:val="24"/>
              </w:rPr>
              <w:t>Согласие с требованием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outlineLvl w:val="2"/>
              <w:rPr>
                <w:color w:val="000000"/>
              </w:rPr>
            </w:pPr>
            <w:r>
              <w:rPr/>
            </w:r>
          </w:p>
        </w:tc>
        <w:tc>
          <w:tcPr>
            <w:tcW w:w="20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</w:tr>
      <w:tr>
        <w:trPr>
          <w:trHeight w:val="131" w:hRule="atLeast"/>
        </w:trPr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57" w:right="113"/>
              <w:contextualSpacing/>
              <w:jc w:val="center"/>
              <w:rPr>
                <w:b/>
                <w:bCs/>
                <w:i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2.2.</w:t>
            </w:r>
          </w:p>
        </w:tc>
        <w:tc>
          <w:tcPr>
            <w:tcW w:w="777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i/>
                <w:i/>
                <w:iCs/>
                <w:color w:val="000000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Cs w:val="24"/>
              </w:rPr>
              <w:t>Требования к разработке рабочей документации</w:t>
            </w:r>
          </w:p>
        </w:tc>
        <w:tc>
          <w:tcPr>
            <w:tcW w:w="223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  <w:tc>
          <w:tcPr>
            <w:tcW w:w="20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</w:tr>
      <w:tr>
        <w:trPr/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57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2.2.1.</w:t>
            </w:r>
          </w:p>
        </w:tc>
        <w:tc>
          <w:tcPr>
            <w:tcW w:w="777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rStyle w:val="Hyperlink"/>
                <w:rFonts w:eastAsia="Times New Roman"/>
                <w:bCs/>
                <w:iCs/>
                <w:color w:val="000000"/>
                <w:szCs w:val="24"/>
                <w:u w:val="none"/>
                <w:lang w:eastAsia="ru-RU"/>
              </w:rPr>
              <w:t xml:space="preserve">Рабочая документация должна содержать конструктивные и технические решения, с учетом результатов вариантной проработки полученных при предпроектном обследовании, по технологическому оснащению процесса размещения и надежной фиксации с использованием специальной монтажной оснастки (конструкций, приспособлений) Объектов </w:t>
            </w:r>
            <w:r>
              <w:rPr>
                <w:rStyle w:val="Hyperlink"/>
                <w:rFonts w:eastAsia="Times New Roman"/>
                <w:bCs/>
                <w:iCs/>
                <w:color w:val="000000"/>
                <w:szCs w:val="24"/>
                <w:u w:val="none"/>
                <w:lang w:eastAsia="x-none"/>
              </w:rPr>
              <w:t xml:space="preserve">(таблица 1 настоящих ТТ) </w:t>
            </w:r>
            <w:r>
              <w:rPr>
                <w:rStyle w:val="Hyperlink"/>
                <w:rFonts w:eastAsia="Times New Roman"/>
                <w:bCs/>
                <w:iCs/>
                <w:color w:val="000000"/>
                <w:szCs w:val="24"/>
                <w:u w:val="none"/>
                <w:lang w:eastAsia="ru-RU"/>
              </w:rPr>
              <w:t>над их пазами или на раздельном устое (водораздельной стенке).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iCs/>
                <w:color w:val="000000"/>
                <w:szCs w:val="24"/>
              </w:rPr>
              <w:t xml:space="preserve">Объем и состав разрабатываемой рабочей документации должен </w:t>
            </w:r>
            <w:r>
              <w:rPr>
                <w:rFonts w:eastAsia="Times New Roman"/>
                <w:iCs/>
                <w:color w:val="000000"/>
                <w:szCs w:val="24"/>
                <w:lang w:eastAsia="ru-RU"/>
              </w:rPr>
              <w:t>включать следующие основные разделы, включая разделы конструкторской документации</w:t>
            </w:r>
            <w:r>
              <w:rPr>
                <w:rFonts w:eastAsia="Times New Roman"/>
                <w:color w:val="000000"/>
                <w:szCs w:val="24"/>
                <w:lang w:eastAsia="ru-RU"/>
              </w:rPr>
              <w:t>: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- пояснительная записка с расчетами конструктивных, технологических решений;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- общие данные по рабочим чертежам;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- чертеж общего вида;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- сборочный чертеж;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- деталировочные чертежи на сборочные единицы;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- спецификация оборудования, изделий и материалов;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- ведомости объемов работ;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- объем строительно-монтажных работ;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- сметная документация.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rFonts w:eastAsia="Times New Roman"/>
                <w:color w:val="000000"/>
                <w:szCs w:val="24"/>
                <w:lang w:eastAsia="ru-RU"/>
              </w:rPr>
              <w:t>- эксплуатационные документы (руководство по эксплуатации, паспорт или формуляр, инструкция по монтажу, программа и методика испытаний.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eastAsia="ru-RU"/>
              </w:rPr>
              <w:t>Состав разделов может быть уточнен или дополнен по согласованию с Заказчиком.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rFonts w:eastAsia="Times New Roman"/>
                <w:iCs/>
                <w:color w:val="000000"/>
                <w:szCs w:val="24"/>
                <w:lang w:eastAsia="ru-RU"/>
              </w:rPr>
              <w:t xml:space="preserve">Материалы рабочей документации должны быть согласованы с Заказчиком, в части технических решений. </w:t>
            </w:r>
            <w:r>
              <w:rPr>
                <w:iCs/>
                <w:color w:val="000000"/>
                <w:szCs w:val="24"/>
              </w:rPr>
              <w:t>По всем разделам выполнить необходимые рабочие чертежи, предоставить полный пакет документов, достаточный для закупки материалов и оборудования, выполнения строительно-монтажных работ.</w:t>
            </w:r>
          </w:p>
        </w:tc>
        <w:tc>
          <w:tcPr>
            <w:tcW w:w="223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Cs w:val="24"/>
              </w:rPr>
              <w:t>Согласие с требованием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20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rPr>
                <w:b/>
                <w:color w:val="000000"/>
              </w:rPr>
            </w:pPr>
            <w:r>
              <w:rPr>
                <w:b/>
                <w:color w:val="000000"/>
              </w:rPr>
            </w:r>
          </w:p>
        </w:tc>
      </w:tr>
      <w:tr>
        <w:trPr/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b/>
                <w:bCs/>
                <w:i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2.3.</w:t>
            </w:r>
          </w:p>
        </w:tc>
        <w:tc>
          <w:tcPr>
            <w:tcW w:w="7771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b/>
                <w:bCs/>
                <w:i/>
                <w:color w:val="000000"/>
                <w:szCs w:val="24"/>
              </w:rPr>
              <w:t>Требования к содержанию сметной документации</w:t>
            </w:r>
          </w:p>
        </w:tc>
        <w:tc>
          <w:tcPr>
            <w:tcW w:w="2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  <w:tc>
          <w:tcPr>
            <w:tcW w:w="20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</w:tr>
      <w:tr>
        <w:trPr/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2.3.1.</w:t>
            </w:r>
          </w:p>
        </w:tc>
        <w:tc>
          <w:tcPr>
            <w:tcW w:w="777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iCs/>
                <w:color w:val="000000"/>
                <w:szCs w:val="24"/>
              </w:rPr>
              <w:t>Сметная документация разрабатывается в следующем составе: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iCs/>
                <w:color w:val="000000"/>
                <w:szCs w:val="24"/>
              </w:rPr>
              <w:t xml:space="preserve">• </w:t>
            </w:r>
            <w:r>
              <w:rPr>
                <w:iCs/>
                <w:color w:val="000000"/>
                <w:szCs w:val="24"/>
              </w:rPr>
              <w:t>стоимость поставки материалов;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iCs/>
                <w:color w:val="000000"/>
                <w:szCs w:val="24"/>
              </w:rPr>
              <w:t xml:space="preserve">• </w:t>
            </w:r>
            <w:r>
              <w:rPr>
                <w:iCs/>
                <w:color w:val="000000"/>
                <w:szCs w:val="24"/>
              </w:rPr>
              <w:t>стоимость монтажных / демонтажных работ.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iCs/>
                <w:color w:val="000000"/>
                <w:szCs w:val="24"/>
              </w:rPr>
              <w:t>Сметная документация должна быть выполнена в виде отдельного текстового документа в строгом соответствии с требованиями к оформлению и составлению сметной документации на выполнение работ. Предоставлена в формате ПК «Гранд-смета», «Ехсеl».</w:t>
            </w:r>
          </w:p>
        </w:tc>
        <w:tc>
          <w:tcPr>
            <w:tcW w:w="2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Cs w:val="24"/>
              </w:rPr>
              <w:t>Согласие с требованием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</w:r>
          </w:p>
        </w:tc>
        <w:tc>
          <w:tcPr>
            <w:tcW w:w="20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</w:r>
          </w:p>
        </w:tc>
      </w:tr>
      <w:tr>
        <w:trPr/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117"/>
              <w:contextualSpacing/>
              <w:jc w:val="center"/>
              <w:rPr>
                <w:b/>
                <w:bCs/>
                <w:i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2.4.</w:t>
            </w:r>
          </w:p>
        </w:tc>
        <w:tc>
          <w:tcPr>
            <w:tcW w:w="7771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i/>
                <w:i/>
                <w:iCs/>
                <w:color w:val="000000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Cs w:val="24"/>
              </w:rPr>
              <w:t>Требования к оформлению и предоставлению документации</w:t>
            </w:r>
          </w:p>
        </w:tc>
        <w:tc>
          <w:tcPr>
            <w:tcW w:w="2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  <w:tc>
          <w:tcPr>
            <w:tcW w:w="20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</w:tr>
      <w:tr>
        <w:trPr/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2.4.1.</w:t>
            </w:r>
          </w:p>
        </w:tc>
        <w:tc>
          <w:tcPr>
            <w:tcW w:w="777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Документация предоставляется Заказчику в 3-х экземплярах с подписями на бумажном носителе, в 1 экземпляре с подписями на электронном носителе в сканированном виде (файлы PDF).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 xml:space="preserve">Чертежи, таблицы, и иные документы, выполненные в специализированных продуктах, передаются в формате файлов соответствующих программ (DWG, CDW и т.п.) с обязательным приложением используемых шрифтов, форм и других файлов, необходимых для работы с передаваемой в электронном виде документацией. При этом предпочтительным форматом чертежей является формат </w:t>
            </w:r>
            <w:r>
              <w:rPr>
                <w:color w:val="000000"/>
                <w:szCs w:val="24"/>
                <w:lang w:val="en-US"/>
              </w:rPr>
              <w:t>nanoCAD</w:t>
            </w:r>
            <w:r>
              <w:rPr>
                <w:color w:val="000000"/>
                <w:szCs w:val="24"/>
              </w:rPr>
              <w:t xml:space="preserve"> (*.DWG и т.п.), предоставление в других форматах возможно только по предварительному согласованию с Заказчиком.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Вся документация, также обязательно передается Заказчику в файлах редактируемых форматов: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 текстовая документация в формате (.</w:t>
            </w:r>
            <w:r>
              <w:rPr>
                <w:color w:val="000000"/>
                <w:szCs w:val="24"/>
                <w:lang w:val="en-US"/>
              </w:rPr>
              <w:t>odt</w:t>
            </w:r>
            <w:r>
              <w:rPr>
                <w:color w:val="000000"/>
                <w:szCs w:val="24"/>
              </w:rPr>
              <w:t>);</w:t>
            </w:r>
          </w:p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 табличная документация в формате (.ods).</w:t>
            </w:r>
          </w:p>
        </w:tc>
        <w:tc>
          <w:tcPr>
            <w:tcW w:w="223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Cs w:val="24"/>
              </w:rPr>
              <w:t>Согласие с требованием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outlineLvl w:val="2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</w:r>
          </w:p>
        </w:tc>
        <w:tc>
          <w:tcPr>
            <w:tcW w:w="20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outlineLvl w:val="2"/>
              <w:rPr>
                <w:rFonts w:ascii="Calibri" w:hAnsi="Calibri" w:eastAsia="Calibri"/>
                <w:color w:val="000000"/>
              </w:rPr>
            </w:pPr>
            <w:r>
              <w:rPr>
                <w:rFonts w:eastAsia="Calibri" w:ascii="Calibri" w:hAnsi="Calibri"/>
                <w:color w:val="000000"/>
              </w:rPr>
            </w:r>
          </w:p>
        </w:tc>
      </w:tr>
      <w:tr>
        <w:trPr/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-57"/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2.4.2.</w:t>
            </w:r>
          </w:p>
        </w:tc>
        <w:tc>
          <w:tcPr>
            <w:tcW w:w="777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Работы принимаются Заказчиком на основании акта сдачи-приемки выполненных работ, в соответствии с таблицей № 2 настоящих ТТ.</w:t>
            </w:r>
          </w:p>
        </w:tc>
        <w:tc>
          <w:tcPr>
            <w:tcW w:w="223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Cs w:val="24"/>
              </w:rPr>
              <w:t>Согласие с требованием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outlineLvl w:val="2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</w:r>
          </w:p>
        </w:tc>
        <w:tc>
          <w:tcPr>
            <w:tcW w:w="20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outlineLvl w:val="2"/>
              <w:rPr>
                <w:rFonts w:ascii="Calibri" w:hAnsi="Calibri" w:eastAsia="Calibri"/>
                <w:color w:val="000000"/>
              </w:rPr>
            </w:pPr>
            <w:r>
              <w:rPr>
                <w:rFonts w:eastAsia="Calibri" w:ascii="Calibri" w:hAnsi="Calibri"/>
                <w:color w:val="000000"/>
              </w:rPr>
            </w:r>
          </w:p>
        </w:tc>
      </w:tr>
      <w:tr>
        <w:trPr/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hanging="0" w:left="0" w:right="57"/>
              <w:contextualSpacing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3.</w:t>
            </w:r>
          </w:p>
        </w:tc>
        <w:tc>
          <w:tcPr>
            <w:tcW w:w="7771" w:type="dxa"/>
            <w:gridSpan w:val="2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color w:val="000000"/>
                <w:szCs w:val="24"/>
              </w:rPr>
            </w:pPr>
            <w:r>
              <w:rPr>
                <w:b/>
                <w:color w:val="000000"/>
                <w:szCs w:val="24"/>
              </w:rPr>
              <w:t>Требования к Подрядчику и его обязательствам, влияющим на исполнение договора</w:t>
            </w:r>
          </w:p>
        </w:tc>
        <w:tc>
          <w:tcPr>
            <w:tcW w:w="223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  <w:tc>
          <w:tcPr>
            <w:tcW w:w="20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60" w:after="60"/>
              <w:jc w:val="center"/>
              <w:rPr>
                <w:color w:val="000000"/>
              </w:rPr>
            </w:pPr>
            <w:r>
              <w:rPr>
                <w:b/>
                <w:color w:val="000000"/>
                <w:szCs w:val="24"/>
              </w:rPr>
              <w:t>-//-</w:t>
            </w:r>
          </w:p>
        </w:tc>
      </w:tr>
      <w:tr>
        <w:trPr/>
        <w:tc>
          <w:tcPr>
            <w:tcW w:w="8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ind w:hanging="144" w:left="25"/>
              <w:jc w:val="center"/>
              <w:rPr>
                <w:b/>
                <w:bCs/>
                <w:i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lang w:val="en-US"/>
              </w:rPr>
              <w:t>3.</w:t>
            </w:r>
            <w:r>
              <w:rPr>
                <w:b/>
                <w:bCs/>
                <w:i/>
                <w:iCs/>
                <w:color w:val="000000"/>
                <w:lang w:val="en-US"/>
              </w:rPr>
              <w:t>1</w:t>
            </w:r>
            <w:r>
              <w:rPr>
                <w:b/>
                <w:bCs/>
                <w:i/>
                <w:iCs/>
                <w:color w:val="000000"/>
                <w:lang w:val="en-US"/>
              </w:rPr>
              <w:t>.</w:t>
            </w:r>
          </w:p>
        </w:tc>
        <w:tc>
          <w:tcPr>
            <w:tcW w:w="7771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</w:rPr>
            </w:pPr>
            <w:r>
              <w:rPr>
                <w:color w:val="000000"/>
                <w:szCs w:val="24"/>
              </w:rPr>
              <w:t>Для безусловного выполнения договорных обязательств согласно настоящих ТТ Подрядчик должен обеспечить:</w:t>
            </w:r>
          </w:p>
          <w:p>
            <w:pPr>
              <w:pStyle w:val="Normal"/>
              <w:widowControl w:val="false"/>
              <w:jc w:val="both"/>
              <w:textAlignment w:val="top"/>
              <w:rPr/>
            </w:pPr>
            <w:r>
              <w:rPr>
                <w:color w:val="000000"/>
                <w:szCs w:val="24"/>
              </w:rPr>
              <w:t xml:space="preserve">- оформление и согласование с Заказчиком отчёта по предпроектным работам с </w:t>
            </w:r>
            <w:r>
              <w:rPr>
                <w:rStyle w:val="Hyperlink"/>
                <w:rFonts w:eastAsia="Times New Roman"/>
                <w:bCs/>
                <w:iCs/>
                <w:color w:val="000000"/>
                <w:szCs w:val="24"/>
                <w:u w:val="none"/>
                <w:lang w:eastAsia="ru-RU"/>
              </w:rPr>
              <w:t>вариантной проработкой технических решений и с выбором наиболее оптимального (согласованного с Заказчиком)</w:t>
            </w:r>
            <w:r>
              <w:rPr>
                <w:color w:val="000000"/>
                <w:szCs w:val="24"/>
              </w:rPr>
              <w:t>;</w:t>
            </w:r>
          </w:p>
          <w:p>
            <w:pPr>
              <w:pStyle w:val="Normal"/>
              <w:widowControl w:val="false"/>
              <w:jc w:val="both"/>
              <w:textAlignment w:val="top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 разработку рабочей документации (текстовая, графическая часть, спецификации оборудования, изделий и материалов, сметная документация и т.д.);</w:t>
            </w:r>
          </w:p>
          <w:p>
            <w:pPr>
              <w:pStyle w:val="Normal"/>
              <w:widowControl w:val="false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 доработку рабочей документации по замечаниям Заказчика (при необходимости).</w:t>
            </w:r>
          </w:p>
        </w:tc>
        <w:tc>
          <w:tcPr>
            <w:tcW w:w="2236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color w:val="000000"/>
              </w:rPr>
            </w:pPr>
            <w:r>
              <w:rPr>
                <w:color w:val="000000"/>
                <w:szCs w:val="24"/>
              </w:rPr>
              <w:t>Согласие с требованием</w:t>
            </w:r>
          </w:p>
        </w:tc>
        <w:tc>
          <w:tcPr>
            <w:tcW w:w="2250" w:type="dxa"/>
            <w:tcBorders>
              <w:left w:val="single" w:sz="2" w:space="0" w:color="000000"/>
              <w:bottom w:val="single" w:sz="2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spacing w:before="40" w:after="6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</w:tc>
        <w:tc>
          <w:tcPr>
            <w:tcW w:w="205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27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outlineLvl w:val="2"/>
              <w:rPr>
                <w:rFonts w:ascii="Calibri" w:hAnsi="Calibri" w:eastAsia="Calibri"/>
                <w:b/>
                <w:bCs/>
                <w:color w:val="000000"/>
              </w:rPr>
            </w:pPr>
            <w:r>
              <w:rPr>
                <w:rFonts w:eastAsia="Calibri" w:ascii="Calibri" w:hAnsi="Calibri"/>
                <w:b/>
                <w:bCs/>
                <w:color w:val="000000"/>
              </w:rPr>
            </w:r>
          </w:p>
        </w:tc>
      </w:tr>
    </w:tbl>
    <w:p>
      <w:pPr>
        <w:sectPr>
          <w:footerReference w:type="default" r:id="rId7"/>
          <w:footerReference w:type="first" r:id="rId8"/>
          <w:type w:val="nextPage"/>
          <w:pgSz w:orient="landscape" w:w="16838" w:h="11906"/>
          <w:pgMar w:left="992" w:right="1134" w:gutter="0" w:header="0" w:top="1673" w:footer="709" w:bottom="766"/>
          <w:pgNumType w:fmt="decimal"/>
          <w:formProt w:val="false"/>
          <w:textDirection w:val="lrTb"/>
          <w:docGrid w:type="default" w:linePitch="326" w:charSpace="0"/>
        </w:sectPr>
      </w:pPr>
    </w:p>
    <w:p>
      <w:pPr>
        <w:pStyle w:val="Heading1"/>
        <w:keepLines/>
        <w:numPr>
          <w:ilvl w:val="0"/>
          <w:numId w:val="1"/>
        </w:numPr>
        <w:jc w:val="center"/>
        <w:rPr>
          <w:b/>
          <w:iCs/>
          <w:sz w:val="28"/>
          <w:szCs w:val="28"/>
        </w:rPr>
      </w:pPr>
      <w:r>
        <w:rPr>
          <w:rFonts w:eastAsia="Times New Roman"/>
          <w:szCs w:val="24"/>
          <w:lang w:eastAsia="ru-RU"/>
        </w:rPr>
      </w:r>
    </w:p>
    <w:p>
      <w:pPr>
        <w:pStyle w:val="Normal"/>
        <w:rPr>
          <w:color w:val="000000"/>
          <w:szCs w:val="24"/>
        </w:rPr>
      </w:pPr>
      <w:r>
        <w:rPr>
          <w:color w:val="000000"/>
          <w:szCs w:val="24"/>
        </w:rPr>
      </w:r>
    </w:p>
    <w:sectPr>
      <w:footerReference w:type="default" r:id="rId9"/>
      <w:footerReference w:type="first" r:id="rId10"/>
      <w:type w:val="nextPage"/>
      <w:pgSz w:w="11906" w:h="16838"/>
      <w:pgMar w:left="1673" w:right="595" w:gutter="0" w:header="0" w:top="1134" w:footer="709" w:bottom="992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roman"/>
    <w:pitch w:val="variable"/>
  </w:font>
  <w:font w:name="Sylfaen">
    <w:charset w:val="01"/>
    <w:family w:val="roman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Verdana">
    <w:charset w:val="01"/>
    <w:family w:val="roman"/>
    <w:pitch w:val="variable"/>
  </w:font>
  <w:font w:name="Arial Unicode MS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13</w:t>
    </w:r>
    <w:r>
      <w:rPr/>
      <w:fldChar w:fldCharType="end"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54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27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36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5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894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43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52" w:hanging="1800"/>
      </w:pPr>
      <w:rPr/>
    </w:lvl>
  </w:abstractNum>
  <w:abstractNum w:abstractNumId="3"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/>
    </w:lvl>
    <w:lvl w:ilvl="1">
      <w:start w:val="1"/>
      <w:numFmt w:val="decimal"/>
      <w:lvlText w:val="%1.%2."/>
      <w:lvlJc w:val="left"/>
      <w:pPr>
        <w:tabs>
          <w:tab w:val="num" w:pos="1844"/>
        </w:tabs>
        <w:ind w:left="1844" w:hanging="567"/>
      </w:pPr>
      <w:rPr>
        <w:u w:val="none"/>
      </w:rPr>
    </w:lvl>
    <w:lvl w:ilvl="2">
      <w:start w:val="1"/>
      <w:numFmt w:val="decimal"/>
      <w:lvlText w:val="%1.%2.%3."/>
      <w:lvlJc w:val="left"/>
      <w:pPr>
        <w:tabs>
          <w:tab w:val="num" w:pos="993"/>
        </w:tabs>
        <w:ind w:left="993" w:hanging="851"/>
      </w:pPr>
      <w:rPr>
        <w:dstrike w:val="false"/>
        <w:strike w:val="false"/>
      </w:rPr>
    </w:lvl>
    <w:lvl w:ilvl="3">
      <w:start w:val="1"/>
      <w:numFmt w:val="decimal"/>
      <w:lvlText w:val="%1.%2.%3.%4."/>
      <w:lvlJc w:val="left"/>
      <w:pPr>
        <w:tabs>
          <w:tab w:val="num" w:pos="1277"/>
        </w:tabs>
        <w:ind w:left="1277" w:hanging="567"/>
      </w:pPr>
      <w:rPr/>
    </w:lvl>
    <w:lvl w:ilvl="4">
      <w:start w:val="1"/>
      <w:numFmt w:val="lowerLetter"/>
      <w:lvlText w:val="%5)"/>
      <w:lvlJc w:val="left"/>
      <w:pPr>
        <w:tabs>
          <w:tab w:val="num" w:pos="1718"/>
        </w:tabs>
        <w:ind w:left="1718" w:hanging="1008"/>
      </w:pPr>
      <w:rPr/>
    </w:lvl>
    <w:lvl w:ilvl="5">
      <w:start w:val="1"/>
      <w:numFmt w:val="decimal"/>
      <w:lvlText w:val="%1.%2.%3.%4.%5.%6.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.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024"/>
        </w:tabs>
        <w:ind w:left="3024" w:hanging="1584"/>
      </w:pPr>
      <w:rPr/>
    </w:lvl>
  </w:abstractNum>
  <w:abstractNum w:abstractNumId="4">
    <w:lvl w:ilvl="0">
      <w:start w:val="1"/>
      <w:numFmt w:val="bullet"/>
      <w:lvlText w:val="→"/>
      <w:lvlJc w:val="left"/>
      <w:pPr>
        <w:tabs>
          <w:tab w:val="num" w:pos="880"/>
        </w:tabs>
        <w:ind w:left="880" w:hanging="340"/>
      </w:pPr>
      <w:rPr>
        <w:rFonts w:ascii="Times New Roman" w:hAnsi="Times New Roman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57"/>
        </w:tabs>
        <w:ind w:left="757" w:hanging="39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117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9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61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3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5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7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9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21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39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pPr>
      <w:numPr>
        <w:ilvl w:val="0"/>
        <w:numId w:val="1"/>
      </w:numPr>
      <w:outlineLvl w:val="0"/>
    </w:pPr>
    <w:rPr>
      <w:rFonts w:eastAsia="Times New Roman"/>
      <w:bCs/>
      <w:szCs w:val="24"/>
      <w:lang w:eastAsia="ru-RU"/>
    </w:rPr>
  </w:style>
  <w:style w:type="paragraph" w:styleId="Heading2">
    <w:name w:val="Heading 2"/>
    <w:basedOn w:val="Normal"/>
    <w:next w:val="Normal"/>
    <w:link w:val="2"/>
    <w:qFormat/>
    <w:pPr>
      <w:numPr>
        <w:ilvl w:val="1"/>
        <w:numId w:val="1"/>
      </w:numPr>
      <w:jc w:val="both"/>
      <w:outlineLvl w:val="1"/>
    </w:pPr>
    <w:rPr>
      <w:rFonts w:eastAsia="Times New Roman"/>
      <w:szCs w:val="24"/>
      <w:lang w:eastAsia="ru-RU"/>
    </w:rPr>
  </w:style>
  <w:style w:type="paragraph" w:styleId="Heading3">
    <w:name w:val="Heading 3"/>
    <w:basedOn w:val="Normal"/>
    <w:next w:val="Normal"/>
    <w:link w:val="31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eastAsia="Times New Roman" w:cs="Arial"/>
      <w:b/>
      <w:bCs/>
      <w:sz w:val="26"/>
      <w:szCs w:val="26"/>
      <w:lang w:eastAsia="ru-RU"/>
    </w:rPr>
  </w:style>
  <w:style w:type="paragraph" w:styleId="Heading4">
    <w:name w:val="Heading 4"/>
    <w:basedOn w:val="Normal"/>
    <w:next w:val="Normal"/>
    <w:link w:val="4"/>
    <w:qFormat/>
    <w:pPr>
      <w:keepNext w:val="true"/>
      <w:numPr>
        <w:ilvl w:val="3"/>
        <w:numId w:val="1"/>
      </w:numPr>
      <w:spacing w:before="240" w:after="60"/>
      <w:ind w:hanging="144" w:left="864"/>
      <w:outlineLvl w:val="3"/>
    </w:pPr>
    <w:rPr>
      <w:rFonts w:eastAsia="Times New Roman"/>
      <w:b/>
      <w:bCs/>
      <w:sz w:val="28"/>
      <w:szCs w:val="28"/>
      <w:lang w:eastAsia="ru-RU"/>
    </w:rPr>
  </w:style>
  <w:style w:type="paragraph" w:styleId="Heading5">
    <w:name w:val="Heading 5"/>
    <w:basedOn w:val="Normal"/>
    <w:next w:val="Normal"/>
    <w:link w:val="5"/>
    <w:qFormat/>
    <w:pPr>
      <w:numPr>
        <w:ilvl w:val="4"/>
        <w:numId w:val="1"/>
      </w:numPr>
      <w:spacing w:before="240" w:after="60"/>
      <w:outlineLvl w:val="4"/>
    </w:pPr>
    <w:rPr>
      <w:rFonts w:ascii="Calibri" w:hAnsi="Calibri" w:eastAsia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6"/>
    <w:qFormat/>
    <w:pPr>
      <w:widowControl w:val="false"/>
      <w:numPr>
        <w:ilvl w:val="5"/>
        <w:numId w:val="1"/>
      </w:numPr>
      <w:spacing w:lineRule="atLeast" w:line="360" w:before="240" w:after="60"/>
      <w:ind w:hanging="432" w:left="1152"/>
      <w:jc w:val="both"/>
      <w:textAlignment w:val="baseline"/>
      <w:outlineLvl w:val="5"/>
    </w:pPr>
    <w:rPr>
      <w:rFonts w:eastAsia="Times New Roman"/>
      <w:i/>
      <w:sz w:val="22"/>
      <w:szCs w:val="20"/>
      <w:lang w:eastAsia="ru-RU"/>
    </w:rPr>
  </w:style>
  <w:style w:type="paragraph" w:styleId="Heading7">
    <w:name w:val="Heading 7"/>
    <w:basedOn w:val="Normal"/>
    <w:next w:val="Normal"/>
    <w:link w:val="7"/>
    <w:qFormat/>
    <w:pPr>
      <w:widowControl w:val="false"/>
      <w:numPr>
        <w:ilvl w:val="6"/>
        <w:numId w:val="1"/>
      </w:numPr>
      <w:spacing w:lineRule="atLeast" w:line="360" w:before="240" w:after="60"/>
      <w:ind w:hanging="288" w:left="1296"/>
      <w:jc w:val="both"/>
      <w:textAlignment w:val="baseline"/>
      <w:outlineLvl w:val="6"/>
    </w:pPr>
    <w:rPr>
      <w:rFonts w:ascii="Arial" w:hAnsi="Arial" w:eastAsia="Times New Roman"/>
      <w:sz w:val="20"/>
      <w:szCs w:val="20"/>
      <w:lang w:eastAsia="ru-RU"/>
    </w:rPr>
  </w:style>
  <w:style w:type="paragraph" w:styleId="Heading8">
    <w:name w:val="Heading 8"/>
    <w:basedOn w:val="Normal"/>
    <w:next w:val="Normal"/>
    <w:link w:val="8"/>
    <w:qFormat/>
    <w:pPr>
      <w:widowControl w:val="false"/>
      <w:numPr>
        <w:ilvl w:val="7"/>
        <w:numId w:val="1"/>
      </w:numPr>
      <w:spacing w:lineRule="atLeast" w:line="360" w:before="240" w:after="60"/>
      <w:ind w:hanging="432" w:left="1440"/>
      <w:jc w:val="both"/>
      <w:textAlignment w:val="baseline"/>
      <w:outlineLvl w:val="7"/>
    </w:pPr>
    <w:rPr>
      <w:rFonts w:ascii="Arial" w:hAnsi="Arial" w:eastAsia="Times New Roman"/>
      <w:i/>
      <w:sz w:val="20"/>
      <w:szCs w:val="20"/>
      <w:lang w:eastAsia="ru-RU"/>
    </w:rPr>
  </w:style>
  <w:style w:type="paragraph" w:styleId="Heading9">
    <w:name w:val="Heading 9"/>
    <w:basedOn w:val="Normal"/>
    <w:next w:val="Normal"/>
    <w:link w:val="9"/>
    <w:qFormat/>
    <w:pPr>
      <w:numPr>
        <w:ilvl w:val="8"/>
        <w:numId w:val="1"/>
      </w:numPr>
      <w:spacing w:before="240" w:after="60"/>
      <w:ind w:hanging="144" w:left="1584"/>
      <w:outlineLvl w:val="8"/>
    </w:pPr>
    <w:rPr>
      <w:rFonts w:ascii="Arial" w:hAnsi="Arial" w:eastAsia="Times New Roman" w:cs="Arial"/>
      <w:sz w:val="22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Текст выноски Знак"/>
    <w:link w:val="BalloonText"/>
    <w:qFormat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qFormat/>
    <w:rPr>
      <w:rFonts w:ascii="Times New Roman" w:hAnsi="Times New Roman" w:eastAsia="Times New Roman"/>
      <w:bCs/>
      <w:sz w:val="24"/>
      <w:szCs w:val="24"/>
    </w:rPr>
  </w:style>
  <w:style w:type="character" w:styleId="Style1" w:customStyle="1">
    <w:name w:val="Основной текст Знак"/>
    <w:link w:val="Textbody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2" w:customStyle="1">
    <w:name w:val="Основной текст с отступом Знак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3" w:customStyle="1">
    <w:name w:val="Подзаголовок Знак"/>
    <w:qFormat/>
    <w:rPr>
      <w:rFonts w:ascii="Arial" w:hAnsi="Arial" w:eastAsia="Times New Roman" w:cs="Arial"/>
      <w:sz w:val="24"/>
      <w:szCs w:val="24"/>
      <w:lang w:eastAsia="ru-RU"/>
    </w:rPr>
  </w:style>
  <w:style w:type="character" w:styleId="Style4" w:customStyle="1">
    <w:name w:val="Гипертекстовая ссылка"/>
    <w:qFormat/>
    <w:rPr>
      <w:color w:val="008000"/>
    </w:rPr>
  </w:style>
  <w:style w:type="character" w:styleId="FontStyle22" w:customStyle="1">
    <w:name w:val="Font Style22"/>
    <w:qFormat/>
    <w:rPr>
      <w:rFonts w:ascii="Times New Roman" w:hAnsi="Times New Roman" w:cs="Times New Roman"/>
      <w:sz w:val="24"/>
      <w:szCs w:val="24"/>
    </w:rPr>
  </w:style>
  <w:style w:type="character" w:styleId="11" w:customStyle="1">
    <w:name w:val="Стиль1 Знак"/>
    <w:link w:val="13"/>
    <w:qFormat/>
    <w:rPr>
      <w:rFonts w:ascii="Times New Roman" w:hAnsi="Times New Roman"/>
      <w:b/>
      <w:sz w:val="32"/>
      <w:szCs w:val="32"/>
      <w:lang w:eastAsia="en-US"/>
    </w:rPr>
  </w:style>
  <w:style w:type="character" w:styleId="3" w:customStyle="1">
    <w:name w:val="Основной текст с отступом 3 Знак"/>
    <w:link w:val="BodyTextIndent3"/>
    <w:qFormat/>
    <w:rPr>
      <w:rFonts w:ascii="Times New Roman" w:hAnsi="Times New Roman" w:eastAsia="Times New Roman"/>
      <w:sz w:val="16"/>
      <w:szCs w:val="16"/>
    </w:rPr>
  </w:style>
  <w:style w:type="character" w:styleId="Blk" w:customStyle="1">
    <w:name w:val="blk"/>
    <w:qFormat/>
    <w:rPr/>
  </w:style>
  <w:style w:type="character" w:styleId="Ep" w:customStyle="1">
    <w:name w:val="ep"/>
    <w:qFormat/>
    <w:rPr/>
  </w:style>
  <w:style w:type="character" w:styleId="Hyperlink">
    <w:name w:val="Hyperlink"/>
    <w:rPr>
      <w:color w:val="0000FF"/>
      <w:u w:val="single"/>
    </w:rPr>
  </w:style>
  <w:style w:type="character" w:styleId="Style5" w:customStyle="1">
    <w:name w:val="Текст сноски Знак"/>
    <w:qFormat/>
    <w:rPr>
      <w:rFonts w:ascii="Times New Roman" w:hAnsi="Times New Roman"/>
    </w:rPr>
  </w:style>
  <w:style w:type="character" w:styleId="Style6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7" w:customStyle="1">
    <w:name w:val="Текст примечания Знак"/>
    <w:link w:val="Annotationtext"/>
    <w:qFormat/>
    <w:rPr>
      <w:lang w:eastAsia="en-US"/>
    </w:rPr>
  </w:style>
  <w:style w:type="character" w:styleId="Style8" w:customStyle="1">
    <w:name w:val="Тема примечания Знак"/>
    <w:link w:val="Annotationsubject"/>
    <w:qFormat/>
    <w:rPr>
      <w:b/>
      <w:bCs/>
      <w:lang w:eastAsia="en-US"/>
    </w:rPr>
  </w:style>
  <w:style w:type="character" w:styleId="Style9" w:customStyle="1">
    <w:name w:val="Верхний колонтитул Знак"/>
    <w:qFormat/>
    <w:rPr>
      <w:sz w:val="22"/>
      <w:szCs w:val="22"/>
      <w:lang w:eastAsia="en-US"/>
    </w:rPr>
  </w:style>
  <w:style w:type="character" w:styleId="Style10" w:customStyle="1">
    <w:name w:val="Нижний колонтитул Знак"/>
    <w:qFormat/>
    <w:rPr>
      <w:sz w:val="22"/>
      <w:szCs w:val="22"/>
      <w:lang w:eastAsia="en-US"/>
    </w:rPr>
  </w:style>
  <w:style w:type="character" w:styleId="Style11" w:customStyle="1">
    <w:name w:val="Основной текст_"/>
    <w:link w:val="22"/>
    <w:qFormat/>
    <w:rPr>
      <w:rFonts w:ascii="Times New Roman" w:hAnsi="Times New Roman" w:eastAsia="Times New Roman"/>
      <w:spacing w:val="-10"/>
      <w:sz w:val="25"/>
      <w:szCs w:val="25"/>
      <w:shd w:fill="FFFFFF" w:val="clear"/>
    </w:rPr>
  </w:style>
  <w:style w:type="character" w:styleId="5" w:customStyle="1">
    <w:name w:val="Заголовок 5 Знак"/>
    <w:qFormat/>
    <w:rPr>
      <w:rFonts w:eastAsia="Times New Roman"/>
      <w:b/>
      <w:bCs/>
      <w:i/>
      <w:iCs/>
      <w:sz w:val="26"/>
      <w:szCs w:val="26"/>
      <w:lang w:eastAsia="en-US"/>
    </w:rPr>
  </w:style>
  <w:style w:type="character" w:styleId="31" w:customStyle="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Style12" w:customStyle="1">
    <w:name w:val="Список маркированный Знак Знак"/>
    <w:link w:val="Style25"/>
    <w:qFormat/>
    <w:rPr>
      <w:rFonts w:ascii="Sylfaen" w:hAnsi="Sylfaen" w:eastAsia="Times New Roman"/>
      <w:sz w:val="28"/>
      <w:szCs w:val="24"/>
    </w:rPr>
  </w:style>
  <w:style w:type="character" w:styleId="2" w:customStyle="1">
    <w:name w:val="Заголовок 2 Знак"/>
    <w:qFormat/>
    <w:rPr>
      <w:rFonts w:ascii="Times New Roman" w:hAnsi="Times New Roman" w:eastAsia="Times New Roman"/>
      <w:sz w:val="24"/>
      <w:szCs w:val="24"/>
    </w:rPr>
  </w:style>
  <w:style w:type="character" w:styleId="Style13" w:customStyle="1">
    <w:name w:val="Текст концевой сноски Знак"/>
    <w:qFormat/>
    <w:rPr>
      <w:lang w:eastAsia="en-US"/>
    </w:rPr>
  </w:style>
  <w:style w:type="character" w:styleId="Style14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4" w:customStyle="1">
    <w:name w:val="Заголовок 4 Знак"/>
    <w:qFormat/>
    <w:rPr>
      <w:rFonts w:ascii="Times New Roman" w:hAnsi="Times New Roman" w:eastAsia="Times New Roman"/>
      <w:b/>
      <w:bCs/>
      <w:sz w:val="28"/>
      <w:szCs w:val="28"/>
    </w:rPr>
  </w:style>
  <w:style w:type="character" w:styleId="6" w:customStyle="1">
    <w:name w:val="Заголовок 6 Знак"/>
    <w:qFormat/>
    <w:rPr>
      <w:rFonts w:ascii="Times New Roman" w:hAnsi="Times New Roman" w:eastAsia="Times New Roman"/>
      <w:i/>
      <w:sz w:val="22"/>
    </w:rPr>
  </w:style>
  <w:style w:type="character" w:styleId="7" w:customStyle="1">
    <w:name w:val="Заголовок 7 Знак"/>
    <w:qFormat/>
    <w:rPr>
      <w:rFonts w:ascii="Arial" w:hAnsi="Arial" w:eastAsia="Times New Roman"/>
    </w:rPr>
  </w:style>
  <w:style w:type="character" w:styleId="8" w:customStyle="1">
    <w:name w:val="Заголовок 8 Знак"/>
    <w:qFormat/>
    <w:rPr>
      <w:rFonts w:ascii="Arial" w:hAnsi="Arial" w:eastAsia="Times New Roman"/>
      <w:i/>
    </w:rPr>
  </w:style>
  <w:style w:type="character" w:styleId="9" w:customStyle="1">
    <w:name w:val="Заголовок 9 Знак"/>
    <w:qFormat/>
    <w:rPr>
      <w:rFonts w:ascii="Arial" w:hAnsi="Arial" w:eastAsia="Times New Roman" w:cs="Arial"/>
      <w:sz w:val="22"/>
      <w:szCs w:val="22"/>
    </w:rPr>
  </w:style>
  <w:style w:type="character" w:styleId="Style15" w:customStyle="1">
    <w:name w:val="Абзац списка Знак"/>
    <w:link w:val="ListParagraph"/>
    <w:qFormat/>
    <w:rPr>
      <w:rFonts w:ascii="Times New Roman" w:hAnsi="Times New Roman"/>
      <w:sz w:val="24"/>
      <w:szCs w:val="22"/>
      <w:lang w:eastAsia="en-US"/>
    </w:rPr>
  </w:style>
  <w:style w:type="character" w:styleId="12" w:customStyle="1">
    <w:name w:val="Основной текст1"/>
    <w:basedOn w:val="Style11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5"/>
      <w:w w:val="100"/>
      <w:sz w:val="21"/>
      <w:szCs w:val="21"/>
      <w:u w:val="none"/>
      <w:shd w:fill="FFFFFF" w:val="clear"/>
      <w:lang w:val="ru-RU"/>
    </w:rPr>
  </w:style>
  <w:style w:type="character" w:styleId="9pt" w:customStyle="1">
    <w:name w:val="Основной текст + 9 pt;Полужирный"/>
    <w:basedOn w:val="Style11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shd w:fill="FFFFFF" w:val="clear"/>
      <w:lang w:val="ru-RU"/>
    </w:rPr>
  </w:style>
  <w:style w:type="character" w:styleId="Style16" w:customStyle="1">
    <w:name w:val="комментарий"/>
    <w:qFormat/>
    <w:rPr>
      <w:b/>
      <w:i/>
      <w:shd w:fill="FFFF99" w:val="clear"/>
    </w:rPr>
  </w:style>
  <w:style w:type="character" w:styleId="Font6" w:customStyle="1">
    <w:name w:val="font6"/>
    <w:basedOn w:val="DefaultParagraphFont"/>
    <w:qFormat/>
    <w:rPr/>
  </w:style>
  <w:style w:type="character" w:styleId="Style17" w:customStyle="1">
    <w:name w:val="Ссылка указателя"/>
    <w:qFormat/>
    <w:rPr/>
  </w:style>
  <w:style w:type="character" w:styleId="WW8Num5z0" w:customStyle="1">
    <w:name w:val="WW8Num5z0"/>
    <w:qFormat/>
    <w:rPr>
      <w:rFonts w:ascii="Wingdings" w:hAnsi="Wingdings" w:cs="Wingdings"/>
    </w:rPr>
  </w:style>
  <w:style w:type="character" w:styleId="WW8Num5z1" w:customStyle="1">
    <w:name w:val="WW8Num5z1"/>
    <w:qFormat/>
    <w:rPr>
      <w:rFonts w:ascii="Courier New" w:hAnsi="Courier New" w:cs="Courier New"/>
    </w:rPr>
  </w:style>
  <w:style w:type="character" w:styleId="WW8Num5z3" w:customStyle="1">
    <w:name w:val="WW8Num5z3"/>
    <w:qFormat/>
    <w:rPr>
      <w:rFonts w:ascii="Symbol" w:hAnsi="Symbol" w:cs="Symbol"/>
    </w:rPr>
  </w:style>
  <w:style w:type="character" w:styleId="WW8Num29z0" w:customStyle="1">
    <w:name w:val="WW8Num29z0"/>
    <w:qFormat/>
    <w:rPr>
      <w:rFonts w:ascii="Times New Roman" w:hAnsi="Times New Roman" w:cs="Times New Roman"/>
    </w:rPr>
  </w:style>
  <w:style w:type="character" w:styleId="WW8Num29z1" w:customStyle="1">
    <w:name w:val="WW8Num29z1"/>
    <w:qFormat/>
    <w:rPr>
      <w:rFonts w:ascii="Times New Roman" w:hAnsi="Times New Roman" w:cs="Times New Roman"/>
      <w:sz w:val="24"/>
      <w:szCs w:val="24"/>
    </w:rPr>
  </w:style>
  <w:style w:type="character" w:styleId="WW8Num29z2" w:customStyle="1">
    <w:name w:val="WW8Num29z2"/>
    <w:qFormat/>
    <w:rPr>
      <w:rFonts w:ascii="Times New Roman" w:hAnsi="Times New Roman" w:cs="Times New Roman"/>
      <w:b w:val="false"/>
      <w:i w:val="false"/>
      <w:sz w:val="24"/>
      <w:szCs w:val="24"/>
    </w:rPr>
  </w:style>
  <w:style w:type="character" w:styleId="WW8Num29z3" w:customStyle="1">
    <w:name w:val="WW8Num29z3"/>
    <w:qFormat/>
    <w:rPr/>
  </w:style>
  <w:style w:type="character" w:styleId="Linenumber">
    <w:name w:val="line number"/>
    <w:qFormat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>
      <w:rFonts w:eastAsia="Times New Roman"/>
      <w:sz w:val="28"/>
      <w:szCs w:val="28"/>
      <w:lang w:eastAsia="ru-RU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BalloonText">
    <w:name w:val="Balloon Text"/>
    <w:basedOn w:val="Normal"/>
    <w:link w:val="Style"/>
    <w:qFormat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Style15"/>
    <w:qFormat/>
    <w:pPr>
      <w:spacing w:before="0" w:after="0"/>
      <w:ind w:hanging="0" w:left="720"/>
      <w:contextualSpacing/>
    </w:pPr>
    <w:rPr>
      <w:szCs w:val="24"/>
    </w:rPr>
  </w:style>
  <w:style w:type="paragraph" w:styleId="BodyTextIndent">
    <w:name w:val="Body Text Indent"/>
    <w:basedOn w:val="Normal"/>
    <w:link w:val="Style2"/>
    <w:pPr>
      <w:spacing w:before="0" w:after="120"/>
      <w:ind w:hanging="0" w:left="283"/>
    </w:pPr>
    <w:rPr>
      <w:rFonts w:eastAsia="Times New Roman"/>
      <w:sz w:val="28"/>
      <w:szCs w:val="28"/>
      <w:lang w:eastAsia="ru-RU"/>
    </w:rPr>
  </w:style>
  <w:style w:type="paragraph" w:styleId="21" w:customStyle="1">
    <w:name w:val="Пункт2"/>
    <w:basedOn w:val="Normal"/>
    <w:qFormat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rFonts w:eastAsia="Times New Roman"/>
      <w:b/>
      <w:sz w:val="28"/>
      <w:szCs w:val="20"/>
      <w:lang w:eastAsia="ru-RU"/>
    </w:rPr>
  </w:style>
  <w:style w:type="paragraph" w:styleId="Subtitle">
    <w:name w:val="Subtitle"/>
    <w:basedOn w:val="Normal"/>
    <w:link w:val="Style3"/>
    <w:qFormat/>
    <w:pPr>
      <w:widowControl w:val="false"/>
      <w:spacing w:before="0" w:after="60"/>
      <w:jc w:val="center"/>
      <w:outlineLvl w:val="1"/>
    </w:pPr>
    <w:rPr>
      <w:rFonts w:ascii="Arial" w:hAnsi="Arial" w:eastAsia="Times New Roman" w:cs="Arial"/>
      <w:szCs w:val="24"/>
      <w:lang w:eastAsia="ru-RU"/>
    </w:rPr>
  </w:style>
  <w:style w:type="paragraph" w:styleId="13" w:customStyle="1">
    <w:name w:val="Стиль1"/>
    <w:basedOn w:val="Normal"/>
    <w:link w:val="11"/>
    <w:qFormat/>
    <w:pPr>
      <w:numPr>
        <w:ilvl w:val="0"/>
        <w:numId w:val="2"/>
      </w:numPr>
      <w:jc w:val="both"/>
    </w:pPr>
    <w:rPr>
      <w:b/>
      <w:sz w:val="32"/>
      <w:szCs w:val="32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0" w:customStyle="1">
    <w:name w:val="Пункт Знак"/>
    <w:basedOn w:val="Normal"/>
    <w:qFormat/>
    <w:pPr>
      <w:numPr>
        <w:ilvl w:val="1"/>
        <w:numId w:val="3"/>
      </w:numPr>
      <w:tabs>
        <w:tab w:val="clear" w:pos="709"/>
        <w:tab w:val="left" w:pos="851" w:leader="none"/>
        <w:tab w:val="left" w:pos="1134" w:leader="none"/>
      </w:tabs>
      <w:spacing w:lineRule="auto" w:line="360"/>
      <w:jc w:val="both"/>
    </w:pPr>
    <w:rPr>
      <w:rFonts w:eastAsia="Times New Roman"/>
      <w:b/>
      <w:sz w:val="28"/>
      <w:szCs w:val="20"/>
      <w:lang w:eastAsia="ru-RU"/>
    </w:rPr>
  </w:style>
  <w:style w:type="paragraph" w:styleId="Style21" w:customStyle="1">
    <w:name w:val="Подпункт"/>
    <w:basedOn w:val="Style20"/>
    <w:qFormat/>
    <w:pPr>
      <w:tabs>
        <w:tab w:val="clear" w:pos="1134"/>
        <w:tab w:val="left" w:pos="851" w:leader="none"/>
      </w:tabs>
    </w:pPr>
    <w:rPr/>
  </w:style>
  <w:style w:type="paragraph" w:styleId="Style22" w:customStyle="1">
    <w:name w:val="Подподпункт"/>
    <w:basedOn w:val="Style21"/>
    <w:qFormat/>
    <w:pPr>
      <w:tabs>
        <w:tab w:val="left" w:pos="851" w:leader="none"/>
        <w:tab w:val="left" w:pos="1134" w:leader="none"/>
        <w:tab w:val="left" w:pos="1418" w:leader="none"/>
      </w:tabs>
    </w:pPr>
    <w:rPr/>
  </w:style>
  <w:style w:type="paragraph" w:styleId="Style23" w:customStyle="1">
    <w:name w:val="Подподподпункт"/>
    <w:basedOn w:val="Normal"/>
    <w:qFormat/>
    <w:pPr>
      <w:numPr>
        <w:ilvl w:val="4"/>
        <w:numId w:val="3"/>
      </w:numPr>
      <w:tabs>
        <w:tab w:val="clear" w:pos="709"/>
        <w:tab w:val="left" w:pos="1134" w:leader="none"/>
        <w:tab w:val="left" w:pos="1701" w:leader="none"/>
      </w:tabs>
      <w:spacing w:lineRule="auto" w:line="360"/>
      <w:jc w:val="both"/>
    </w:pPr>
    <w:rPr>
      <w:rFonts w:eastAsia="Times New Roman"/>
      <w:sz w:val="28"/>
      <w:szCs w:val="20"/>
      <w:lang w:eastAsia="ru-RU"/>
    </w:rPr>
  </w:style>
  <w:style w:type="paragraph" w:styleId="14" w:customStyle="1">
    <w:name w:val="Пункт1"/>
    <w:basedOn w:val="Normal"/>
    <w:qFormat/>
    <w:pPr>
      <w:numPr>
        <w:ilvl w:val="0"/>
        <w:numId w:val="3"/>
      </w:numPr>
      <w:spacing w:lineRule="auto" w:line="360" w:before="240" w:after="0"/>
      <w:jc w:val="center"/>
    </w:pPr>
    <w:rPr>
      <w:rFonts w:ascii="Arial" w:hAnsi="Arial" w:eastAsia="Times New Roman"/>
      <w:b/>
      <w:sz w:val="28"/>
      <w:szCs w:val="28"/>
      <w:lang w:eastAsia="ru-RU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BodyTextIndent3">
    <w:name w:val="Body Text Indent 3"/>
    <w:basedOn w:val="Normal"/>
    <w:link w:val="3"/>
    <w:qFormat/>
    <w:pPr>
      <w:spacing w:before="0" w:after="120"/>
      <w:ind w:hanging="0" w:left="283"/>
    </w:pPr>
    <w:rPr>
      <w:rFonts w:eastAsia="Times New Roman"/>
      <w:sz w:val="16"/>
      <w:szCs w:val="16"/>
      <w:lang w:eastAsia="ru-RU"/>
    </w:rPr>
  </w:style>
  <w:style w:type="paragraph" w:styleId="NormalWeb">
    <w:name w:val="Normal (Web)"/>
    <w:basedOn w:val="Normal"/>
    <w:qFormat/>
    <w:pPr>
      <w:spacing w:before="280" w:after="280"/>
    </w:pPr>
    <w:rPr>
      <w:rFonts w:ascii="Verdana" w:hAnsi="Verdana" w:eastAsia="Arial Unicode MS" w:cs="Arial Unicode MS"/>
      <w:sz w:val="16"/>
      <w:szCs w:val="16"/>
      <w:lang w:eastAsia="ru-RU"/>
    </w:rPr>
  </w:style>
  <w:style w:type="paragraph" w:styleId="FootnoteText">
    <w:name w:val="Footnote Text"/>
    <w:basedOn w:val="Normal"/>
    <w:link w:val="Style5"/>
    <w:pPr/>
    <w:rPr>
      <w:sz w:val="20"/>
      <w:szCs w:val="20"/>
      <w:lang w:eastAsia="ru-RU"/>
    </w:rPr>
  </w:style>
  <w:style w:type="paragraph" w:styleId="Annotationtext">
    <w:name w:val="annotation text"/>
    <w:basedOn w:val="Normal"/>
    <w:link w:val="Style7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8"/>
    <w:qFormat/>
    <w:pPr/>
    <w:rPr>
      <w:b/>
      <w:bCs/>
    </w:rPr>
  </w:style>
  <w:style w:type="paragraph" w:styleId="Style24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0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22" w:customStyle="1">
    <w:name w:val="Основной текст2"/>
    <w:basedOn w:val="Normal"/>
    <w:link w:val="Style11"/>
    <w:qFormat/>
    <w:pPr>
      <w:widowControl w:val="false"/>
      <w:shd w:val="clear" w:color="auto" w:fill="FFFFFF"/>
      <w:spacing w:lineRule="exact" w:line="259" w:before="720" w:after="0"/>
      <w:ind w:hanging="440"/>
      <w:jc w:val="center"/>
    </w:pPr>
    <w:rPr>
      <w:rFonts w:eastAsia="Times New Roman"/>
      <w:spacing w:val="-10"/>
      <w:sz w:val="25"/>
      <w:szCs w:val="25"/>
      <w:lang w:eastAsia="ru-RU"/>
    </w:rPr>
  </w:style>
  <w:style w:type="paragraph" w:styleId="Style25" w:customStyle="1">
    <w:name w:val="Список маркированный"/>
    <w:basedOn w:val="Normal"/>
    <w:next w:val="Normal"/>
    <w:link w:val="Style12"/>
    <w:autoRedefine/>
    <w:qFormat/>
    <w:pPr>
      <w:numPr>
        <w:ilvl w:val="0"/>
        <w:numId w:val="4"/>
      </w:numPr>
      <w:jc w:val="both"/>
    </w:pPr>
    <w:rPr>
      <w:rFonts w:ascii="Sylfaen" w:hAnsi="Sylfaen" w:eastAsia="Times New Roman"/>
      <w:sz w:val="28"/>
      <w:szCs w:val="24"/>
      <w:lang w:eastAsia="ru-RU"/>
    </w:rPr>
  </w:style>
  <w:style w:type="paragraph" w:styleId="Style26" w:customStyle="1">
    <w:name w:val="Маркер"/>
    <w:basedOn w:val="Normal"/>
    <w:qFormat/>
    <w:pPr>
      <w:numPr>
        <w:ilvl w:val="0"/>
        <w:numId w:val="5"/>
      </w:numPr>
      <w:shd w:val="clear" w:color="auto" w:fill="FFFFFF"/>
      <w:spacing w:before="0" w:after="60"/>
      <w:jc w:val="both"/>
    </w:pPr>
    <w:rPr>
      <w:rFonts w:ascii="Arial" w:hAnsi="Arial" w:eastAsia="Times New Roman"/>
      <w:color w:val="000000"/>
      <w:sz w:val="20"/>
      <w:lang w:eastAsia="ru-RU"/>
    </w:rPr>
  </w:style>
  <w:style w:type="paragraph" w:styleId="TOC1">
    <w:name w:val="TOC 1"/>
    <w:basedOn w:val="Normal"/>
    <w:next w:val="Normal"/>
    <w:autoRedefine/>
    <w:pPr>
      <w:tabs>
        <w:tab w:val="clear" w:pos="709"/>
        <w:tab w:val="left" w:pos="426" w:leader="none"/>
        <w:tab w:val="right" w:pos="9344" w:leader="none"/>
      </w:tabs>
      <w:spacing w:before="0" w:after="57"/>
    </w:pPr>
    <w:rPr/>
  </w:style>
  <w:style w:type="paragraph" w:styleId="TOC2">
    <w:name w:val="TOC 2"/>
    <w:basedOn w:val="Normal"/>
    <w:next w:val="Normal"/>
    <w:autoRedefine/>
    <w:pPr>
      <w:tabs>
        <w:tab w:val="left" w:pos="709" w:leader="none"/>
        <w:tab w:val="left" w:pos="880" w:leader="none"/>
        <w:tab w:val="right" w:pos="9344" w:leader="none"/>
      </w:tabs>
      <w:ind w:hanging="0" w:left="426"/>
    </w:pPr>
    <w:rPr/>
  </w:style>
  <w:style w:type="paragraph" w:styleId="S1" w:customStyle="1">
    <w:name w:val="s_1"/>
    <w:basedOn w:val="Normal"/>
    <w:qFormat/>
    <w:pPr>
      <w:spacing w:before="280" w:after="280"/>
    </w:pPr>
    <w:rPr>
      <w:rFonts w:eastAsia="Times New Roman"/>
      <w:szCs w:val="24"/>
      <w:lang w:eastAsia="ru-RU"/>
    </w:rPr>
  </w:style>
  <w:style w:type="paragraph" w:styleId="Style27" w:customStyle="1">
    <w:name w:val="Таблица"/>
    <w:basedOn w:val="Normal"/>
    <w:qFormat/>
    <w:pPr/>
    <w:rPr>
      <w:rFonts w:eastAsia="Times New Roman"/>
      <w:sz w:val="20"/>
      <w:szCs w:val="20"/>
      <w:lang w:eastAsia="ru-RU"/>
    </w:rPr>
  </w:style>
  <w:style w:type="paragraph" w:styleId="EndnoteText">
    <w:name w:val="Endnote Text"/>
    <w:basedOn w:val="Normal"/>
    <w:link w:val="Style13"/>
    <w:pPr>
      <w:spacing w:lineRule="auto" w:line="276" w:before="0" w:after="200"/>
    </w:pPr>
    <w:rPr>
      <w:rFonts w:ascii="Calibri" w:hAnsi="Calibri"/>
      <w:sz w:val="20"/>
      <w:szCs w:val="20"/>
    </w:rPr>
  </w:style>
  <w:style w:type="paragraph" w:styleId="32" w:customStyle="1">
    <w:name w:val="Основной текст3"/>
    <w:basedOn w:val="Normal"/>
    <w:qFormat/>
    <w:pPr>
      <w:widowControl w:val="false"/>
      <w:shd w:val="clear" w:color="auto" w:fill="FFFFFF"/>
      <w:spacing w:lineRule="atLeast" w:line="0"/>
    </w:pPr>
    <w:rPr>
      <w:rFonts w:eastAsia="Times New Roman"/>
      <w:color w:val="000000"/>
      <w:sz w:val="26"/>
      <w:szCs w:val="26"/>
      <w:lang w:eastAsia="ru-RU"/>
    </w:rPr>
  </w:style>
  <w:style w:type="paragraph" w:styleId="ListBullet">
    <w:name w:val="List Bullet"/>
    <w:basedOn w:val="Normal"/>
    <w:qFormat/>
    <w:pPr>
      <w:widowControl w:val="false"/>
      <w:numPr>
        <w:ilvl w:val="0"/>
        <w:numId w:val="6"/>
      </w:numPr>
      <w:spacing w:lineRule="atLeast" w:line="360"/>
      <w:jc w:val="both"/>
      <w:textAlignment w:val="baseline"/>
    </w:pPr>
    <w:rPr>
      <w:rFonts w:eastAsia="Times New Roman"/>
      <w:szCs w:val="24"/>
      <w:lang w:eastAsia="ru-RU"/>
    </w:rPr>
  </w:style>
  <w:style w:type="paragraph" w:styleId="TOC4">
    <w:name w:val="TOC 4"/>
    <w:basedOn w:val="Normal"/>
    <w:next w:val="Normal"/>
    <w:autoRedefine/>
    <w:pPr>
      <w:tabs>
        <w:tab w:val="clear" w:pos="709"/>
        <w:tab w:val="right" w:pos="9344" w:leader="none"/>
      </w:tabs>
      <w:spacing w:before="0" w:after="100"/>
    </w:pPr>
    <w:rPr/>
  </w:style>
  <w:style w:type="paragraph" w:styleId="Style28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rFonts w:eastAsia="Times New Roman"/>
      <w:sz w:val="22"/>
      <w:szCs w:val="26"/>
      <w:lang w:eastAsia="ru-RU"/>
    </w:rPr>
  </w:style>
  <w:style w:type="paragraph" w:styleId="TOC3">
    <w:name w:val="TOC 3"/>
    <w:basedOn w:val="Normal"/>
    <w:next w:val="Normal"/>
    <w:autoRedefine/>
    <w:pPr>
      <w:tabs>
        <w:tab w:val="clear" w:pos="709"/>
        <w:tab w:val="left" w:pos="1240" w:leader="none"/>
        <w:tab w:val="right" w:pos="9344" w:leader="none"/>
      </w:tabs>
      <w:spacing w:before="0" w:after="100"/>
      <w:ind w:firstLine="142" w:left="-142"/>
    </w:pPr>
    <w:rPr/>
  </w:style>
  <w:style w:type="paragraph" w:styleId="23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rFonts w:eastAsia="Times New Roman"/>
      <w:b/>
      <w:sz w:val="22"/>
      <w:lang w:eastAsia="ru-RU"/>
    </w:rPr>
  </w:style>
  <w:style w:type="paragraph" w:styleId="TOC5">
    <w:name w:val="TOC 5"/>
    <w:basedOn w:val="Indexheading"/>
    <w:pPr/>
    <w:rPr/>
  </w:style>
  <w:style w:type="paragraph" w:styleId="TOC6">
    <w:name w:val="TOC 6"/>
    <w:basedOn w:val="Indexheading"/>
    <w:pPr/>
    <w:rPr/>
  </w:style>
  <w:style w:type="paragraph" w:styleId="TOC7">
    <w:name w:val="TOC 7"/>
    <w:basedOn w:val="Indexheading"/>
    <w:pPr/>
    <w:rPr/>
  </w:style>
  <w:style w:type="paragraph" w:styleId="TOC8">
    <w:name w:val="TOC 8"/>
    <w:basedOn w:val="Indexheading"/>
    <w:pPr/>
    <w:rPr/>
  </w:style>
  <w:style w:type="paragraph" w:styleId="TOC9">
    <w:name w:val="TOC 9"/>
    <w:basedOn w:val="Indexheading"/>
    <w:pPr/>
    <w:rPr/>
  </w:style>
  <w:style w:type="paragraph" w:styleId="Style29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0" w:customStyle="1">
    <w:name w:val="Заголовок таблицы"/>
    <w:basedOn w:val="Style29"/>
    <w:qFormat/>
    <w:pPr>
      <w:jc w:val="center"/>
    </w:pPr>
    <w:rPr>
      <w:b/>
      <w:bCs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76" w:before="0" w:after="200"/>
      <w:jc w:val="left"/>
      <w:textAlignment w:val="baseline"/>
    </w:pPr>
    <w:rPr>
      <w:rFonts w:ascii="Calibri" w:hAnsi="Calibri" w:eastAsia="Calibri" w:cs="F"/>
      <w:color w:val="auto"/>
      <w:kern w:val="2"/>
      <w:sz w:val="22"/>
      <w:szCs w:val="22"/>
      <w:lang w:val="ru-RU" w:eastAsia="en-US" w:bidi="ar-SA"/>
    </w:rPr>
  </w:style>
  <w:style w:type="paragraph" w:styleId="Textbody" w:customStyle="1">
    <w:name w:val="Text body"/>
    <w:basedOn w:val="Standard"/>
    <w:link w:val="Style1"/>
    <w:qFormat/>
    <w:pPr>
      <w:spacing w:lineRule="auto" w:line="240" w:before="0" w:after="120"/>
    </w:pPr>
    <w:rPr>
      <w:rFonts w:ascii="Times New Roman" w:hAnsi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5" w:customStyle="1">
    <w:name w:val="Нет списка1"/>
    <w:qFormat/>
  </w:style>
  <w:style w:type="numbering" w:styleId="OutlineList2">
    <w:name w:val="Outline List 2"/>
    <w:qFormat/>
  </w:style>
  <w:style w:type="numbering" w:styleId="OutlineList3">
    <w:name w:val="Outline List 3"/>
    <w:qFormat/>
  </w:style>
  <w:style w:type="numbering" w:styleId="WW8Num5" w:customStyle="1">
    <w:name w:val="WW8Num5"/>
    <w:qFormat/>
  </w:style>
  <w:style w:type="numbering" w:styleId="WW8Num29" w:customStyle="1">
    <w:name w:val="WW8Num29"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Application>AlterOffice/2026.2.1.1$Linux_X86_64 LibreOffice_project/6d96de8aff889cb0e33766577a7a2a9f4fe0f9d5</Application>
  <AppVersion>15.0000</AppVersion>
  <Pages>14</Pages>
  <Words>2200</Words>
  <Characters>15037</Characters>
  <CharactersWithSpaces>18671</CharactersWithSpaces>
  <Paragraphs>343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2024-03-25T06:51:00Z</dcterms:created>
  <dc:creator>DimirovAD@burges.rushydro.ru</dc:creator>
  <dc:description/>
  <dc:language>ru-RU</dc:language>
  <cp:lastModifiedBy>lysenkoea@corp.gidroogk.com</cp:lastModifiedBy>
  <cp:lastPrinted>2026-10-05T05:45:00Z</cp:lastPrinted>
  <dcterms:modified xsi:type="dcterms:W3CDTF">2026-11-02T17:18:57Z</dcterms:modified>
  <cp:revision>319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r8>0</vt:r8>
  </property>
</Properties>
</file>