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11"/>
        <w:numPr>
          <w:ilvl w:val="0"/>
          <w:numId w:val="0"/>
        </w:numPr>
        <w:spacing w:before="120" w:after="480"/>
        <w:ind w:hanging="0" w:left="0"/>
        <w:jc w:val="center"/>
        <w:rPr>
          <w:rFonts w:ascii="Times New Roman" w:hAnsi="Times New Roman"/>
          <w:sz w:val="28"/>
          <w:szCs w:val="28"/>
        </w:rPr>
      </w:pPr>
      <w:r>
        <w:rPr/>
        <w:drawing>
          <wp:inline distT="0" distB="0" distL="0" distR="0">
            <wp:extent cx="5886450" cy="1000125"/>
            <wp:effectExtent l="0" t="0" r="0" b="0"/>
            <wp:docPr id="1" name="Рисунок 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6450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11"/>
        <w:numPr>
          <w:ilvl w:val="0"/>
          <w:numId w:val="0"/>
        </w:numPr>
        <w:spacing w:before="0" w:after="0"/>
        <w:ind w:hanging="0" w:left="0"/>
        <w:jc w:val="center"/>
        <w:outlineLvl w:val="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Запрос коммерческих предложений на</w:t>
      </w:r>
    </w:p>
    <w:p>
      <w:pPr>
        <w:pStyle w:val="Normal"/>
        <w:widowControl w:val="false"/>
        <w:tabs>
          <w:tab w:val="clear" w:pos="708"/>
          <w:tab w:val="left" w:pos="426" w:leader="none"/>
        </w:tabs>
        <w:spacing w:lineRule="auto" w:line="240" w:before="120" w:after="120"/>
        <w:ind w:hanging="0" w:left="284"/>
        <w:jc w:val="center"/>
        <w:rPr/>
      </w:pPr>
      <w:r>
        <w:rPr>
          <w:rFonts w:eastAsia="Calibri"/>
          <w:b/>
          <w:bCs/>
          <w:i w:val="false"/>
          <w:iCs w:val="false"/>
          <w:sz w:val="26"/>
          <w:szCs w:val="26"/>
          <w:shd w:fill="FFFFFF" w:val="clear"/>
        </w:rPr>
        <w:t>«</w:t>
      </w:r>
      <w:r>
        <w:rPr>
          <w:rFonts w:eastAsia="Calibri"/>
          <w:b/>
          <w:bCs/>
          <w:i w:val="false"/>
          <w:iCs w:val="false"/>
          <w:color w:val="000000"/>
          <w:sz w:val="26"/>
          <w:szCs w:val="26"/>
          <w:shd w:fill="FFFFFF" w:val="clear"/>
        </w:rPr>
        <w:t xml:space="preserve">ОКПД2 10.72. Приобретение новогодних подарков детям работников </w:t>
      </w:r>
    </w:p>
    <w:p>
      <w:pPr>
        <w:pStyle w:val="Normal"/>
        <w:widowControl w:val="false"/>
        <w:tabs>
          <w:tab w:val="clear" w:pos="708"/>
          <w:tab w:val="left" w:pos="426" w:leader="none"/>
        </w:tabs>
        <w:spacing w:lineRule="auto" w:line="240" w:before="120" w:after="120"/>
        <w:ind w:hanging="0" w:left="284"/>
        <w:jc w:val="center"/>
        <w:rPr/>
      </w:pPr>
      <w:r>
        <w:rPr>
          <w:rFonts w:eastAsia="Calibri"/>
          <w:b/>
          <w:bCs/>
          <w:i w:val="false"/>
          <w:iCs w:val="false"/>
          <w:caps w:val="false"/>
          <w:smallCaps w:val="false"/>
          <w:color w:val="000000"/>
          <w:spacing w:val="0"/>
          <w:sz w:val="26"/>
          <w:szCs w:val="26"/>
          <w:shd w:fill="FFFFFF" w:val="clear"/>
        </w:rPr>
        <w:t>Филиала ПАО «РусГидро» - «Бурейская ГЭС</w:t>
      </w:r>
      <w:r>
        <w:rPr>
          <w:rStyle w:val="Style8"/>
          <w:rFonts w:eastAsia="Calibri"/>
          <w:b/>
          <w:bCs/>
          <w:i w:val="false"/>
          <w:iCs w:val="false"/>
          <w:caps w:val="false"/>
          <w:smallCaps w:val="false"/>
          <w:color w:val="000000"/>
          <w:spacing w:val="0"/>
          <w:sz w:val="26"/>
          <w:szCs w:val="26"/>
          <w:shd w:fill="FFFFFF" w:val="clear"/>
        </w:rPr>
        <w:t>»</w:t>
      </w:r>
    </w:p>
    <w:p>
      <w:pPr>
        <w:pStyle w:val="Normal"/>
        <w:spacing w:lineRule="auto" w:line="240"/>
        <w:jc w:val="center"/>
        <w:rPr>
          <w:b/>
          <w:bCs/>
        </w:rPr>
      </w:pPr>
      <w:r>
        <w:rPr>
          <w:b/>
          <w:bCs/>
        </w:rPr>
      </w:r>
    </w:p>
    <w:p>
      <w:pPr>
        <w:pStyle w:val="BodyText"/>
        <w:numPr>
          <w:ilvl w:val="0"/>
          <w:numId w:val="0"/>
        </w:numPr>
        <w:spacing w:lineRule="auto" w:line="240" w:before="0" w:after="0"/>
        <w:ind w:hanging="0" w:left="0" w:right="0"/>
        <w:rPr>
          <w:sz w:val="26"/>
          <w:szCs w:val="26"/>
        </w:rPr>
      </w:pPr>
      <w:r>
        <w:rPr>
          <w:sz w:val="26"/>
          <w:szCs w:val="26"/>
        </w:rPr>
        <w:t xml:space="preserve">1. Филиал ПАО «РусГидро» - «Бурейская ГЭС»  (далее – Заказчик) сообщает о проведении анализа коммерческих предложений на  </w:t>
      </w:r>
      <w:r>
        <w:rPr>
          <w:rFonts w:eastAsia="Calibri"/>
          <w:b/>
          <w:bCs/>
          <w:i w:val="false"/>
          <w:iCs w:val="false"/>
          <w:sz w:val="26"/>
          <w:szCs w:val="26"/>
          <w:shd w:fill="FFFFFF" w:val="clear"/>
        </w:rPr>
        <w:t xml:space="preserve">« </w:t>
      </w:r>
      <w:r>
        <w:rPr>
          <w:rFonts w:eastAsia="Calibri"/>
          <w:b/>
          <w:bCs/>
          <w:i w:val="false"/>
          <w:iCs w:val="false"/>
          <w:color w:val="000000"/>
          <w:sz w:val="26"/>
          <w:szCs w:val="26"/>
          <w:shd w:fill="FFFFFF" w:val="clear"/>
        </w:rPr>
        <w:t xml:space="preserve">Приобретение новогодних подарков детям работников </w:t>
      </w:r>
      <w:r>
        <w:rPr>
          <w:rStyle w:val="Style8"/>
          <w:rFonts w:eastAsia="Calibri"/>
          <w:b/>
          <w:bCs/>
          <w:i w:val="false"/>
          <w:iCs w:val="false"/>
          <w:caps w:val="false"/>
          <w:smallCaps w:val="false"/>
          <w:color w:val="000000"/>
          <w:spacing w:val="0"/>
          <w:sz w:val="26"/>
          <w:szCs w:val="26"/>
          <w:shd w:fill="FFFFFF" w:val="clear"/>
        </w:rPr>
        <w:t>Филиала ПАО «РусГидро» - «Бурейская ГЭС»</w:t>
      </w:r>
      <w:r>
        <w:rPr>
          <w:rFonts w:eastAsia="Calibri"/>
          <w:b/>
          <w:bCs/>
          <w:sz w:val="26"/>
          <w:szCs w:val="26"/>
          <w:shd w:fill="FFFFFF" w:val="clear"/>
        </w:rPr>
        <w:t xml:space="preserve"> </w:t>
      </w:r>
    </w:p>
    <w:p>
      <w:pPr>
        <w:pStyle w:val="BodyText"/>
        <w:numPr>
          <w:ilvl w:val="0"/>
          <w:numId w:val="0"/>
        </w:numPr>
        <w:spacing w:lineRule="auto" w:line="240" w:before="0" w:after="0"/>
        <w:ind w:hanging="0" w:left="0" w:right="0"/>
        <w:rPr>
          <w:sz w:val="26"/>
          <w:szCs w:val="26"/>
        </w:rPr>
      </w:pPr>
      <w:r>
        <w:rPr>
          <w:sz w:val="26"/>
          <w:szCs w:val="26"/>
        </w:rPr>
        <w:t xml:space="preserve">2. Подробные требования к услугам (в том числе, сведения об объеме, месте, сроках их оказания) приведены в приложении 1 к настоящему запросу; </w:t>
      </w:r>
    </w:p>
    <w:p>
      <w:pPr>
        <w:pStyle w:val="BodyText"/>
        <w:numPr>
          <w:ilvl w:val="0"/>
          <w:numId w:val="0"/>
        </w:numPr>
        <w:spacing w:lineRule="auto" w:line="240" w:before="0" w:after="0"/>
        <w:ind w:hanging="0" w:left="0" w:right="0"/>
        <w:rPr>
          <w:sz w:val="26"/>
          <w:szCs w:val="26"/>
        </w:rPr>
      </w:pPr>
      <w:r>
        <w:rPr>
          <w:sz w:val="26"/>
          <w:szCs w:val="26"/>
        </w:rPr>
        <w:t>3. Настоящий запрос не является публичной офертой и не влечет за собой возникновения каких-либо обязательств для Заказчика. Рассмотрение Заказчиком поступивших коммерческих предложений не предполагает какого-либо информирования (в т.ч. публичного) лиц, подавших такие предложения, а также любых иных лиц о результатах произведенного рассмотрения.</w:t>
      </w:r>
    </w:p>
    <w:p>
      <w:pPr>
        <w:pStyle w:val="BodyText"/>
        <w:numPr>
          <w:ilvl w:val="0"/>
          <w:numId w:val="0"/>
        </w:numPr>
        <w:spacing w:lineRule="auto" w:line="240" w:before="0" w:after="0"/>
        <w:ind w:hanging="0" w:left="0" w:right="0"/>
        <w:rPr>
          <w:sz w:val="26"/>
          <w:szCs w:val="26"/>
        </w:rPr>
      </w:pPr>
      <w:r>
        <w:rPr>
          <w:sz w:val="26"/>
          <w:szCs w:val="26"/>
        </w:rPr>
        <w:t>4. Ответ с коммерческим предложением должен быть оформлен на официальном бланке Исполнителя и заверен подписью уполномоченного лица, а также печатью организации, и в обязательном порядке содержать следующую информацию:</w:t>
      </w:r>
    </w:p>
    <w:p>
      <w:pPr>
        <w:pStyle w:val="Normal"/>
        <w:numPr>
          <w:ilvl w:val="0"/>
          <w:numId w:val="0"/>
        </w:numPr>
        <w:tabs>
          <w:tab w:val="clear" w:pos="708"/>
          <w:tab w:val="left" w:pos="851" w:leader="none"/>
        </w:tabs>
        <w:spacing w:lineRule="auto" w:line="240" w:before="0" w:after="0"/>
        <w:ind w:hanging="0" w:left="0" w:right="0"/>
        <w:rPr>
          <w:sz w:val="26"/>
          <w:szCs w:val="26"/>
        </w:rPr>
      </w:pPr>
      <w:r>
        <w:rPr>
          <w:sz w:val="26"/>
          <w:szCs w:val="26"/>
        </w:rPr>
        <w:t>- дату направления предложения;</w:t>
      </w:r>
    </w:p>
    <w:p>
      <w:pPr>
        <w:pStyle w:val="Normal"/>
        <w:numPr>
          <w:ilvl w:val="0"/>
          <w:numId w:val="0"/>
        </w:numPr>
        <w:tabs>
          <w:tab w:val="clear" w:pos="708"/>
          <w:tab w:val="left" w:pos="851" w:leader="none"/>
        </w:tabs>
        <w:spacing w:lineRule="auto" w:line="240" w:before="0" w:after="0"/>
        <w:ind w:hanging="0" w:left="0" w:right="0"/>
        <w:rPr>
          <w:sz w:val="26"/>
          <w:szCs w:val="26"/>
        </w:rPr>
      </w:pPr>
      <w:r>
        <w:rPr>
          <w:sz w:val="26"/>
          <w:szCs w:val="26"/>
        </w:rPr>
        <w:t>- полное наименование Исполнителя, с указанием организационно-правовой формы (для юридических лиц);</w:t>
      </w:r>
    </w:p>
    <w:p>
      <w:pPr>
        <w:pStyle w:val="Normal"/>
        <w:numPr>
          <w:ilvl w:val="0"/>
          <w:numId w:val="0"/>
        </w:numPr>
        <w:tabs>
          <w:tab w:val="clear" w:pos="708"/>
          <w:tab w:val="left" w:pos="851" w:leader="none"/>
        </w:tabs>
        <w:spacing w:lineRule="auto" w:line="240" w:before="0" w:after="0"/>
        <w:ind w:hanging="0" w:left="0" w:right="0"/>
        <w:rPr>
          <w:sz w:val="26"/>
          <w:szCs w:val="26"/>
        </w:rPr>
      </w:pPr>
      <w:r>
        <w:rPr>
          <w:sz w:val="26"/>
          <w:szCs w:val="26"/>
        </w:rPr>
        <w:t>- юридический адрес, почтовый адрес, ИНН [для юридических лиц] / паспортные данные, адрес регистрации, ИНН (при наличии) [для физических лиц];</w:t>
      </w:r>
    </w:p>
    <w:p>
      <w:pPr>
        <w:pStyle w:val="Normal"/>
        <w:numPr>
          <w:ilvl w:val="0"/>
          <w:numId w:val="0"/>
        </w:numPr>
        <w:tabs>
          <w:tab w:val="clear" w:pos="708"/>
          <w:tab w:val="left" w:pos="851" w:leader="none"/>
        </w:tabs>
        <w:spacing w:lineRule="auto" w:line="240" w:before="0" w:after="0"/>
        <w:ind w:hanging="0" w:left="0" w:right="0"/>
        <w:rPr>
          <w:sz w:val="26"/>
          <w:szCs w:val="26"/>
        </w:rPr>
      </w:pPr>
      <w:r>
        <w:rPr>
          <w:sz w:val="26"/>
          <w:szCs w:val="26"/>
        </w:rPr>
        <w:t>- контактные данные: номер телефона, e-mail, ФИО контактного лица;</w:t>
      </w:r>
    </w:p>
    <w:p>
      <w:pPr>
        <w:pStyle w:val="Normal"/>
        <w:numPr>
          <w:ilvl w:val="0"/>
          <w:numId w:val="0"/>
        </w:numPr>
        <w:tabs>
          <w:tab w:val="clear" w:pos="708"/>
          <w:tab w:val="left" w:pos="851" w:leader="none"/>
        </w:tabs>
        <w:spacing w:lineRule="auto" w:line="240" w:before="0" w:after="0"/>
        <w:ind w:hanging="0" w:left="0" w:right="0"/>
        <w:rPr>
          <w:sz w:val="26"/>
          <w:szCs w:val="26"/>
        </w:rPr>
      </w:pPr>
      <w:r>
        <w:rPr>
          <w:sz w:val="26"/>
          <w:szCs w:val="26"/>
        </w:rPr>
        <w:t>- цену предложения в рублях (без учета НДС и с учетом НДС).</w:t>
      </w:r>
    </w:p>
    <w:p>
      <w:pPr>
        <w:pStyle w:val="Normal"/>
        <w:numPr>
          <w:ilvl w:val="0"/>
          <w:numId w:val="0"/>
        </w:numPr>
        <w:tabs>
          <w:tab w:val="clear" w:pos="708"/>
          <w:tab w:val="left" w:pos="851" w:leader="none"/>
        </w:tabs>
        <w:spacing w:lineRule="auto" w:line="240" w:before="0" w:after="0"/>
        <w:ind w:hanging="0" w:left="0" w:right="0"/>
        <w:rPr>
          <w:sz w:val="26"/>
          <w:szCs w:val="26"/>
        </w:rPr>
      </w:pPr>
      <w:r>
        <w:rPr>
          <w:sz w:val="26"/>
          <w:szCs w:val="26"/>
          <w:shd w:fill="FFFF00" w:val="clear"/>
        </w:rPr>
        <w:t>6. Срок подачи коммерческих предложений: до 0</w:t>
      </w:r>
      <w:r>
        <w:rPr>
          <w:sz w:val="26"/>
          <w:szCs w:val="26"/>
          <w:shd w:fill="FFFF00" w:val="clear"/>
        </w:rPr>
        <w:t>8</w:t>
      </w:r>
      <w:r>
        <w:rPr>
          <w:sz w:val="26"/>
          <w:szCs w:val="26"/>
          <w:shd w:fill="FFFF00" w:val="clear"/>
        </w:rPr>
        <w:t>:00 (МСК) 12.11.2026г.</w:t>
      </w:r>
    </w:p>
    <w:p>
      <w:pPr>
        <w:pStyle w:val="Normal"/>
        <w:numPr>
          <w:ilvl w:val="0"/>
          <w:numId w:val="0"/>
        </w:numPr>
        <w:tabs>
          <w:tab w:val="clear" w:pos="708"/>
          <w:tab w:val="left" w:pos="851" w:leader="none"/>
        </w:tabs>
        <w:spacing w:lineRule="auto" w:line="240" w:before="0" w:after="0"/>
        <w:ind w:hanging="0" w:left="0" w:right="0"/>
        <w:rPr/>
      </w:pPr>
      <w:bookmarkStart w:id="0" w:name="_GoBack"/>
      <w:bookmarkEnd w:id="0"/>
      <w:r>
        <w:rPr>
          <w:sz w:val="26"/>
          <w:szCs w:val="26"/>
        </w:rPr>
        <w:t xml:space="preserve">7. Предложения должны быть направлены в виде сканированной электронной копии и подаются по адресу ЭТП Электронная (торговая) площадка: АО «Российский аукционный дом» </w:t>
      </w:r>
      <w:hyperlink r:id="rId3">
        <w:r>
          <w:rPr>
            <w:rStyle w:val="Hyperlink"/>
            <w:rFonts w:eastAsia="" w:eastAsiaTheme="majorEastAsia"/>
            <w:sz w:val="26"/>
            <w:szCs w:val="26"/>
          </w:rPr>
          <w:t>https://tender.lot-online.ru</w:t>
        </w:r>
      </w:hyperlink>
    </w:p>
    <w:p>
      <w:pPr>
        <w:pStyle w:val="Normal"/>
        <w:keepNext w:val="true"/>
        <w:numPr>
          <w:ilvl w:val="0"/>
          <w:numId w:val="0"/>
        </w:numPr>
        <w:ind w:hanging="0" w:left="0"/>
        <w:jc w:val="left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numPr>
          <w:ilvl w:val="0"/>
          <w:numId w:val="0"/>
        </w:numPr>
        <w:ind w:hanging="0" w:left="0"/>
        <w:jc w:val="left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numPr>
          <w:ilvl w:val="0"/>
          <w:numId w:val="0"/>
        </w:numPr>
        <w:ind w:hanging="0" w:left="0"/>
        <w:jc w:val="left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numPr>
          <w:ilvl w:val="0"/>
          <w:numId w:val="0"/>
        </w:numPr>
        <w:ind w:hanging="0" w:left="0"/>
        <w:jc w:val="left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numPr>
          <w:ilvl w:val="0"/>
          <w:numId w:val="0"/>
        </w:numPr>
        <w:ind w:hanging="0" w:left="0"/>
        <w:jc w:val="left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numPr>
          <w:ilvl w:val="0"/>
          <w:numId w:val="0"/>
        </w:numPr>
        <w:ind w:hanging="0" w:left="0"/>
        <w:jc w:val="left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numPr>
          <w:ilvl w:val="0"/>
          <w:numId w:val="0"/>
        </w:numPr>
        <w:ind w:hanging="0" w:left="0"/>
        <w:jc w:val="left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numPr>
          <w:ilvl w:val="0"/>
          <w:numId w:val="0"/>
        </w:numPr>
        <w:spacing w:lineRule="auto" w:line="240"/>
        <w:ind w:hanging="0" w:left="0"/>
        <w:jc w:val="left"/>
        <w:rPr>
          <w:sz w:val="26"/>
          <w:szCs w:val="26"/>
        </w:rPr>
      </w:pPr>
      <w:r>
        <w:rPr/>
      </w:r>
    </w:p>
    <w:p>
      <w:pPr>
        <w:pStyle w:val="Normal"/>
        <w:numPr>
          <w:ilvl w:val="0"/>
          <w:numId w:val="0"/>
        </w:numPr>
        <w:spacing w:lineRule="auto" w:line="240"/>
        <w:ind w:hanging="0" w:left="0"/>
        <w:jc w:val="left"/>
        <w:rPr>
          <w:sz w:val="26"/>
          <w:szCs w:val="26"/>
        </w:rPr>
      </w:pPr>
      <w:r>
        <w:rPr>
          <w:sz w:val="26"/>
          <w:szCs w:val="26"/>
        </w:rPr>
        <w:t>Приложение №1</w:t>
      </w:r>
    </w:p>
    <w:p>
      <w:pPr>
        <w:pStyle w:val="Normal"/>
        <w:numPr>
          <w:ilvl w:val="0"/>
          <w:numId w:val="0"/>
        </w:numPr>
        <w:spacing w:lineRule="auto" w:line="240"/>
        <w:ind w:hanging="0" w:left="0"/>
        <w:jc w:val="left"/>
        <w:rPr>
          <w:sz w:val="26"/>
          <w:szCs w:val="26"/>
        </w:rPr>
      </w:pPr>
      <w:r>
        <w:rPr/>
      </w:r>
    </w:p>
    <w:p>
      <w:pPr>
        <w:pStyle w:val="Normal"/>
        <w:numPr>
          <w:ilvl w:val="0"/>
          <w:numId w:val="0"/>
        </w:numPr>
        <w:spacing w:lineRule="auto" w:line="240"/>
        <w:ind w:hanging="0" w:left="0"/>
        <w:jc w:val="left"/>
        <w:rPr>
          <w:sz w:val="26"/>
          <w:szCs w:val="26"/>
        </w:rPr>
      </w:pPr>
      <w:r>
        <w:rPr>
          <w:sz w:val="26"/>
          <w:szCs w:val="26"/>
        </w:rPr>
        <w:t xml:space="preserve">1. </w:t>
      </w:r>
      <w:r>
        <w:rPr>
          <w:sz w:val="26"/>
          <w:szCs w:val="26"/>
        </w:rPr>
        <w:t>Перечень кондитерских изделий  в 1 подарке:</w:t>
      </w:r>
    </w:p>
    <w:p>
      <w:pPr>
        <w:pStyle w:val="Normal"/>
        <w:numPr>
          <w:ilvl w:val="0"/>
          <w:numId w:val="0"/>
        </w:numPr>
        <w:spacing w:lineRule="auto" w:line="240"/>
        <w:ind w:hanging="0" w:left="0"/>
        <w:jc w:val="left"/>
        <w:rPr>
          <w:sz w:val="24"/>
          <w:szCs w:val="24"/>
        </w:rPr>
      </w:pPr>
      <w:r>
        <w:rPr>
          <w:sz w:val="24"/>
          <w:szCs w:val="24"/>
        </w:rPr>
      </w:r>
    </w:p>
    <w:tbl>
      <w:tblPr>
        <w:tblW w:w="9781" w:type="dxa"/>
        <w:jc w:val="left"/>
        <w:tblInd w:w="-5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9"/>
        <w:gridCol w:w="5363"/>
        <w:gridCol w:w="1016"/>
        <w:gridCol w:w="2693"/>
      </w:tblGrid>
      <w:tr>
        <w:trPr>
          <w:trHeight w:val="391" w:hRule="atLeast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ind w:hanging="0"/>
              <w:jc w:val="center"/>
              <w:rPr/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№</w:t>
            </w: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п/п</w:t>
            </w:r>
          </w:p>
        </w:tc>
        <w:tc>
          <w:tcPr>
            <w:tcW w:w="5363" w:type="dxa"/>
            <w:tcBorders>
              <w:top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/>
              <w:ind w:hanging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Наименование изделия</w:t>
            </w:r>
          </w:p>
        </w:tc>
        <w:tc>
          <w:tcPr>
            <w:tcW w:w="1016" w:type="dxa"/>
            <w:tcBorders>
              <w:top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/>
              <w:ind w:hanging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Ед.изм.</w:t>
            </w:r>
          </w:p>
        </w:tc>
        <w:tc>
          <w:tcPr>
            <w:tcW w:w="2693" w:type="dxa"/>
            <w:tcBorders>
              <w:top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/>
              <w:ind w:hanging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Кол-во в подарке</w:t>
            </w:r>
          </w:p>
        </w:tc>
      </w:tr>
      <w:tr>
        <w:trPr>
          <w:trHeight w:val="345" w:hRule="atLeast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spacing w:lineRule="auto" w:line="240"/>
              <w:ind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36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spacing w:lineRule="auto" w:line="240"/>
              <w:ind w:hanging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Конфета шоколадная (разного наименования и состава)</w:t>
            </w:r>
          </w:p>
        </w:tc>
        <w:tc>
          <w:tcPr>
            <w:tcW w:w="101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spacing w:lineRule="auto" w:line="240"/>
              <w:ind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шт </w:t>
            </w:r>
          </w:p>
        </w:tc>
        <w:tc>
          <w:tcPr>
            <w:tcW w:w="269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spacing w:lineRule="auto" w:line="24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не менее 6</w:t>
            </w:r>
            <w:r>
              <w:rPr>
                <w:rFonts w:cs="Times New Roman" w:ascii="Times New Roman" w:hAnsi="Times New Roman"/>
                <w:sz w:val="24"/>
                <w:szCs w:val="24"/>
                <w:lang w:val="en-US"/>
              </w:rPr>
              <w:t>0</w:t>
            </w:r>
          </w:p>
        </w:tc>
      </w:tr>
      <w:tr>
        <w:trPr>
          <w:trHeight w:val="81" w:hRule="atLeast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spacing w:lineRule="auto" w:line="240"/>
              <w:ind w:hanging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5363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spacing w:lineRule="auto" w:line="240"/>
              <w:ind w:hanging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Шоколадный батончик</w:t>
            </w:r>
          </w:p>
        </w:tc>
        <w:tc>
          <w:tcPr>
            <w:tcW w:w="1016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spacing w:lineRule="auto" w:line="240"/>
              <w:ind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шт</w:t>
            </w:r>
          </w:p>
        </w:tc>
        <w:tc>
          <w:tcPr>
            <w:tcW w:w="2693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spacing w:lineRule="auto" w:line="24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не менее </w:t>
            </w:r>
            <w:r>
              <w:rPr>
                <w:rFonts w:cs="Times New Roman" w:ascii="Times New Roman" w:hAnsi="Times New Roman"/>
                <w:sz w:val="24"/>
                <w:szCs w:val="24"/>
                <w:lang w:val="en-US"/>
              </w:rPr>
              <w:t>3</w:t>
            </w:r>
          </w:p>
        </w:tc>
      </w:tr>
      <w:tr>
        <w:trPr>
          <w:trHeight w:val="81" w:hRule="atLeast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spacing w:lineRule="auto" w:line="240"/>
              <w:ind w:hanging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5363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spacing w:lineRule="auto" w:line="240"/>
              <w:ind w:hanging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Шоколад с вафлей</w:t>
            </w:r>
          </w:p>
        </w:tc>
        <w:tc>
          <w:tcPr>
            <w:tcW w:w="1016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spacing w:lineRule="auto" w:line="240"/>
              <w:ind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шт</w:t>
            </w:r>
          </w:p>
        </w:tc>
        <w:tc>
          <w:tcPr>
            <w:tcW w:w="2693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spacing w:lineRule="auto" w:line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не менее 2</w:t>
            </w:r>
          </w:p>
        </w:tc>
      </w:tr>
      <w:tr>
        <w:trPr>
          <w:trHeight w:val="81" w:hRule="atLeast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spacing w:lineRule="auto" w:line="240"/>
              <w:ind w:hanging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5363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spacing w:lineRule="auto" w:line="240"/>
              <w:ind w:hanging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Мини шоколад</w:t>
            </w:r>
          </w:p>
        </w:tc>
        <w:tc>
          <w:tcPr>
            <w:tcW w:w="1016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spacing w:lineRule="auto" w:line="240"/>
              <w:ind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шт</w:t>
            </w:r>
          </w:p>
        </w:tc>
        <w:tc>
          <w:tcPr>
            <w:tcW w:w="2693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spacing w:lineRule="auto" w:line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не менее 2</w:t>
            </w:r>
          </w:p>
        </w:tc>
      </w:tr>
      <w:tr>
        <w:trPr>
          <w:trHeight w:val="81" w:hRule="atLeast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spacing w:lineRule="auto" w:line="240"/>
              <w:ind w:hanging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5363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spacing w:lineRule="auto" w:line="240"/>
              <w:ind w:hanging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Десерт кондитерский (по выбору )</w:t>
            </w:r>
          </w:p>
        </w:tc>
        <w:tc>
          <w:tcPr>
            <w:tcW w:w="1016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spacing w:lineRule="auto" w:line="240"/>
              <w:ind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шт</w:t>
            </w:r>
          </w:p>
        </w:tc>
        <w:tc>
          <w:tcPr>
            <w:tcW w:w="2693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spacing w:lineRule="auto" w:line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не менее 2</w:t>
            </w:r>
          </w:p>
        </w:tc>
      </w:tr>
      <w:tr>
        <w:trPr>
          <w:trHeight w:val="85" w:hRule="atLeast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spacing w:lineRule="auto" w:line="240"/>
              <w:ind w:hanging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536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/>
              <w:ind w:hanging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Пакет/оформление подарочное</w:t>
            </w:r>
          </w:p>
        </w:tc>
        <w:tc>
          <w:tcPr>
            <w:tcW w:w="101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/>
              <w:ind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шт</w:t>
            </w:r>
          </w:p>
        </w:tc>
        <w:tc>
          <w:tcPr>
            <w:tcW w:w="2693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spacing w:lineRule="auto" w:line="24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US"/>
              </w:rPr>
              <w:t>1</w:t>
            </w:r>
          </w:p>
        </w:tc>
      </w:tr>
    </w:tbl>
    <w:p>
      <w:pPr>
        <w:pStyle w:val="Normal"/>
        <w:ind w:hanging="0"/>
        <w:rPr/>
      </w:pPr>
      <w:r>
        <w:rPr/>
      </w:r>
    </w:p>
    <w:p>
      <w:pPr>
        <w:pStyle w:val="Normal"/>
        <w:ind w:hanging="0"/>
        <w:rPr/>
      </w:pPr>
      <w:r>
        <w:rPr/>
        <w:t>2. Всего подарков: 223 шт.</w:t>
      </w:r>
    </w:p>
    <w:p>
      <w:pPr>
        <w:pStyle w:val="Normal"/>
        <w:ind w:hanging="0"/>
        <w:rPr/>
      </w:pPr>
      <w:r>
        <w:rPr/>
        <w:t xml:space="preserve">3. Место поставки:  </w:t>
      </w:r>
      <w:r>
        <w:rPr>
          <w:color w:val="000000"/>
          <w:sz w:val="24"/>
          <w:szCs w:val="24"/>
        </w:rPr>
        <w:t>676730, Амурская область, Бурейский район, п. Талакан, склад ТМЦ</w:t>
      </w:r>
    </w:p>
    <w:p>
      <w:pPr>
        <w:pStyle w:val="Normal"/>
        <w:ind w:hanging="0"/>
        <w:rPr/>
      </w:pPr>
      <w:r>
        <w:rPr>
          <w:color w:val="000000"/>
          <w:sz w:val="24"/>
          <w:szCs w:val="24"/>
        </w:rPr>
        <w:t>4. Условия поставки:  Доставка продукции производится Поставщиком (транспортом поставщика, за его счет) на склад Заказчика.</w:t>
      </w:r>
    </w:p>
    <w:sectPr>
      <w:type w:val="nextPage"/>
      <w:pgSz w:w="11906" w:h="16838"/>
      <w:pgMar w:left="1418" w:right="851" w:gutter="0" w:header="0" w:top="1134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PT Sans"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Calibri Light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Arial">
    <w:charset w:val="01"/>
    <w:family w:val="swiss"/>
    <w:pitch w:val="variable"/>
  </w:font>
  <w:font w:name="Times New Roman">
    <w:charset w:val="cc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/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/>
    </w:lvl>
    <w:lvl w:ilvl="2">
      <w:start w:val="1"/>
      <w:numFmt w:val="decimal"/>
      <w:lvlText w:val="%1.%2.%3"/>
      <w:lvlJc w:val="left"/>
      <w:pPr>
        <w:tabs>
          <w:tab w:val="num" w:pos="1134"/>
        </w:tabs>
        <w:ind w:left="1134" w:hanging="1134"/>
      </w:pPr>
      <w:rPr/>
    </w:lvl>
    <w:lvl w:ilvl="3">
      <w:start w:val="1"/>
      <w:numFmt w:val="decimal"/>
      <w:lvlText w:val="%1.%2.%3.%4"/>
      <w:lvlJc w:val="left"/>
      <w:pPr>
        <w:tabs>
          <w:tab w:val="num" w:pos="1701"/>
        </w:tabs>
        <w:ind w:left="1701" w:hanging="1134"/>
      </w:pPr>
      <w:rPr/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/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/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/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0" w:semiHidden="1" w:unhideWhenUsed="1" w:qFormat="1"/>
    <w:lsdException w:name="heading 4" w:uiPriority="0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8d1c15"/>
    <w:pPr>
      <w:widowControl/>
      <w:suppressAutoHyphens w:val="true"/>
      <w:bidi w:val="0"/>
      <w:spacing w:lineRule="auto" w:line="360" w:before="0" w:after="0"/>
      <w:ind w:firstLine="567"/>
      <w:jc w:val="both"/>
    </w:pPr>
    <w:rPr>
      <w:rFonts w:ascii="Times New Roman" w:hAnsi="Times New Roman" w:eastAsia="Times New Roman" w:cs="Times New Roman"/>
      <w:color w:val="auto"/>
      <w:kern w:val="0"/>
      <w:sz w:val="28"/>
      <w:szCs w:val="20"/>
      <w:lang w:val="ru-RU" w:eastAsia="ru-RU" w:bidi="ar-SA"/>
    </w:rPr>
  </w:style>
  <w:style w:type="paragraph" w:styleId="Heading1">
    <w:name w:val="Heading 1"/>
    <w:basedOn w:val="Normal"/>
    <w:next w:val="Normal"/>
    <w:link w:val="1"/>
    <w:uiPriority w:val="9"/>
    <w:qFormat/>
    <w:rsid w:val="008d1c15"/>
    <w:pPr>
      <w:keepNext w:val="true"/>
      <w:keepLines/>
      <w:spacing w:before="240" w:after="0"/>
      <w:outlineLvl w:val="0"/>
    </w:pPr>
    <w:rPr>
      <w:rFonts w:ascii="Calibri Light" w:hAnsi="Calibri Light" w:eastAsia="" w:cs="" w:asciiTheme="majorHAnsi" w:cstheme="majorBidi" w:eastAsiaTheme="majorEastAsia" w:hAnsiTheme="majorHAns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3"/>
    <w:qFormat/>
    <w:rsid w:val="008d1c15"/>
    <w:pPr>
      <w:keepNext w:val="true"/>
      <w:numPr>
        <w:ilvl w:val="2"/>
        <w:numId w:val="2"/>
      </w:numPr>
      <w:spacing w:lineRule="auto" w:line="240" w:before="120" w:after="120"/>
      <w:jc w:val="left"/>
      <w:outlineLvl w:val="2"/>
    </w:pPr>
    <w:rPr>
      <w:b/>
    </w:rPr>
  </w:style>
  <w:style w:type="paragraph" w:styleId="Heading4">
    <w:name w:val="Heading 4"/>
    <w:basedOn w:val="Normal"/>
    <w:next w:val="Normal"/>
    <w:link w:val="4"/>
    <w:qFormat/>
    <w:rsid w:val="008d1c15"/>
    <w:pPr>
      <w:keepNext w:val="true"/>
      <w:numPr>
        <w:ilvl w:val="3"/>
        <w:numId w:val="2"/>
      </w:numPr>
      <w:tabs>
        <w:tab w:val="clear" w:pos="708"/>
        <w:tab w:val="left" w:pos="1134" w:leader="none"/>
      </w:tabs>
      <w:spacing w:lineRule="auto" w:line="240" w:before="240" w:after="120"/>
      <w:ind w:firstLine="567" w:left="1134"/>
      <w:outlineLvl w:val="3"/>
    </w:pPr>
    <w:rPr>
      <w:b/>
      <w:i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3" w:customStyle="1">
    <w:name w:val="Заголовок 3 Знак"/>
    <w:basedOn w:val="DefaultParagraphFont"/>
    <w:qFormat/>
    <w:rsid w:val="008d1c15"/>
    <w:rPr>
      <w:rFonts w:ascii="Times New Roman" w:hAnsi="Times New Roman" w:eastAsia="Times New Roman" w:cs="Times New Roman"/>
      <w:b/>
      <w:sz w:val="28"/>
      <w:szCs w:val="20"/>
      <w:lang w:eastAsia="ru-RU"/>
    </w:rPr>
  </w:style>
  <w:style w:type="character" w:styleId="4" w:customStyle="1">
    <w:name w:val="Заголовок 4 Знак"/>
    <w:basedOn w:val="DefaultParagraphFont"/>
    <w:qFormat/>
    <w:rsid w:val="008d1c15"/>
    <w:rPr>
      <w:rFonts w:ascii="Times New Roman" w:hAnsi="Times New Roman" w:eastAsia="Times New Roman" w:cs="Times New Roman"/>
      <w:b/>
      <w:i/>
      <w:sz w:val="28"/>
      <w:szCs w:val="20"/>
      <w:lang w:eastAsia="ru-RU"/>
    </w:rPr>
  </w:style>
  <w:style w:type="character" w:styleId="Style6" w:customStyle="1">
    <w:name w:val="Символ сноски"/>
    <w:uiPriority w:val="99"/>
    <w:qFormat/>
    <w:rsid w:val="008d1c15"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7" w:customStyle="1">
    <w:name w:val="Текст сноски Знак"/>
    <w:basedOn w:val="DefaultParagraphFont"/>
    <w:uiPriority w:val="99"/>
    <w:qFormat/>
    <w:rsid w:val="008d1c15"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Style8" w:customStyle="1">
    <w:name w:val="комментарий"/>
    <w:qFormat/>
    <w:rsid w:val="008d1c15"/>
    <w:rPr>
      <w:b/>
      <w:i/>
      <w:shd w:fill="FFFF99" w:val="clear"/>
    </w:rPr>
  </w:style>
  <w:style w:type="character" w:styleId="1" w:customStyle="1">
    <w:name w:val="Заголовок 1 Знак"/>
    <w:basedOn w:val="DefaultParagraphFont"/>
    <w:uiPriority w:val="9"/>
    <w:qFormat/>
    <w:rsid w:val="008d1c15"/>
    <w:rPr>
      <w:rFonts w:ascii="Calibri Light" w:hAnsi="Calibri Light" w:eastAsia="" w:cs="" w:asciiTheme="majorHAnsi" w:cstheme="majorBidi" w:eastAsiaTheme="majorEastAsia" w:hAnsiTheme="majorHAnsi"/>
      <w:color w:val="2E74B5" w:themeColor="accent1" w:themeShade="bf"/>
      <w:sz w:val="32"/>
      <w:szCs w:val="32"/>
      <w:lang w:eastAsia="ru-RU"/>
    </w:rPr>
  </w:style>
  <w:style w:type="character" w:styleId="Hyperlink">
    <w:name w:val="Hyperlink"/>
    <w:basedOn w:val="DefaultParagraphFont"/>
    <w:uiPriority w:val="99"/>
    <w:unhideWhenUsed/>
    <w:rsid w:val="00225e37"/>
    <w:rPr>
      <w:color w:val="0563C1" w:themeColor="hyperlink"/>
      <w:u w:val="single"/>
    </w:rPr>
  </w:style>
  <w:style w:type="character" w:styleId="Style9">
    <w:name w:val="Основной шрифт абзаца"/>
    <w:qFormat/>
    <w:rPr/>
  </w:style>
  <w:style w:type="character" w:styleId="31">
    <w:name w:val="Основной текст (3)_"/>
    <w:basedOn w:val="Style9"/>
    <w:qFormat/>
    <w:rPr>
      <w:rFonts w:ascii="Times New Roman" w:hAnsi="Times New Roman" w:eastAsia="Times New Roman" w:cs="Times New Roman"/>
      <w:b/>
      <w:bCs/>
      <w:i w:val="false"/>
      <w:iCs w:val="false"/>
      <w:caps w:val="false"/>
      <w:smallCaps w:val="false"/>
      <w:strike w:val="false"/>
      <w:dstrike w:val="false"/>
      <w:sz w:val="27"/>
      <w:szCs w:val="27"/>
      <w:u w:val="none"/>
    </w:rPr>
  </w:style>
  <w:style w:type="character" w:styleId="32">
    <w:name w:val="Основной текст (3) + Курсив"/>
    <w:basedOn w:val="31"/>
    <w:qFormat/>
    <w:rPr>
      <w:rFonts w:ascii="Times New Roman" w:hAnsi="Times New Roman" w:eastAsia="Times New Roman" w:cs="Times New Roman"/>
      <w:b/>
      <w:bCs/>
      <w:i/>
      <w:iCs/>
      <w:caps w:val="false"/>
      <w:smallCaps w:val="false"/>
      <w:strike w:val="false"/>
      <w:dstrike w:val="false"/>
      <w:color w:val="000000"/>
      <w:spacing w:val="0"/>
      <w:w w:val="100"/>
      <w:position w:val="0"/>
      <w:sz w:val="27"/>
      <w:sz w:val="27"/>
      <w:szCs w:val="27"/>
      <w:u w:val="none"/>
      <w:vertAlign w:val="baseline"/>
    </w:rPr>
  </w:style>
  <w:style w:type="character" w:styleId="Strong">
    <w:name w:val="Strong"/>
    <w:qFormat/>
    <w:rPr>
      <w:b/>
      <w:bCs/>
    </w:rPr>
  </w:style>
  <w:style w:type="paragraph" w:styleId="Style10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Style11">
    <w:name w:val="Указатель"/>
    <w:basedOn w:val="Normal"/>
    <w:qFormat/>
    <w:pPr>
      <w:suppressLineNumbers/>
    </w:pPr>
    <w:rPr/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Cs w:val="28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">
    <w:name w:val="index heading"/>
    <w:basedOn w:val="Normal"/>
    <w:qFormat/>
    <w:pPr>
      <w:suppressLineNumbers/>
    </w:pPr>
    <w:rPr/>
  </w:style>
  <w:style w:type="paragraph" w:styleId="FootnoteText">
    <w:name w:val="Footnote Text"/>
    <w:basedOn w:val="Normal"/>
    <w:link w:val="Style7"/>
    <w:uiPriority w:val="99"/>
    <w:rsid w:val="008d1c15"/>
    <w:pPr>
      <w:spacing w:lineRule="auto" w:line="240"/>
    </w:pPr>
    <w:rPr>
      <w:sz w:val="20"/>
    </w:rPr>
  </w:style>
  <w:style w:type="paragraph" w:styleId="11" w:customStyle="1">
    <w:name w:val="Стиль Заголовок 1 + по ширине"/>
    <w:basedOn w:val="Heading1"/>
    <w:qFormat/>
    <w:rsid w:val="008d1c15"/>
    <w:pPr>
      <w:numPr>
        <w:ilvl w:val="0"/>
        <w:numId w:val="2"/>
      </w:numPr>
      <w:spacing w:lineRule="auto" w:line="240" w:before="480" w:after="240"/>
    </w:pPr>
    <w:rPr>
      <w:rFonts w:ascii="Arial" w:hAnsi="Arial" w:eastAsia="Times New Roman" w:cs="Times New Roman"/>
      <w:b/>
      <w:bCs/>
      <w:color w:val="auto"/>
      <w:kern w:val="2"/>
      <w:sz w:val="40"/>
      <w:szCs w:val="20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hyperlink" Target="https://tender.lot-online.ru/" TargetMode="Externa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Application>AlterOffice/2026.2.1.1$Linux_X86_64 LibreOffice_project/6d96de8aff889cb0e33766577a7a2a9f4fe0f9d5</Application>
  <AppVersion>15.0000</AppVersion>
  <Pages>2</Pages>
  <Words>322</Words>
  <Characters>2001</Characters>
  <CharactersWithSpaces>2286</CharactersWithSpaces>
  <Paragraphs>48</Paragraphs>
  <Company>РусГидро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2025-04-01T09:13:00Z</dcterms:created>
  <dc:creator>Лысенко Екатерина Алексеевна</dc:creator>
  <dc:description/>
  <dc:language>ru-RU</dc:language>
  <cp:lastModifiedBy>lysenkoea@corp.gidroogk.com</cp:lastModifiedBy>
  <dcterms:modified xsi:type="dcterms:W3CDTF">2026-11-04T18:11:42Z</dcterms:modified>
  <cp:revision>18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