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4.xml" ContentType="application/vnd.openxmlformats-officedocument.wordprocessingml.footer+xml"/>
  <Override PartName="/word/footer7.xml" ContentType="application/vnd.openxmlformats-officedocument.wordprocessingml.footer+xml"/>
  <Override PartName="/word/_rels/document.xml.rels" ContentType="application/vnd.openxmlformats-package.relationships+xml"/>
  <Override PartName="/word/footer6.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header7.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highlight w:val="white"/>
        </w:rPr>
      </w:pPr>
      <w:r>
        <w:rPr>
          <w:bCs/>
          <w:shd w:fill="FFFFFF" w:val="clear"/>
        </w:rPr>
        <w:t>«УТВЕРЖДАЮ»</w:t>
      </w:r>
    </w:p>
    <w:p>
      <w:pPr>
        <w:pStyle w:val="Normal"/>
        <w:keepNext w:val="true"/>
        <w:keepLines/>
        <w:jc w:val="right"/>
        <w:rPr>
          <w:highlight w:val="white"/>
        </w:rPr>
      </w:pPr>
      <w:r>
        <w:rPr>
          <w:bCs/>
          <w:shd w:fill="FFFFFF" w:val="clear"/>
        </w:rPr>
        <w:t xml:space="preserve"> </w:t>
      </w:r>
      <w:r>
        <w:rPr>
          <w:bCs/>
          <w:shd w:fill="FFFFFF" w:val="clear"/>
        </w:rPr>
        <w:t xml:space="preserve">Первый заместитель директора -                                                                                                              </w:t>
      </w:r>
    </w:p>
    <w:p>
      <w:pPr>
        <w:pStyle w:val="Normal"/>
        <w:keepNext w:val="true"/>
        <w:keepLines/>
        <w:jc w:val="right"/>
        <w:rPr>
          <w:highlight w:val="white"/>
        </w:rPr>
      </w:pPr>
      <w:r>
        <w:rPr>
          <w:bCs/>
          <w:shd w:fill="FFFFFF" w:val="clear"/>
        </w:rPr>
        <w:t>- Главный инженер</w:t>
      </w:r>
    </w:p>
    <w:p>
      <w:pPr>
        <w:pStyle w:val="Normal"/>
        <w:keepNext w:val="true"/>
        <w:keepLines/>
        <w:jc w:val="right"/>
        <w:rPr>
          <w:highlight w:val="white"/>
        </w:rPr>
      </w:pPr>
      <w:r>
        <w:rPr>
          <w:bCs/>
          <w:shd w:fill="FFFFFF" w:val="clear"/>
        </w:rPr>
        <w:t>Филиала ПАО «РусГидро»</w:t>
      </w:r>
    </w:p>
    <w:p>
      <w:pPr>
        <w:pStyle w:val="Normal"/>
        <w:keepNext w:val="true"/>
        <w:keepLines/>
        <w:jc w:val="right"/>
        <w:rPr>
          <w:highlight w:val="white"/>
        </w:rPr>
      </w:pPr>
      <w:r>
        <w:rPr>
          <w:bCs/>
          <w:shd w:fill="FFFFFF" w:val="clear"/>
        </w:rPr>
        <w:t xml:space="preserve">      </w:t>
      </w:r>
      <w:r>
        <w:rPr>
          <w:bCs/>
          <w:shd w:fill="FFFFFF" w:val="clear"/>
        </w:rPr>
        <w:t>«Жигулевская ГЭС»</w:t>
      </w:r>
    </w:p>
    <w:p>
      <w:pPr>
        <w:pStyle w:val="Normal"/>
        <w:keepNext w:val="true"/>
        <w:keepLines/>
        <w:jc w:val="right"/>
        <w:rPr>
          <w:highlight w:val="white"/>
        </w:rPr>
      </w:pPr>
      <w:r>
        <w:rPr>
          <w:bCs/>
          <w:shd w:fill="FFFFFF" w:val="clear"/>
        </w:rPr>
        <w:t xml:space="preserve">                                                                                  </w:t>
      </w:r>
      <w:r>
        <w:rPr>
          <w:bCs/>
          <w:shd w:fill="FFFFFF" w:val="clear"/>
        </w:rPr>
        <w:t xml:space="preserve">___________ А.И. Богданов </w:t>
      </w:r>
    </w:p>
    <w:p>
      <w:pPr>
        <w:pStyle w:val="Normal"/>
        <w:keepNext w:val="true"/>
        <w:keepLines/>
        <w:jc w:val="right"/>
        <w:rPr>
          <w:highlight w:val="white"/>
        </w:rPr>
      </w:pPr>
      <w:r>
        <w:rPr>
          <w:bCs/>
          <w:shd w:fill="FFFFFF" w:val="clear"/>
        </w:rPr>
        <w:t xml:space="preserve">           </w:t>
      </w:r>
      <w:r>
        <w:rPr>
          <w:bCs/>
          <w:shd w:fill="FFFFFF" w:val="clear"/>
        </w:rPr>
        <w:t>«      »  _________  2026 г</w:t>
      </w:r>
      <w:r>
        <w:rPr>
          <w:b/>
          <w:bCs/>
          <w:shd w:fill="FFFFFF" w:val="clear"/>
        </w:rPr>
        <w:t>.</w:t>
      </w:r>
    </w:p>
    <w:p>
      <w:pPr>
        <w:pStyle w:val="Normal"/>
        <w:jc w:val="right"/>
        <w:rPr>
          <w:b/>
          <w:bCs/>
          <w:sz w:val="26"/>
          <w:szCs w:val="26"/>
        </w:rPr>
      </w:pPr>
      <w:r>
        <w:rPr>
          <w:b/>
          <w:bCs/>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 xml:space="preserve">Технические требования </w:t>
      </w:r>
    </w:p>
    <w:p>
      <w:pPr>
        <w:pStyle w:val="Normal"/>
        <w:jc w:val="center"/>
        <w:rPr>
          <w:rFonts w:eastAsia="Calibri"/>
          <w:b/>
          <w:sz w:val="26"/>
          <w:szCs w:val="26"/>
        </w:rPr>
      </w:pPr>
      <w:r>
        <w:rPr>
          <w:rFonts w:eastAsia="Calibri"/>
          <w:b/>
          <w:sz w:val="26"/>
          <w:szCs w:val="26"/>
        </w:rPr>
      </w:r>
    </w:p>
    <w:p>
      <w:pPr>
        <w:pStyle w:val="Normal"/>
        <w:jc w:val="center"/>
        <w:rPr>
          <w:rFonts w:eastAsia="Calibri"/>
          <w:sz w:val="26"/>
          <w:szCs w:val="26"/>
        </w:rPr>
      </w:pPr>
      <w:r>
        <w:rPr>
          <w:rFonts w:eastAsia="Calibri"/>
          <w:sz w:val="26"/>
          <w:szCs w:val="26"/>
        </w:rPr>
        <w:t>ОКПД2 41.20.10 Оказание услуг по устройству защитных укрытий Филиала ПАО «РусГидро» – «Жигулевская ГЭС»</w:t>
      </w:r>
    </w:p>
    <w:p>
      <w:pPr>
        <w:pStyle w:val="Normal"/>
        <w:keepNext w:val="true"/>
        <w:keepLines/>
        <w:jc w:val="center"/>
        <w:rPr>
          <w:rFonts w:eastAsia="Calibri"/>
          <w:sz w:val="26"/>
          <w:szCs w:val="26"/>
        </w:rPr>
      </w:pPr>
      <w:r>
        <w:rPr>
          <w:rFonts w:eastAsia="Calibri"/>
          <w:sz w:val="26"/>
          <w:szCs w:val="26"/>
        </w:rPr>
      </w:r>
    </w:p>
    <w:p>
      <w:pPr>
        <w:pStyle w:val="Normal"/>
        <w:keepNext w:val="true"/>
        <w:keepLines/>
        <w:jc w:val="center"/>
        <w:rPr>
          <w:rFonts w:eastAsia="Calibri"/>
          <w:b/>
          <w:sz w:val="26"/>
          <w:szCs w:val="26"/>
        </w:rPr>
      </w:pPr>
      <w:r>
        <w:rPr>
          <w:rFonts w:eastAsia="Calibri"/>
          <w:b/>
          <w:sz w:val="26"/>
          <w:szCs w:val="26"/>
        </w:rPr>
      </w:r>
    </w:p>
    <w:p>
      <w:pPr>
        <w:pStyle w:val="Normal"/>
        <w:widowControl w:val="false"/>
        <w:tabs>
          <w:tab w:val="clear" w:pos="720"/>
          <w:tab w:val="left" w:pos="426" w:leader="none"/>
        </w:tabs>
        <w:spacing w:before="120" w:after="120"/>
        <w:jc w:val="center"/>
        <w:rPr>
          <w:rFonts w:eastAsia="Calibri"/>
          <w:sz w:val="26"/>
          <w:szCs w:val="26"/>
        </w:rPr>
      </w:pPr>
      <w:r>
        <w:rPr>
          <w:rFonts w:eastAsia="Calibr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Normal"/>
        <w:jc w:val="center"/>
        <w:rPr/>
      </w:pPr>
      <w:r>
        <w:rPr>
          <w:b/>
        </w:rPr>
        <w:t>СОДЕРЖАНИЕ</w:t>
      </w:r>
    </w:p>
    <w:sdt>
      <w:sdtPr>
        <w:docPartObj>
          <w:docPartGallery w:val="Table of Contents"/>
          <w:docPartUnique w:val="true"/>
        </w:docPartObj>
      </w:sdtPr>
      <w:sdtContent>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r>
            <w:fldChar w:fldCharType="begin"/>
          </w:r>
          <w:r>
            <w:rPr>
              <w:webHidden/>
              <w:rStyle w:val="Style14"/>
              <w:vanish w:val="false"/>
              <w:rFonts w:eastAsia="Calibri"/>
            </w:rPr>
            <w:instrText xml:space="preserve"> TOC \z \o "1-4" \u \h</w:instrText>
          </w:r>
          <w:r>
            <w:rPr>
              <w:webHidden/>
              <w:rStyle w:val="Style14"/>
              <w:vanish w:val="false"/>
              <w:rFonts w:eastAsia="Calibri"/>
            </w:rPr>
            <w:fldChar w:fldCharType="separate"/>
          </w:r>
          <w:hyperlink w:anchor="_Toc130454087">
            <w:r>
              <w:rPr>
                <w:webHidden/>
                <w:rStyle w:val="Style14"/>
                <w:rFonts w:eastAsia="Calibri"/>
                <w:vanish w:val="false"/>
              </w:rPr>
              <w:t>1.</w:t>
            </w:r>
            <w:r>
              <w:rPr>
                <w:rStyle w:val="Style14"/>
                <w:rFonts w:eastAsia="" w:cs="" w:ascii="Calibri" w:hAnsi="Calibri" w:asciiTheme="minorHAnsi" w:cstheme="minorBidi" w:eastAsiaTheme="minorEastAsia" w:hAnsiTheme="minorHAnsi"/>
                <w:b w:val="false"/>
                <w:bCs w:val="false"/>
                <w:color w:val="auto"/>
                <w:sz w:val="22"/>
                <w:szCs w:val="22"/>
              </w:rPr>
              <w:tab/>
            </w:r>
            <w:r>
              <w:rPr>
                <w:rStyle w:val="Style14"/>
                <w:rFonts w:eastAsia="Calibri"/>
              </w:rPr>
              <w:t>Общие сведения</w:t>
            </w:r>
            <w:r>
              <w:rPr>
                <w:webHidden/>
              </w:rPr>
              <w:fldChar w:fldCharType="begin"/>
            </w:r>
            <w:r>
              <w:rPr>
                <w:webHidden/>
              </w:rPr>
              <w:instrText xml:space="preserve">PAGEREF _Toc130454087 \h</w:instrText>
            </w:r>
            <w:r>
              <w:rPr>
                <w:webHidden/>
              </w:rPr>
              <w:fldChar w:fldCharType="separate"/>
            </w:r>
            <w:r>
              <w:rPr>
                <w:rStyle w:val="Style14"/>
              </w:rPr>
              <w:tab/>
              <w:t>3</w:t>
            </w:r>
            <w:r>
              <w:rPr>
                <w:webHidden/>
              </w:rPr>
              <w:fldChar w:fldCharType="end"/>
            </w:r>
          </w:hyperlink>
        </w:p>
        <w:p>
          <w:pPr>
            <w:pStyle w:val="TOC4"/>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88">
            <w:r>
              <w:rPr>
                <w:webHidden/>
                <w:rStyle w:val="Style14"/>
                <w:rFonts w:eastAsia="Calibri"/>
                <w:iCs/>
                <w:vanish w:val="false"/>
              </w:rPr>
              <w:t>1.1.</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Обозначения и сокращения</w:t>
            </w:r>
            <w:r>
              <w:rPr>
                <w:webHidden/>
              </w:rPr>
              <w:fldChar w:fldCharType="begin"/>
            </w:r>
            <w:r>
              <w:rPr>
                <w:webHidden/>
              </w:rPr>
              <w:instrText xml:space="preserve">PAGEREF _Toc130454088 \h</w:instrText>
            </w:r>
            <w:r>
              <w:rPr>
                <w:webHidden/>
              </w:rPr>
              <w:fldChar w:fldCharType="separate"/>
            </w:r>
            <w:r>
              <w:rPr>
                <w:rStyle w:val="Style14"/>
              </w:rPr>
              <w:tab/>
              <w:t>3</w:t>
            </w:r>
            <w:r>
              <w:rPr>
                <w:webHidden/>
              </w:rPr>
              <w:fldChar w:fldCharType="end"/>
            </w:r>
          </w:hyperlink>
        </w:p>
        <w:p>
          <w:pPr>
            <w:pStyle w:val="TOC4"/>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89">
            <w:r>
              <w:rPr>
                <w:webHidden/>
                <w:rStyle w:val="Style14"/>
                <w:rFonts w:eastAsia="Calibri"/>
                <w:iCs/>
                <w:vanish w:val="false"/>
              </w:rPr>
              <w:t>1.2.</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Наименование закупаемых услуг</w:t>
            </w:r>
            <w:r>
              <w:rPr>
                <w:webHidden/>
              </w:rPr>
              <w:fldChar w:fldCharType="begin"/>
            </w:r>
            <w:r>
              <w:rPr>
                <w:webHidden/>
              </w:rPr>
              <w:instrText xml:space="preserve">PAGEREF _Toc130454089 \h</w:instrText>
            </w:r>
            <w:r>
              <w:rPr>
                <w:webHidden/>
              </w:rPr>
              <w:fldChar w:fldCharType="separate"/>
            </w:r>
            <w:r>
              <w:rPr>
                <w:rStyle w:val="Style14"/>
              </w:rPr>
              <w:tab/>
              <w:t>4</w:t>
            </w:r>
            <w:r>
              <w:rPr>
                <w:webHidden/>
              </w:rPr>
              <w:fldChar w:fldCharType="end"/>
            </w:r>
          </w:hyperlink>
        </w:p>
        <w:p>
          <w:pPr>
            <w:pStyle w:val="TOC4"/>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0">
            <w:r>
              <w:rPr>
                <w:webHidden/>
                <w:rStyle w:val="Style14"/>
                <w:rFonts w:eastAsia="Calibri"/>
                <w:iCs/>
                <w:vanish w:val="false"/>
              </w:rPr>
              <w:t>1.3.</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Цель использования закупаемых услуг</w:t>
            </w:r>
            <w:r>
              <w:rPr>
                <w:webHidden/>
              </w:rPr>
              <w:fldChar w:fldCharType="begin"/>
            </w:r>
            <w:r>
              <w:rPr>
                <w:webHidden/>
              </w:rPr>
              <w:instrText xml:space="preserve">PAGEREF _Toc130454090 \h</w:instrText>
            </w:r>
            <w:r>
              <w:rPr>
                <w:webHidden/>
              </w:rPr>
              <w:fldChar w:fldCharType="separate"/>
            </w:r>
            <w:r>
              <w:rPr>
                <w:rStyle w:val="Style14"/>
              </w:rPr>
              <w:tab/>
              <w:t>4</w:t>
            </w:r>
            <w:r>
              <w:rPr>
                <w:webHidden/>
              </w:rPr>
              <w:fldChar w:fldCharType="end"/>
            </w:r>
          </w:hyperlink>
        </w:p>
        <w:p>
          <w:pPr>
            <w:pStyle w:val="TOC4"/>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1">
            <w:r>
              <w:rPr>
                <w:webHidden/>
                <w:rStyle w:val="Style14"/>
                <w:rFonts w:eastAsia="Calibri"/>
                <w:iCs/>
                <w:vanish w:val="false"/>
              </w:rPr>
              <w:t>1.4.</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Существующее положение</w:t>
            </w:r>
            <w:r>
              <w:rPr>
                <w:webHidden/>
              </w:rPr>
              <w:fldChar w:fldCharType="begin"/>
            </w:r>
            <w:r>
              <w:rPr>
                <w:webHidden/>
              </w:rPr>
              <w:instrText xml:space="preserve">PAGEREF _Toc130454091 \h</w:instrText>
            </w:r>
            <w:r>
              <w:rPr>
                <w:webHidden/>
              </w:rPr>
              <w:fldChar w:fldCharType="separate"/>
            </w:r>
            <w:r>
              <w:rPr>
                <w:rStyle w:val="Style14"/>
              </w:rPr>
              <w:tab/>
              <w:t>4</w:t>
            </w:r>
            <w:r>
              <w:rPr>
                <w:webHidden/>
              </w:rPr>
              <w:fldChar w:fldCharType="end"/>
            </w:r>
          </w:hyperlink>
        </w:p>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2">
            <w:r>
              <w:rPr>
                <w:webHidden/>
                <w:rStyle w:val="Style14"/>
                <w:rFonts w:eastAsia="Calibri"/>
                <w:vanish w:val="false"/>
              </w:rPr>
              <w:t>2.</w:t>
            </w:r>
            <w:r>
              <w:rPr>
                <w:rStyle w:val="Style14"/>
                <w:rFonts w:eastAsia="" w:cs="" w:ascii="Calibri" w:hAnsi="Calibri" w:asciiTheme="minorHAnsi" w:cstheme="minorBidi" w:eastAsiaTheme="minorEastAsia" w:hAnsiTheme="minorHAnsi"/>
                <w:b w:val="false"/>
                <w:bCs w:val="false"/>
                <w:color w:val="auto"/>
                <w:sz w:val="22"/>
                <w:szCs w:val="22"/>
              </w:rPr>
              <w:tab/>
            </w:r>
            <w:r>
              <w:rPr>
                <w:rStyle w:val="Style14"/>
                <w:rFonts w:eastAsia="Calibri"/>
                <w:iCs/>
              </w:rPr>
              <w:t>Требования к услугам</w:t>
            </w:r>
            <w:r>
              <w:rPr>
                <w:webHidden/>
              </w:rPr>
              <w:fldChar w:fldCharType="begin"/>
            </w:r>
            <w:r>
              <w:rPr>
                <w:webHidden/>
              </w:rPr>
              <w:instrText xml:space="preserve">PAGEREF _Toc130454092 \h</w:instrText>
            </w:r>
            <w:r>
              <w:rPr>
                <w:webHidden/>
              </w:rPr>
              <w:fldChar w:fldCharType="separate"/>
            </w:r>
            <w:r>
              <w:rPr>
                <w:rStyle w:val="Style14"/>
              </w:rPr>
              <w:tab/>
              <w:t>4</w:t>
            </w:r>
            <w:r>
              <w:rPr>
                <w:webHidden/>
              </w:rPr>
              <w:fldChar w:fldCharType="end"/>
            </w:r>
          </w:hyperlink>
        </w:p>
        <w:p>
          <w:pPr>
            <w:pStyle w:val="TOC4"/>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3">
            <w:r>
              <w:rPr>
                <w:webHidden/>
                <w:rStyle w:val="Style14"/>
                <w:rFonts w:eastAsia="Calibri"/>
                <w:iCs/>
                <w:vanish w:val="false"/>
              </w:rPr>
              <w:t>2.1.</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 xml:space="preserve">Требования к объемам и срокам </w:t>
            </w:r>
            <w:r>
              <w:rPr>
                <w:webHidden/>
              </w:rPr>
              <w:fldChar w:fldCharType="begin"/>
            </w:r>
            <w:r>
              <w:rPr>
                <w:webHidden/>
              </w:rPr>
              <w:instrText xml:space="preserve">PAGEREF _Toc130454093 \h</w:instrText>
            </w:r>
            <w:r>
              <w:rPr>
                <w:webHidden/>
              </w:rPr>
              <w:fldChar w:fldCharType="separate"/>
            </w:r>
            <w:r>
              <w:rPr>
                <w:rStyle w:val="Style14"/>
              </w:rPr>
              <w:tab/>
              <w:t>4</w:t>
            </w:r>
            <w:r>
              <w:rPr>
                <w:webHidden/>
              </w:rPr>
              <w:fldChar w:fldCharType="end"/>
            </w:r>
          </w:hyperlink>
        </w:p>
        <w:p>
          <w:pPr>
            <w:pStyle w:val="TOC3"/>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4">
            <w:r>
              <w:rPr>
                <w:webHidden/>
                <w:rStyle w:val="Style14"/>
                <w:rFonts w:eastAsia="Calibri"/>
                <w:vanish w:val="false"/>
              </w:rPr>
              <w:t>2.1.1.</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Перечень и объем закупаемых услуг</w:t>
            </w:r>
            <w:r>
              <w:rPr>
                <w:webHidden/>
              </w:rPr>
              <w:fldChar w:fldCharType="begin"/>
            </w:r>
            <w:r>
              <w:rPr>
                <w:webHidden/>
              </w:rPr>
              <w:instrText xml:space="preserve">PAGEREF _Toc130454094 \h</w:instrText>
            </w:r>
            <w:r>
              <w:rPr>
                <w:webHidden/>
              </w:rPr>
              <w:fldChar w:fldCharType="separate"/>
            </w:r>
            <w:r>
              <w:rPr>
                <w:rStyle w:val="Style14"/>
              </w:rPr>
              <w:tab/>
              <w:t>4</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5">
            <w:r>
              <w:rPr>
                <w:webHidden/>
                <w:rStyle w:val="Style14"/>
                <w:rFonts w:eastAsia="Calibri"/>
                <w:vanish w:val="false"/>
              </w:rPr>
              <w:t>Таблица 1.1 Перечень и объем закупаемых услуг</w:t>
            </w:r>
            <w:r>
              <w:rPr>
                <w:webHidden/>
              </w:rPr>
              <w:fldChar w:fldCharType="begin"/>
            </w:r>
            <w:r>
              <w:rPr>
                <w:webHidden/>
              </w:rPr>
              <w:instrText xml:space="preserve">PAGEREF _Toc130454095 \h</w:instrText>
            </w:r>
            <w:r>
              <w:rPr>
                <w:webHidden/>
              </w:rPr>
              <w:fldChar w:fldCharType="separate"/>
            </w:r>
            <w:r>
              <w:rPr>
                <w:rStyle w:val="Style14"/>
              </w:rPr>
              <w:tab/>
              <w:t>4</w:t>
            </w:r>
            <w:r>
              <w:rPr>
                <w:webHidden/>
              </w:rPr>
              <w:fldChar w:fldCharType="end"/>
            </w:r>
          </w:hyperlink>
        </w:p>
        <w:p>
          <w:pPr>
            <w:pStyle w:val="TOC3"/>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6">
            <w:r>
              <w:rPr>
                <w:webHidden/>
                <w:rStyle w:val="Style14"/>
                <w:rFonts w:eastAsia="Calibri"/>
                <w:vanish w:val="false"/>
              </w:rPr>
              <w:t>2.1.2.</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Требования к срокам оказания сопутствующих услуг</w:t>
            </w:r>
            <w:r>
              <w:rPr>
                <w:webHidden/>
              </w:rPr>
              <w:fldChar w:fldCharType="begin"/>
            </w:r>
            <w:r>
              <w:rPr>
                <w:webHidden/>
              </w:rPr>
              <w:instrText xml:space="preserve">PAGEREF _Toc130454096 \h</w:instrText>
            </w:r>
            <w:r>
              <w:rPr>
                <w:webHidden/>
              </w:rPr>
              <w:fldChar w:fldCharType="separate"/>
            </w:r>
            <w:r>
              <w:rPr>
                <w:rStyle w:val="Style14"/>
              </w:rPr>
              <w:tab/>
              <w:t>5</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7">
            <w:r>
              <w:rPr>
                <w:webHidden/>
                <w:rStyle w:val="Style14"/>
                <w:rFonts w:eastAsia="Calibri"/>
                <w:vanish w:val="false"/>
              </w:rPr>
              <w:t>Таблица 2.1 Требования по срокам оказания услуг</w:t>
            </w:r>
            <w:r>
              <w:rPr>
                <w:webHidden/>
              </w:rPr>
              <w:fldChar w:fldCharType="begin"/>
            </w:r>
            <w:r>
              <w:rPr>
                <w:webHidden/>
              </w:rPr>
              <w:instrText xml:space="preserve">PAGEREF _Toc130454097 \h</w:instrText>
            </w:r>
            <w:r>
              <w:rPr>
                <w:webHidden/>
              </w:rPr>
              <w:fldChar w:fldCharType="separate"/>
            </w:r>
            <w:r>
              <w:rPr>
                <w:rStyle w:val="Style14"/>
              </w:rPr>
              <w:tab/>
              <w:t>5</w:t>
            </w:r>
            <w:r>
              <w:rPr>
                <w:webHidden/>
              </w:rPr>
              <w:fldChar w:fldCharType="end"/>
            </w:r>
          </w:hyperlink>
        </w:p>
        <w:p>
          <w:pPr>
            <w:pStyle w:val="TOC4"/>
            <w:tabs>
              <w:tab w:val="clear" w:pos="720"/>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8">
            <w:r>
              <w:rPr>
                <w:webHidden/>
                <w:rStyle w:val="Style14"/>
                <w:rFonts w:eastAsia="Calibri"/>
                <w:iCs/>
                <w:vanish w:val="false"/>
              </w:rPr>
              <w:t>2.2.</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 xml:space="preserve">Требования к качеству </w:t>
            </w:r>
            <w:r>
              <w:rPr>
                <w:webHidden/>
              </w:rPr>
              <w:fldChar w:fldCharType="begin"/>
            </w:r>
            <w:r>
              <w:rPr>
                <w:webHidden/>
              </w:rPr>
              <w:instrText xml:space="preserve">PAGEREF _Toc130454098 \h</w:instrText>
            </w:r>
            <w:r>
              <w:rPr>
                <w:webHidden/>
              </w:rPr>
              <w:fldChar w:fldCharType="separate"/>
            </w:r>
            <w:r>
              <w:rPr>
                <w:rStyle w:val="Style14"/>
              </w:rPr>
              <w:tab/>
              <w:t>6</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9">
            <w:r>
              <w:rPr>
                <w:webHidden/>
                <w:rStyle w:val="Style14"/>
                <w:rFonts w:eastAsia="Calibri"/>
                <w:vanish w:val="false"/>
              </w:rPr>
              <w:t>Таблица 3. Требования к услугам</w:t>
            </w:r>
            <w:r>
              <w:rPr>
                <w:webHidden/>
              </w:rPr>
              <w:fldChar w:fldCharType="begin"/>
            </w:r>
            <w:r>
              <w:rPr>
                <w:webHidden/>
              </w:rPr>
              <w:instrText xml:space="preserve">PAGEREF _Toc130454099 \h</w:instrText>
            </w:r>
            <w:r>
              <w:rPr>
                <w:webHidden/>
              </w:rPr>
              <w:fldChar w:fldCharType="separate"/>
            </w:r>
            <w:r>
              <w:rPr>
                <w:rStyle w:val="Style14"/>
              </w:rPr>
              <w:tab/>
              <w:t>6</w:t>
            </w:r>
            <w:r>
              <w:rPr>
                <w:webHidden/>
              </w:rPr>
              <w:fldChar w:fldCharType="end"/>
            </w:r>
          </w:hyperlink>
        </w:p>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100">
            <w:r>
              <w:rPr>
                <w:webHidden/>
                <w:rStyle w:val="Style14"/>
                <w:rFonts w:eastAsia="Calibri"/>
                <w:vanish w:val="false"/>
              </w:rPr>
              <w:t>3.</w:t>
            </w:r>
            <w:r>
              <w:rPr>
                <w:rStyle w:val="Style14"/>
                <w:rFonts w:eastAsia="" w:cs="" w:ascii="Calibri" w:hAnsi="Calibri" w:asciiTheme="minorHAnsi" w:cstheme="minorBidi" w:eastAsiaTheme="minorEastAsia" w:hAnsiTheme="minorHAnsi"/>
                <w:b w:val="false"/>
                <w:bCs w:val="false"/>
                <w:color w:val="auto"/>
                <w:sz w:val="22"/>
                <w:szCs w:val="22"/>
              </w:rPr>
              <w:tab/>
            </w:r>
            <w:r>
              <w:rPr>
                <w:rStyle w:val="Style14"/>
                <w:rFonts w:eastAsia="Calibri"/>
              </w:rPr>
              <w:t>Требования к документации по ценообразованию на этапе закупки</w:t>
            </w:r>
            <w:r>
              <w:rPr>
                <w:webHidden/>
              </w:rPr>
              <w:fldChar w:fldCharType="begin"/>
            </w:r>
            <w:r>
              <w:rPr>
                <w:webHidden/>
              </w:rPr>
              <w:instrText xml:space="preserve">PAGEREF _Toc130454100 \h</w:instrText>
            </w:r>
            <w:r>
              <w:rPr>
                <w:webHidden/>
              </w:rPr>
              <w:fldChar w:fldCharType="separate"/>
            </w:r>
            <w:r>
              <w:rPr>
                <w:rStyle w:val="Style14"/>
              </w:rPr>
              <w:tab/>
              <w:t>11</w:t>
            </w:r>
            <w:r>
              <w:rPr>
                <w:webHidden/>
              </w:rPr>
              <w:fldChar w:fldCharType="end"/>
            </w:r>
          </w:hyperlink>
          <w:r>
            <w:rPr>
              <w:rStyle w:val="Style14"/>
            </w:rPr>
            <w:fldChar w:fldCharType="end"/>
          </w:r>
        </w:p>
      </w:sdtContent>
    </w:sdt>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r>
        <w:rPr>
          <w:rFonts w:eastAsia="" w:cs="" w:cstheme="minorBidi" w:eastAsiaTheme="minorEastAsia" w:ascii="Calibri" w:hAnsi="Calibri"/>
          <w:b w:val="false"/>
          <w:bCs w:val="false"/>
          <w:color w:val="auto"/>
          <w:sz w:val="22"/>
          <w:szCs w:val="22"/>
        </w:rPr>
      </w:r>
    </w:p>
    <w:p>
      <w:pPr>
        <w:pStyle w:val="Heading2"/>
        <w:ind w:hanging="0"/>
        <w:rPr>
          <w:b w:val="false"/>
          <w:i/>
          <w:i/>
        </w:rPr>
      </w:pPr>
      <w:r>
        <w:rPr>
          <w:b w:val="false"/>
          <w:i/>
        </w:rPr>
      </w:r>
      <w:r>
        <w:br w:type="page"/>
      </w:r>
    </w:p>
    <w:p>
      <w:pPr>
        <w:pStyle w:val="Heading1"/>
        <w:keepLines/>
        <w:numPr>
          <w:ilvl w:val="0"/>
          <w:numId w:val="1"/>
        </w:numPr>
        <w:ind w:hanging="357" w:left="357"/>
        <w:jc w:val="center"/>
        <w:rPr>
          <w:caps/>
          <w:lang w:val="ru-RU"/>
        </w:rPr>
      </w:pPr>
      <w:bookmarkStart w:id="0" w:name="_Toc51339692"/>
      <w:bookmarkEnd w:id="0"/>
      <w:r>
        <w:rPr>
          <w:lang w:val="ru-RU"/>
        </w:rPr>
        <w:t>О</w:t>
      </w:r>
      <w:bookmarkStart w:id="1" w:name="_Toc130454087"/>
      <w:r>
        <w:rPr>
          <w:lang w:val="ru-RU"/>
        </w:rPr>
        <w:t>бщие сведения</w:t>
      </w:r>
      <w:bookmarkEnd w:id="1"/>
    </w:p>
    <w:p>
      <w:pPr>
        <w:pStyle w:val="Heading4"/>
        <w:numPr>
          <w:ilvl w:val="1"/>
          <w:numId w:val="1"/>
        </w:numPr>
        <w:rPr/>
      </w:pPr>
      <w:bookmarkStart w:id="2" w:name="_Toc130454088"/>
      <w:bookmarkStart w:id="3" w:name="_Toc46743505"/>
      <w:bookmarkEnd w:id="3"/>
      <w:r>
        <w:rPr/>
        <w:t>Обозначения и сокращения</w:t>
      </w:r>
      <w:bookmarkEnd w:id="2"/>
    </w:p>
    <w:p>
      <w:pPr>
        <w:pStyle w:val="Normal"/>
        <w:rPr>
          <w:rStyle w:val="Style8"/>
          <w:bCs/>
          <w:sz w:val="24"/>
          <w:szCs w:val="24"/>
        </w:rPr>
      </w:pPr>
      <w:r>
        <w:rPr>
          <w:bCs/>
          <w:sz w:val="24"/>
          <w:szCs w:val="24"/>
        </w:rPr>
      </w:r>
    </w:p>
    <w:tbl>
      <w:tblPr>
        <w:tblW w:w="9783" w:type="dxa"/>
        <w:jc w:val="center"/>
        <w:tblInd w:w="0" w:type="dxa"/>
        <w:tblLayout w:type="fixed"/>
        <w:tblCellMar>
          <w:top w:w="0" w:type="dxa"/>
          <w:left w:w="83"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jc w:val="both"/>
              <w:rPr/>
            </w:pPr>
            <w:r>
              <w:rPr>
                <w:rStyle w:val="Style8"/>
                <w:i w:val="false"/>
                <w:sz w:val="24"/>
                <w:szCs w:val="24"/>
                <w:shd w:fill="FFFFFF" w:val="clear"/>
                <w:lang w:val="en-US"/>
              </w:rPr>
              <w:t>ТГ</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jc w:val="both"/>
              <w:rPr>
                <w:sz w:val="24"/>
                <w:szCs w:val="24"/>
              </w:rPr>
            </w:pPr>
            <w:r>
              <w:rPr>
                <w:bCs/>
                <w:iCs/>
                <w:sz w:val="24"/>
                <w:szCs w:val="24"/>
                <w:lang w:val="en-US"/>
              </w:rPr>
              <w:t>Трансформаторная группа</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jc w:val="both"/>
              <w:rPr/>
            </w:pPr>
            <w:r>
              <w:rPr>
                <w:rStyle w:val="Style8"/>
                <w:i w:val="false"/>
                <w:sz w:val="24"/>
                <w:szCs w:val="24"/>
                <w:shd w:fill="FFFFFF" w:val="clear"/>
                <w:lang w:val="en-US"/>
              </w:rPr>
              <w:t>ГЭС</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jc w:val="both"/>
              <w:rPr>
                <w:sz w:val="24"/>
                <w:szCs w:val="24"/>
              </w:rPr>
            </w:pPr>
            <w:r>
              <w:rPr>
                <w:bCs/>
                <w:iCs/>
                <w:sz w:val="24"/>
                <w:szCs w:val="24"/>
                <w:lang w:val="en-US"/>
              </w:rPr>
              <w:t>Гидроэлектростанция</w:t>
            </w:r>
          </w:p>
        </w:tc>
      </w:tr>
      <w:tr>
        <w:trPr>
          <w:cantSplit w:val="true"/>
        </w:trPr>
        <w:tc>
          <w:tcPr>
            <w:tcW w:w="1785"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sz w:val="24"/>
                <w:szCs w:val="24"/>
                <w:lang w:val="en-US"/>
              </w:rPr>
              <w:t>ТТ</w:t>
            </w:r>
          </w:p>
        </w:tc>
        <w:tc>
          <w:tcPr>
            <w:tcW w:w="7997"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color w:val="000000"/>
                <w:sz w:val="24"/>
                <w:szCs w:val="24"/>
                <w:lang w:val="en-US"/>
              </w:rPr>
              <w:t>Технические требования</w:t>
            </w:r>
          </w:p>
        </w:tc>
      </w:tr>
      <w:tr>
        <w:trPr>
          <w:cantSplit w:val="true"/>
        </w:trPr>
        <w:tc>
          <w:tcPr>
            <w:tcW w:w="1785"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sz w:val="24"/>
                <w:szCs w:val="24"/>
                <w:lang w:val="en-US"/>
              </w:rPr>
              <w:t>СТО</w:t>
            </w:r>
          </w:p>
        </w:tc>
        <w:tc>
          <w:tcPr>
            <w:tcW w:w="7997"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sz w:val="24"/>
                <w:szCs w:val="24"/>
                <w:lang w:val="en-US"/>
              </w:rPr>
              <w:t>Стандарт организации</w:t>
            </w:r>
          </w:p>
        </w:tc>
      </w:tr>
      <w:tr>
        <w:trPr>
          <w:cantSplit w:val="true"/>
        </w:trPr>
        <w:tc>
          <w:tcPr>
            <w:tcW w:w="1785"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sz w:val="24"/>
                <w:szCs w:val="24"/>
                <w:lang w:val="en-US"/>
              </w:rPr>
              <w:t>НТД</w:t>
            </w:r>
          </w:p>
        </w:tc>
        <w:tc>
          <w:tcPr>
            <w:tcW w:w="7997"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sz w:val="24"/>
                <w:szCs w:val="24"/>
                <w:lang w:val="en-US"/>
              </w:rPr>
              <w:t>Нормативно-технические документы</w:t>
            </w:r>
          </w:p>
        </w:tc>
      </w:tr>
      <w:tr>
        <w:trPr>
          <w:cantSplit w:val="true"/>
        </w:trPr>
        <w:tc>
          <w:tcPr>
            <w:tcW w:w="1785"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sz w:val="24"/>
                <w:szCs w:val="24"/>
              </w:rPr>
              <w:t>РД</w:t>
            </w:r>
          </w:p>
        </w:tc>
        <w:tc>
          <w:tcPr>
            <w:tcW w:w="7997" w:type="dxa"/>
            <w:tcBorders>
              <w:left w:val="single" w:sz="4" w:space="0" w:color="00000A"/>
              <w:bottom w:val="single" w:sz="4" w:space="0" w:color="00000A"/>
              <w:right w:val="single" w:sz="4" w:space="0" w:color="00000A"/>
            </w:tcBorders>
            <w:shd w:color="auto" w:fill="auto" w:val="clear"/>
          </w:tcPr>
          <w:p>
            <w:pPr>
              <w:pStyle w:val="Normal"/>
              <w:widowControl w:val="false"/>
              <w:tabs>
                <w:tab w:val="clear" w:pos="720"/>
                <w:tab w:val="left" w:pos="426" w:leader="none"/>
              </w:tabs>
              <w:spacing w:before="120" w:after="120"/>
              <w:rPr>
                <w:sz w:val="24"/>
                <w:szCs w:val="24"/>
              </w:rPr>
            </w:pPr>
            <w:r>
              <w:rPr>
                <w:sz w:val="24"/>
                <w:szCs w:val="24"/>
              </w:rPr>
              <w:t>Рабочая документация</w:t>
            </w:r>
          </w:p>
        </w:tc>
      </w:tr>
    </w:tbl>
    <w:p>
      <w:pPr>
        <w:pStyle w:val="Normal"/>
        <w:keepNext w:val="true"/>
        <w:keepLines/>
        <w:jc w:val="both"/>
        <w:rPr>
          <w:sz w:val="24"/>
          <w:szCs w:val="24"/>
        </w:rPr>
      </w:pPr>
      <w:r>
        <w:rPr>
          <w:sz w:val="24"/>
          <w:szCs w:val="24"/>
        </w:rPr>
      </w:r>
    </w:p>
    <w:p>
      <w:pPr>
        <w:pStyle w:val="Normal"/>
        <w:keepNext w:val="true"/>
        <w:keepLines/>
        <w:rPr>
          <w:sz w:val="24"/>
          <w:szCs w:val="24"/>
        </w:rPr>
      </w:pPr>
      <w:r>
        <w:rPr>
          <w:sz w:val="24"/>
          <w:szCs w:val="24"/>
        </w:rPr>
      </w:r>
    </w:p>
    <w:p>
      <w:pPr>
        <w:pStyle w:val="Normal"/>
        <w:keepNext w:val="true"/>
        <w:keepLines/>
        <w:rPr>
          <w:sz w:val="24"/>
          <w:szCs w:val="24"/>
        </w:rPr>
      </w:pPr>
      <w:r>
        <w:rPr>
          <w:sz w:val="24"/>
          <w:szCs w:val="24"/>
        </w:rPr>
      </w:r>
      <w:r>
        <w:br w:type="page"/>
      </w:r>
    </w:p>
    <w:p>
      <w:pPr>
        <w:pStyle w:val="Heading4"/>
        <w:numPr>
          <w:ilvl w:val="1"/>
          <w:numId w:val="4"/>
        </w:numPr>
        <w:rPr/>
      </w:pPr>
      <w:bookmarkStart w:id="4" w:name="_Toc130454089"/>
      <w:bookmarkStart w:id="5" w:name="_Toc46743506"/>
      <w:bookmarkEnd w:id="5"/>
      <w:r>
        <w:rPr/>
        <w:t>Наименование закупаем</w:t>
      </w:r>
      <w:bookmarkEnd w:id="4"/>
      <w:r>
        <w:rPr/>
        <w:t>ых услуг</w:t>
      </w:r>
    </w:p>
    <w:p>
      <w:pPr>
        <w:pStyle w:val="Normal"/>
        <w:widowControl w:val="false"/>
        <w:tabs>
          <w:tab w:val="clear" w:pos="720"/>
          <w:tab w:val="left" w:pos="426" w:leader="none"/>
        </w:tabs>
        <w:spacing w:before="120" w:after="120"/>
        <w:rPr>
          <w:rFonts w:eastAsia="Calibri"/>
          <w:sz w:val="26"/>
          <w:szCs w:val="26"/>
          <w:lang w:eastAsia="x-none"/>
        </w:rPr>
      </w:pPr>
      <w:r>
        <w:rPr>
          <w:rFonts w:eastAsia="Calibri"/>
          <w:sz w:val="26"/>
          <w:szCs w:val="26"/>
          <w:lang w:eastAsia="x-none"/>
        </w:rPr>
        <w:t xml:space="preserve"> </w:t>
      </w:r>
      <w:r>
        <w:rPr>
          <w:rFonts w:eastAsia="Calibri"/>
          <w:sz w:val="26"/>
          <w:szCs w:val="26"/>
          <w:lang w:eastAsia="x-none"/>
        </w:rPr>
        <w:t>«ОКПД2 41.20.40 Оказание услуг по устройству защитных укрытий Филиала ПАО «РусГидро» – «Жигулевская ГЭС»</w:t>
      </w:r>
    </w:p>
    <w:p>
      <w:pPr>
        <w:pStyle w:val="Heading4"/>
        <w:numPr>
          <w:ilvl w:val="1"/>
          <w:numId w:val="4"/>
        </w:numPr>
        <w:spacing w:before="240" w:after="60"/>
        <w:ind w:hanging="431" w:left="431"/>
        <w:rPr/>
      </w:pPr>
      <w:bookmarkStart w:id="6" w:name="_Toc130454090"/>
      <w:bookmarkStart w:id="7" w:name="_Toc46743507"/>
      <w:r>
        <w:rPr/>
        <w:t xml:space="preserve">Цель </w:t>
      </w:r>
      <w:bookmarkEnd w:id="7"/>
      <w:r>
        <w:rPr>
          <w:lang w:val="ru-RU"/>
        </w:rPr>
        <w:t>использования закупаем</w:t>
      </w:r>
      <w:bookmarkEnd w:id="6"/>
      <w:r>
        <w:rPr>
          <w:lang w:val="ru-RU"/>
        </w:rPr>
        <w:t>ых услуг</w:t>
      </w:r>
    </w:p>
    <w:p>
      <w:pPr>
        <w:pStyle w:val="Normal"/>
        <w:widowControl w:val="false"/>
        <w:tabs>
          <w:tab w:val="clear" w:pos="720"/>
          <w:tab w:val="left" w:pos="426" w:leader="none"/>
        </w:tabs>
        <w:spacing w:before="119" w:after="238"/>
        <w:contextualSpacing/>
        <w:jc w:val="both"/>
        <w:rPr/>
      </w:pPr>
      <w:r>
        <w:rPr>
          <w:sz w:val="24"/>
          <w:szCs w:val="24"/>
        </w:rPr>
        <w:t>Услуги предназначены для:</w:t>
      </w:r>
    </w:p>
    <w:p>
      <w:pPr>
        <w:pStyle w:val="Normal"/>
        <w:widowControl w:val="false"/>
        <w:tabs>
          <w:tab w:val="clear" w:pos="720"/>
          <w:tab w:val="left" w:pos="426" w:leader="none"/>
        </w:tabs>
        <w:spacing w:before="119" w:after="238"/>
        <w:contextualSpacing/>
        <w:jc w:val="both"/>
        <w:rPr/>
      </w:pPr>
      <w:r>
        <w:rPr/>
        <w:t xml:space="preserve">- </w:t>
      </w:r>
      <w:r>
        <w:rPr>
          <w:sz w:val="24"/>
          <w:szCs w:val="24"/>
        </w:rPr>
        <w:t xml:space="preserve">Для защиты личного состава МОГ при выполнении задач по </w:t>
      </w:r>
      <w:r>
        <w:rPr>
          <w:sz w:val="24"/>
          <w:szCs w:val="24"/>
          <w:shd w:fill="FFFFFF" w:val="clear"/>
        </w:rPr>
        <w:t>защите от БПЛА критически важных объектов филиала ПАО «РусГидро» - «Жигулевская ГЭС»</w:t>
      </w:r>
    </w:p>
    <w:p>
      <w:pPr>
        <w:pStyle w:val="Heading4"/>
        <w:numPr>
          <w:ilvl w:val="1"/>
          <w:numId w:val="4"/>
        </w:numPr>
        <w:rPr/>
      </w:pPr>
      <w:bookmarkStart w:id="8" w:name="_Toc130454091"/>
      <w:bookmarkStart w:id="9" w:name="_Toc46743508"/>
      <w:r>
        <w:rPr/>
        <w:t>Существующее положение</w:t>
      </w:r>
      <w:bookmarkEnd w:id="8"/>
      <w:bookmarkEnd w:id="9"/>
      <w:r>
        <w:rPr>
          <w:lang w:val="ru-RU"/>
        </w:rPr>
        <w:t xml:space="preserve"> </w:t>
      </w:r>
    </w:p>
    <w:p>
      <w:pPr>
        <w:pStyle w:val="Normal"/>
        <w:widowControl w:val="false"/>
        <w:tabs>
          <w:tab w:val="clear" w:pos="720"/>
          <w:tab w:val="left" w:pos="426" w:leader="none"/>
        </w:tabs>
        <w:spacing w:before="120" w:after="240"/>
        <w:jc w:val="both"/>
        <w:rPr>
          <w:sz w:val="24"/>
          <w:szCs w:val="24"/>
        </w:rPr>
      </w:pPr>
      <w:r>
        <w:rPr>
          <w:sz w:val="24"/>
          <w:szCs w:val="24"/>
        </w:rPr>
        <w:t>Жигулёвская ГЭС расположена по адресу: Российская Федерация, 445350, Самарская область, город Жигулевск, Московское шоссе, дом 2.На гидротехнических сооружениях Жигулевской ГЭС определены огневые позиции МОГ для отражения БПЛА. На позициях необходимо выполнить устройство защитных укрытий для личного состава МОГ.</w:t>
      </w:r>
    </w:p>
    <w:p>
      <w:pPr>
        <w:pStyle w:val="Normal"/>
        <w:widowControl w:val="false"/>
        <w:tabs>
          <w:tab w:val="clear" w:pos="720"/>
          <w:tab w:val="left" w:pos="426" w:leader="none"/>
        </w:tabs>
        <w:spacing w:before="120" w:after="240"/>
        <w:jc w:val="both"/>
        <w:rPr>
          <w:b/>
          <w:bCs/>
        </w:rPr>
      </w:pPr>
      <w:r>
        <w:rPr>
          <w:b/>
          <w:bCs/>
        </w:rPr>
      </w:r>
    </w:p>
    <w:p>
      <w:pPr>
        <w:pStyle w:val="Heading3"/>
        <w:tabs>
          <w:tab w:val="clear" w:pos="0"/>
        </w:tabs>
        <w:ind w:hanging="0"/>
        <w:rPr>
          <w:lang w:val="ru-RU"/>
        </w:rPr>
      </w:pPr>
      <w:r>
        <w:rPr>
          <w:lang w:val="ru-RU"/>
        </w:rPr>
        <w:t>1.</w:t>
      </w:r>
      <w:r>
        <w:rPr>
          <w:lang w:val="en-US"/>
        </w:rPr>
        <w:t>4</w:t>
      </w:r>
      <w:r>
        <w:rPr>
          <w:lang w:val="ru-RU"/>
        </w:rPr>
        <w:t xml:space="preserve">. </w:t>
      </w:r>
      <w:bookmarkStart w:id="10" w:name="_Toc142049929"/>
      <w:r>
        <w:rPr>
          <w:lang w:val="ru-RU"/>
        </w:rPr>
        <w:t xml:space="preserve">Основание на </w:t>
      </w:r>
      <w:bookmarkEnd w:id="10"/>
      <w:r>
        <w:rPr>
          <w:lang w:val="ru-RU"/>
        </w:rPr>
        <w:t>оказание услуг</w:t>
      </w:r>
    </w:p>
    <w:p>
      <w:pPr>
        <w:pStyle w:val="Normal"/>
        <w:jc w:val="both"/>
        <w:rPr>
          <w:sz w:val="24"/>
          <w:szCs w:val="24"/>
        </w:rPr>
      </w:pPr>
      <w:r>
        <w:rPr>
          <w:sz w:val="24"/>
          <w:szCs w:val="24"/>
        </w:rPr>
        <w:t>Приказ Министра Энергетики и ЖКК Самарской области В.В. Брижань № МЭЖКХ/223 от 21.10.2026 «О выполнении мероприятий по устройству защитных сооружений для резервистов МОГ на огневых позициях.»</w:t>
      </w:r>
    </w:p>
    <w:p>
      <w:pPr>
        <w:pStyle w:val="ListParagraph"/>
        <w:rPr>
          <w:lang w:eastAsia="x-none"/>
        </w:rPr>
      </w:pPr>
      <w:r>
        <w:rPr>
          <w:lang w:eastAsia="x-none"/>
        </w:rPr>
      </w:r>
    </w:p>
    <w:p>
      <w:pPr>
        <w:pStyle w:val="Heading3"/>
        <w:tabs>
          <w:tab w:val="clear" w:pos="0"/>
        </w:tabs>
        <w:ind w:hanging="0"/>
        <w:rPr>
          <w:lang w:val="ru-RU"/>
        </w:rPr>
      </w:pPr>
      <w:r>
        <w:rPr/>
        <w:t xml:space="preserve">1.5.  </w:t>
      </w:r>
      <w:bookmarkStart w:id="11" w:name="_Toc142049930"/>
      <w:r>
        <w:rPr/>
        <w:t xml:space="preserve">Местонахождение </w:t>
      </w:r>
      <w:bookmarkEnd w:id="11"/>
      <w:r>
        <w:rPr/>
        <w:t>объекта</w:t>
      </w:r>
    </w:p>
    <w:p>
      <w:pPr>
        <w:pStyle w:val="Normal"/>
        <w:rPr>
          <w:sz w:val="24"/>
          <w:szCs w:val="24"/>
        </w:rPr>
      </w:pPr>
      <w:r>
        <w:rPr>
          <w:sz w:val="24"/>
          <w:szCs w:val="24"/>
        </w:rPr>
        <w:t>Самарская область, г. Жигулевск, Московское шоссе, д.2.</w:t>
      </w:r>
    </w:p>
    <w:p>
      <w:pPr>
        <w:pStyle w:val="Normal"/>
        <w:rPr>
          <w:sz w:val="24"/>
          <w:szCs w:val="24"/>
        </w:rPr>
      </w:pPr>
      <w:r>
        <w:rPr>
          <w:sz w:val="24"/>
          <w:szCs w:val="24"/>
          <w:lang w:eastAsia="x-none"/>
        </w:rPr>
        <w:t>Место производства работ: Филиал ПАО «РусГидро» - «Жигулевская ГЭС»</w:t>
      </w:r>
    </w:p>
    <w:p>
      <w:pPr>
        <w:pStyle w:val="ListParagraph"/>
        <w:widowControl w:val="false"/>
        <w:tabs>
          <w:tab w:val="clear" w:pos="720"/>
          <w:tab w:val="left" w:pos="426" w:leader="none"/>
        </w:tabs>
        <w:spacing w:before="120" w:after="240"/>
        <w:ind w:hanging="0" w:left="0"/>
        <w:contextualSpacing/>
        <w:jc w:val="both"/>
        <w:rPr>
          <w:b/>
        </w:rPr>
      </w:pPr>
      <w:r>
        <w:rPr>
          <w:b/>
        </w:rPr>
        <w:t>1.6. Иные требования и сведения общего характера</w:t>
      </w:r>
    </w:p>
    <w:p>
      <w:pPr>
        <w:pStyle w:val="Normal"/>
        <w:widowControl w:val="false"/>
        <w:tabs>
          <w:tab w:val="clear" w:pos="720"/>
          <w:tab w:val="left" w:pos="426" w:leader="none"/>
        </w:tabs>
        <w:spacing w:before="120" w:after="240"/>
        <w:jc w:val="both"/>
        <w:rPr>
          <w:sz w:val="24"/>
          <w:szCs w:val="24"/>
        </w:rPr>
      </w:pPr>
      <w:r>
        <w:rPr>
          <w:sz w:val="24"/>
          <w:szCs w:val="24"/>
        </w:rPr>
        <w:t>Требования к участникам закупки: отсутствие в реестре недобросовестных поставщиков ФАС.</w:t>
      </w:r>
    </w:p>
    <w:p>
      <w:pPr>
        <w:pStyle w:val="Normal"/>
        <w:widowControl w:val="false"/>
        <w:tabs>
          <w:tab w:val="clear" w:pos="720"/>
          <w:tab w:val="left" w:pos="426" w:leader="none"/>
        </w:tabs>
        <w:spacing w:before="120" w:after="240"/>
        <w:jc w:val="both"/>
        <w:rPr>
          <w:b/>
          <w:bCs/>
          <w:sz w:val="24"/>
          <w:szCs w:val="24"/>
        </w:rPr>
      </w:pPr>
      <w:r>
        <w:rPr>
          <w:b/>
          <w:bCs/>
          <w:sz w:val="24"/>
          <w:szCs w:val="24"/>
        </w:rPr>
        <w:t>Таблица 2. Перечень объектов заказчика</w:t>
      </w:r>
    </w:p>
    <w:tbl>
      <w:tblPr>
        <w:tblW w:w="9967" w:type="dxa"/>
        <w:jc w:val="left"/>
        <w:tblInd w:w="-48" w:type="dxa"/>
        <w:tblLayout w:type="fixed"/>
        <w:tblCellMar>
          <w:top w:w="0" w:type="dxa"/>
          <w:left w:w="108" w:type="dxa"/>
          <w:bottom w:w="0" w:type="dxa"/>
          <w:right w:w="108" w:type="dxa"/>
        </w:tblCellMar>
        <w:tblLook w:val="0000" w:noHBand="0" w:noVBand="0" w:firstColumn="0" w:lastRow="0" w:lastColumn="0" w:firstRow="0"/>
      </w:tblPr>
      <w:tblGrid>
        <w:gridCol w:w="656"/>
        <w:gridCol w:w="1714"/>
        <w:gridCol w:w="2889"/>
        <w:gridCol w:w="2325"/>
        <w:gridCol w:w="2383"/>
      </w:tblGrid>
      <w:tr>
        <w:trPr/>
        <w:tc>
          <w:tcPr>
            <w:tcW w:w="65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w:t>
            </w:r>
          </w:p>
          <w:p>
            <w:pPr>
              <w:pStyle w:val="Normal"/>
              <w:widowControl w:val="false"/>
              <w:rPr>
                <w:sz w:val="22"/>
                <w:szCs w:val="22"/>
              </w:rPr>
            </w:pPr>
            <w:r>
              <w:rPr>
                <w:sz w:val="22"/>
                <w:szCs w:val="22"/>
              </w:rPr>
              <w:t>п/п</w:t>
            </w:r>
          </w:p>
        </w:tc>
        <w:tc>
          <w:tcPr>
            <w:tcW w:w="17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Наименование объекта</w:t>
            </w:r>
          </w:p>
          <w:p>
            <w:pPr>
              <w:pStyle w:val="Normal"/>
              <w:widowControl w:val="false"/>
              <w:jc w:val="center"/>
              <w:rPr>
                <w:sz w:val="22"/>
                <w:szCs w:val="22"/>
              </w:rPr>
            </w:pPr>
            <w:r>
              <w:rPr>
                <w:sz w:val="22"/>
                <w:szCs w:val="22"/>
              </w:rPr>
            </w:r>
          </w:p>
        </w:tc>
        <w:tc>
          <w:tcPr>
            <w:tcW w:w="28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 xml:space="preserve">Расположение объекта </w:t>
              <w:br/>
              <w:t xml:space="preserve">(место оказания услуг) </w:t>
            </w:r>
          </w:p>
        </w:tc>
        <w:tc>
          <w:tcPr>
            <w:tcW w:w="2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 xml:space="preserve">Наименование основного средства </w:t>
              <w:br/>
              <w:t>(в отношении которого оказываются услуги)</w:t>
            </w:r>
          </w:p>
        </w:tc>
        <w:tc>
          <w:tcPr>
            <w:tcW w:w="23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Примечания</w:t>
            </w:r>
          </w:p>
        </w:tc>
      </w:tr>
      <w:tr>
        <w:trPr/>
        <w:tc>
          <w:tcPr>
            <w:tcW w:w="6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1</w:t>
            </w:r>
          </w:p>
        </w:tc>
        <w:tc>
          <w:tcPr>
            <w:tcW w:w="17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2</w:t>
            </w:r>
          </w:p>
        </w:tc>
        <w:tc>
          <w:tcPr>
            <w:tcW w:w="28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3</w:t>
            </w:r>
          </w:p>
        </w:tc>
        <w:tc>
          <w:tcPr>
            <w:tcW w:w="2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4</w:t>
            </w:r>
          </w:p>
        </w:tc>
        <w:tc>
          <w:tcPr>
            <w:tcW w:w="23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5</w:t>
            </w:r>
          </w:p>
        </w:tc>
      </w:tr>
      <w:tr>
        <w:trPr/>
        <w:tc>
          <w:tcPr>
            <w:tcW w:w="656" w:type="dxa"/>
            <w:tcBorders>
              <w:left w:val="single" w:sz="4" w:space="0" w:color="000000"/>
              <w:bottom w:val="single" w:sz="4" w:space="0" w:color="000000"/>
              <w:right w:val="single" w:sz="4" w:space="0" w:color="000000"/>
            </w:tcBorders>
          </w:tcPr>
          <w:p>
            <w:pPr>
              <w:pStyle w:val="Normal"/>
              <w:widowControl w:val="false"/>
              <w:jc w:val="center"/>
              <w:rPr>
                <w:i/>
                <w:i/>
                <w:sz w:val="22"/>
                <w:szCs w:val="22"/>
              </w:rPr>
            </w:pPr>
            <w:r>
              <w:rPr>
                <w:i/>
                <w:sz w:val="22"/>
                <w:szCs w:val="22"/>
              </w:rPr>
              <w:t>1.</w:t>
            </w:r>
          </w:p>
        </w:tc>
        <w:tc>
          <w:tcPr>
            <w:tcW w:w="1714"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20"/>
                <w:tab w:val="left" w:pos="426" w:leader="none"/>
              </w:tabs>
              <w:spacing w:before="120" w:after="120"/>
              <w:rPr>
                <w:rFonts w:eastAsia="Calibri"/>
                <w:i/>
                <w:i/>
                <w:sz w:val="22"/>
                <w:szCs w:val="22"/>
                <w:lang w:eastAsia="x-none"/>
              </w:rPr>
            </w:pPr>
            <w:r>
              <w:rPr>
                <w:rFonts w:eastAsia="Calibri"/>
                <w:i/>
                <w:sz w:val="22"/>
                <w:szCs w:val="22"/>
                <w:lang w:eastAsia="x-none"/>
              </w:rPr>
              <w:t>Оказание услуг по устройству защитных укрытий на Дамбе №49 нижний бьеф Филиала ПАО «РусГидро» – «Жигулевская ГЭС»</w:t>
            </w:r>
          </w:p>
        </w:tc>
        <w:tc>
          <w:tcPr>
            <w:tcW w:w="2889" w:type="dxa"/>
            <w:tcBorders>
              <w:left w:val="single" w:sz="4" w:space="0" w:color="000000"/>
              <w:bottom w:val="single" w:sz="4" w:space="0" w:color="000000"/>
              <w:right w:val="single" w:sz="4" w:space="0" w:color="000000"/>
            </w:tcBorders>
            <w:shd w:color="auto" w:fill="auto" w:val="clear"/>
          </w:tcPr>
          <w:p>
            <w:pPr>
              <w:pStyle w:val="Normal"/>
              <w:widowControl w:val="false"/>
              <w:jc w:val="center"/>
              <w:rPr>
                <w:i/>
                <w:i/>
                <w:iCs/>
                <w:sz w:val="22"/>
                <w:szCs w:val="22"/>
              </w:rPr>
            </w:pPr>
            <w:r>
              <w:rPr>
                <w:i/>
                <w:iCs/>
                <w:sz w:val="22"/>
                <w:szCs w:val="22"/>
              </w:rPr>
            </w:r>
          </w:p>
          <w:p>
            <w:pPr>
              <w:pStyle w:val="Normal"/>
              <w:widowControl w:val="false"/>
              <w:jc w:val="center"/>
              <w:rPr>
                <w:i/>
                <w:i/>
                <w:iCs/>
                <w:sz w:val="22"/>
                <w:szCs w:val="22"/>
              </w:rPr>
            </w:pPr>
            <w:r>
              <w:rPr>
                <w:i/>
                <w:iCs/>
                <w:sz w:val="22"/>
                <w:szCs w:val="22"/>
              </w:rPr>
            </w:r>
          </w:p>
          <w:p>
            <w:pPr>
              <w:pStyle w:val="Normal"/>
              <w:widowControl w:val="false"/>
              <w:jc w:val="center"/>
              <w:rPr>
                <w:sz w:val="22"/>
                <w:szCs w:val="22"/>
              </w:rPr>
            </w:pPr>
            <w:r>
              <w:rPr>
                <w:i/>
                <w:iCs/>
                <w:sz w:val="22"/>
                <w:szCs w:val="22"/>
              </w:rPr>
              <w:t>Филиал ПАО “РусГидро”-“Жигулевская ГЭС”, Российская Федерация, Самарская обл., г. Жигулевск, Московское шоссе д.2, 445350</w:t>
            </w:r>
          </w:p>
          <w:p>
            <w:pPr>
              <w:pStyle w:val="Normal"/>
              <w:widowControl w:val="false"/>
              <w:jc w:val="center"/>
              <w:rPr>
                <w:sz w:val="22"/>
                <w:szCs w:val="22"/>
              </w:rPr>
            </w:pPr>
            <w:r>
              <w:rPr>
                <w:i/>
                <w:iCs/>
                <w:sz w:val="22"/>
                <w:szCs w:val="22"/>
              </w:rPr>
              <w:t>Дамба №49 нижний бьеф</w:t>
            </w:r>
          </w:p>
        </w:tc>
        <w:tc>
          <w:tcPr>
            <w:tcW w:w="2325" w:type="dxa"/>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sz w:val="22"/>
                <w:szCs w:val="22"/>
              </w:rPr>
            </w:pPr>
            <w:r>
              <w:rPr>
                <w:rFonts w:ascii="Times New Roman" w:hAnsi="Times New Roman"/>
                <w:sz w:val="22"/>
                <w:szCs w:val="22"/>
              </w:rPr>
            </w:r>
          </w:p>
          <w:p>
            <w:pPr>
              <w:pStyle w:val="Style36"/>
              <w:widowControl w:val="false"/>
              <w:jc w:val="center"/>
              <w:rPr>
                <w:rFonts w:ascii="Times New Roman" w:hAnsi="Times New Roman"/>
                <w:sz w:val="22"/>
                <w:szCs w:val="22"/>
              </w:rPr>
            </w:pPr>
            <w:r>
              <w:rPr>
                <w:rFonts w:ascii="Times New Roman" w:hAnsi="Times New Roman"/>
                <w:sz w:val="22"/>
                <w:szCs w:val="22"/>
              </w:rPr>
            </w:r>
          </w:p>
          <w:p>
            <w:pPr>
              <w:pStyle w:val="Style36"/>
              <w:widowControl w:val="false"/>
              <w:jc w:val="center"/>
              <w:rPr>
                <w:rFonts w:ascii="Times New Roman" w:hAnsi="Times New Roman"/>
                <w:sz w:val="22"/>
                <w:szCs w:val="22"/>
              </w:rPr>
            </w:pPr>
            <w:r>
              <w:rPr>
                <w:rFonts w:ascii="Times New Roman" w:hAnsi="Times New Roman"/>
                <w:sz w:val="22"/>
                <w:szCs w:val="22"/>
              </w:rPr>
            </w:r>
          </w:p>
          <w:p>
            <w:pPr>
              <w:pStyle w:val="Style36"/>
              <w:widowControl w:val="false"/>
              <w:jc w:val="center"/>
              <w:rPr>
                <w:rFonts w:ascii="Times New Roman" w:hAnsi="Times New Roman"/>
                <w:sz w:val="22"/>
                <w:szCs w:val="22"/>
              </w:rPr>
            </w:pPr>
            <w:r>
              <w:rPr>
                <w:rFonts w:ascii="Times New Roman" w:hAnsi="Times New Roman"/>
                <w:sz w:val="22"/>
                <w:szCs w:val="22"/>
              </w:rPr>
            </w:r>
          </w:p>
          <w:p>
            <w:pPr>
              <w:pStyle w:val="Normal"/>
              <w:widowControl w:val="false"/>
              <w:jc w:val="center"/>
              <w:rPr>
                <w:i/>
                <w:i/>
                <w:iCs/>
                <w:sz w:val="22"/>
                <w:szCs w:val="22"/>
              </w:rPr>
            </w:pPr>
            <w:r>
              <w:rPr>
                <w:i/>
                <w:iCs/>
                <w:sz w:val="22"/>
                <w:szCs w:val="22"/>
              </w:rPr>
            </w:r>
          </w:p>
          <w:p>
            <w:pPr>
              <w:pStyle w:val="Style36"/>
              <w:widowControl w:val="false"/>
              <w:jc w:val="center"/>
              <w:rPr>
                <w:rFonts w:ascii="Times New Roman" w:hAnsi="Times New Roman"/>
                <w:i/>
                <w:i/>
                <w:iCs/>
                <w:sz w:val="22"/>
                <w:szCs w:val="22"/>
              </w:rPr>
            </w:pPr>
            <w:r>
              <w:rPr>
                <w:rFonts w:ascii="Times New Roman" w:hAnsi="Times New Roman"/>
                <w:i/>
                <w:iCs/>
                <w:sz w:val="22"/>
                <w:szCs w:val="22"/>
              </w:rPr>
              <w:t>20006</w:t>
            </w:r>
          </w:p>
        </w:tc>
        <w:tc>
          <w:tcPr>
            <w:tcW w:w="2383" w:type="dxa"/>
            <w:tcBorders>
              <w:left w:val="single" w:sz="4" w:space="0" w:color="000000"/>
              <w:bottom w:val="single" w:sz="4" w:space="0" w:color="000000"/>
              <w:right w:val="single" w:sz="4" w:space="0" w:color="000000"/>
            </w:tcBorders>
            <w:shd w:color="auto" w:fill="auto" w:val="clear"/>
          </w:tcPr>
          <w:p>
            <w:pPr>
              <w:pStyle w:val="Normal"/>
              <w:widowControl w:val="false"/>
              <w:jc w:val="center"/>
              <w:rPr>
                <w:i/>
                <w:i/>
                <w:iCs/>
                <w:sz w:val="22"/>
                <w:szCs w:val="22"/>
              </w:rPr>
            </w:pPr>
            <w:r>
              <w:rPr>
                <w:i/>
                <w:iCs/>
                <w:sz w:val="22"/>
                <w:szCs w:val="22"/>
              </w:rPr>
            </w:r>
          </w:p>
          <w:p>
            <w:pPr>
              <w:pStyle w:val="Normal"/>
              <w:widowControl w:val="false"/>
              <w:jc w:val="center"/>
              <w:rPr>
                <w:i/>
                <w:i/>
                <w:iCs/>
                <w:sz w:val="22"/>
                <w:szCs w:val="22"/>
              </w:rPr>
            </w:pPr>
            <w:r>
              <w:rPr>
                <w:i/>
                <w:iCs/>
                <w:sz w:val="22"/>
                <w:szCs w:val="22"/>
              </w:rPr>
            </w:r>
          </w:p>
          <w:p>
            <w:pPr>
              <w:pStyle w:val="Normal"/>
              <w:widowControl w:val="false"/>
              <w:jc w:val="center"/>
              <w:rPr>
                <w:sz w:val="22"/>
                <w:szCs w:val="22"/>
              </w:rPr>
            </w:pPr>
            <w:bookmarkStart w:id="12" w:name="_GoBack"/>
            <w:r>
              <w:rPr>
                <w:i/>
                <w:iCs/>
                <w:sz w:val="22"/>
                <w:szCs w:val="22"/>
              </w:rPr>
              <w:t>Эксплуатирующая организация: Филиал ПАО “РусГидро”-“Жигулевская ГЭС”</w:t>
            </w:r>
            <w:bookmarkEnd w:id="12"/>
          </w:p>
        </w:tc>
      </w:tr>
      <w:tr>
        <w:trPr/>
        <w:tc>
          <w:tcPr>
            <w:tcW w:w="656" w:type="dxa"/>
            <w:tcBorders>
              <w:left w:val="single" w:sz="4" w:space="0" w:color="000000"/>
              <w:bottom w:val="single" w:sz="4" w:space="0" w:color="000000"/>
              <w:right w:val="single" w:sz="4" w:space="0" w:color="000000"/>
            </w:tcBorders>
          </w:tcPr>
          <w:p>
            <w:pPr>
              <w:pStyle w:val="Normal"/>
              <w:widowControl w:val="false"/>
              <w:jc w:val="center"/>
              <w:rPr>
                <w:i/>
                <w:i/>
                <w:sz w:val="22"/>
                <w:szCs w:val="22"/>
              </w:rPr>
            </w:pPr>
            <w:r>
              <w:rPr>
                <w:i/>
                <w:sz w:val="22"/>
                <w:szCs w:val="22"/>
              </w:rPr>
              <w:t>2</w:t>
            </w:r>
          </w:p>
        </w:tc>
        <w:tc>
          <w:tcPr>
            <w:tcW w:w="1714"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20"/>
                <w:tab w:val="left" w:pos="426" w:leader="none"/>
              </w:tabs>
              <w:spacing w:before="120" w:after="120"/>
              <w:rPr>
                <w:i/>
                <w:i/>
                <w:iCs/>
                <w:sz w:val="24"/>
                <w:szCs w:val="24"/>
              </w:rPr>
            </w:pPr>
            <w:r>
              <w:rPr>
                <w:i/>
                <w:iCs/>
                <w:sz w:val="24"/>
                <w:szCs w:val="24"/>
              </w:rPr>
              <w:t>Оказание услуг по устройству защитных укрытий на Дамбе №49 верхний бьеф Филиала ПАО «РусГидро» – «Жигулевская ГЭС»</w:t>
            </w:r>
          </w:p>
        </w:tc>
        <w:tc>
          <w:tcPr>
            <w:tcW w:w="2889"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i/>
                <w:iCs/>
                <w:sz w:val="22"/>
                <w:szCs w:val="22"/>
              </w:rPr>
              <w:t>Филиал ПАО “РусГидро”-“Жигулевская ГЭС”, Российская Федерация, Самарская обл., г. Жигулевск, Московское шоссе д.2, 445350</w:t>
            </w:r>
          </w:p>
          <w:p>
            <w:pPr>
              <w:pStyle w:val="Normal"/>
              <w:widowControl w:val="false"/>
              <w:jc w:val="center"/>
              <w:rPr>
                <w:i/>
                <w:i/>
                <w:iCs/>
                <w:sz w:val="24"/>
                <w:szCs w:val="24"/>
              </w:rPr>
            </w:pPr>
            <w:r>
              <w:rPr>
                <w:i/>
                <w:iCs/>
                <w:sz w:val="24"/>
                <w:szCs w:val="24"/>
              </w:rPr>
              <w:t>Дамба №49 верхний бьеф</w:t>
            </w:r>
          </w:p>
        </w:tc>
        <w:tc>
          <w:tcPr>
            <w:tcW w:w="2325" w:type="dxa"/>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i/>
                <w:i/>
                <w:iCs/>
                <w:sz w:val="22"/>
                <w:szCs w:val="22"/>
              </w:rPr>
            </w:pPr>
            <w:r>
              <w:rPr>
                <w:rFonts w:ascii="Times New Roman" w:hAnsi="Times New Roman"/>
                <w:i/>
                <w:iCs/>
                <w:sz w:val="22"/>
                <w:szCs w:val="22"/>
              </w:rPr>
              <w:t>20006</w:t>
            </w:r>
          </w:p>
        </w:tc>
        <w:tc>
          <w:tcPr>
            <w:tcW w:w="2383" w:type="dxa"/>
            <w:tcBorders>
              <w:left w:val="single" w:sz="4" w:space="0" w:color="000000"/>
              <w:bottom w:val="single" w:sz="4" w:space="0" w:color="000000"/>
              <w:right w:val="single" w:sz="4" w:space="0" w:color="000000"/>
            </w:tcBorders>
            <w:shd w:color="auto" w:fill="auto" w:val="clear"/>
          </w:tcPr>
          <w:p>
            <w:pPr>
              <w:pStyle w:val="Normal"/>
              <w:widowControl w:val="false"/>
              <w:jc w:val="center"/>
              <w:rPr>
                <w:i/>
                <w:i/>
                <w:iCs/>
                <w:sz w:val="24"/>
                <w:szCs w:val="24"/>
              </w:rPr>
            </w:pPr>
            <w:bookmarkStart w:id="13" w:name="_GoBack_Копия_1"/>
            <w:r>
              <w:rPr>
                <w:i/>
                <w:iCs/>
                <w:sz w:val="24"/>
                <w:szCs w:val="24"/>
              </w:rPr>
              <w:t>Эксплуатирующая организация: Филиал ПАО “РусГидро”-“Жигулевская ГЭС”</w:t>
            </w:r>
            <w:bookmarkEnd w:id="13"/>
          </w:p>
        </w:tc>
      </w:tr>
      <w:tr>
        <w:trPr/>
        <w:tc>
          <w:tcPr>
            <w:tcW w:w="656" w:type="dxa"/>
            <w:tcBorders>
              <w:left w:val="single" w:sz="4" w:space="0" w:color="000000"/>
              <w:bottom w:val="single" w:sz="4" w:space="0" w:color="000000"/>
              <w:right w:val="single" w:sz="4" w:space="0" w:color="000000"/>
            </w:tcBorders>
          </w:tcPr>
          <w:p>
            <w:pPr>
              <w:pStyle w:val="Normal"/>
              <w:widowControl w:val="false"/>
              <w:jc w:val="center"/>
              <w:rPr>
                <w:i/>
                <w:i/>
                <w:sz w:val="22"/>
                <w:szCs w:val="22"/>
              </w:rPr>
            </w:pPr>
            <w:r>
              <w:rPr>
                <w:i/>
                <w:sz w:val="22"/>
                <w:szCs w:val="22"/>
              </w:rPr>
              <w:t>3</w:t>
            </w:r>
          </w:p>
        </w:tc>
        <w:tc>
          <w:tcPr>
            <w:tcW w:w="1714"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20"/>
                <w:tab w:val="left" w:pos="426" w:leader="none"/>
              </w:tabs>
              <w:spacing w:before="120" w:after="120"/>
              <w:rPr>
                <w:i/>
                <w:i/>
                <w:iCs/>
                <w:sz w:val="24"/>
                <w:szCs w:val="24"/>
              </w:rPr>
            </w:pPr>
            <w:r>
              <w:rPr>
                <w:i/>
                <w:iCs/>
                <w:sz w:val="24"/>
                <w:szCs w:val="24"/>
              </w:rPr>
              <w:t>Оказание услуг по устройству защитных укрытий на земляной плотине Дамбе №50 нижний бьеф Филиала ПАО «РусГидро» – «Жигулевская ГЭС»</w:t>
            </w:r>
          </w:p>
        </w:tc>
        <w:tc>
          <w:tcPr>
            <w:tcW w:w="2889"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i/>
                <w:iCs/>
                <w:sz w:val="22"/>
                <w:szCs w:val="22"/>
              </w:rPr>
              <w:t>Филиал ПАО “РусГидро”-“Жигулевская ГЭС”, Российская Федерация, Самарская обл., г. Жигулевск, Московское шоссе д.2, 445350</w:t>
            </w:r>
          </w:p>
          <w:p>
            <w:pPr>
              <w:pStyle w:val="Normal"/>
              <w:widowControl w:val="false"/>
              <w:jc w:val="center"/>
              <w:rPr>
                <w:i/>
                <w:i/>
                <w:iCs/>
                <w:sz w:val="24"/>
                <w:szCs w:val="24"/>
              </w:rPr>
            </w:pPr>
            <w:r>
              <w:rPr>
                <w:i/>
                <w:iCs/>
                <w:sz w:val="24"/>
                <w:szCs w:val="24"/>
              </w:rPr>
              <w:t>Дамба №50 нижний бьеф</w:t>
            </w:r>
          </w:p>
        </w:tc>
        <w:tc>
          <w:tcPr>
            <w:tcW w:w="2325" w:type="dxa"/>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i/>
                <w:i/>
                <w:iCs/>
                <w:sz w:val="22"/>
                <w:szCs w:val="22"/>
              </w:rPr>
            </w:pPr>
            <w:r>
              <w:rPr>
                <w:rFonts w:ascii="Times New Roman" w:hAnsi="Times New Roman"/>
                <w:i/>
                <w:iCs/>
                <w:sz w:val="22"/>
                <w:szCs w:val="22"/>
              </w:rPr>
              <w:t>20005</w:t>
            </w:r>
          </w:p>
        </w:tc>
        <w:tc>
          <w:tcPr>
            <w:tcW w:w="2383" w:type="dxa"/>
            <w:tcBorders>
              <w:left w:val="single" w:sz="4" w:space="0" w:color="000000"/>
              <w:bottom w:val="single" w:sz="4" w:space="0" w:color="000000"/>
              <w:right w:val="single" w:sz="4" w:space="0" w:color="000000"/>
            </w:tcBorders>
            <w:shd w:color="auto" w:fill="auto" w:val="clear"/>
          </w:tcPr>
          <w:p>
            <w:pPr>
              <w:pStyle w:val="Normal"/>
              <w:widowControl w:val="false"/>
              <w:jc w:val="center"/>
              <w:rPr>
                <w:i/>
                <w:i/>
                <w:iCs/>
                <w:sz w:val="24"/>
                <w:szCs w:val="24"/>
              </w:rPr>
            </w:pPr>
            <w:bookmarkStart w:id="14" w:name="_GoBack_Копия_2"/>
            <w:r>
              <w:rPr>
                <w:i/>
                <w:iCs/>
                <w:sz w:val="24"/>
                <w:szCs w:val="24"/>
              </w:rPr>
              <w:t>Эксплуатирующая организация: Филиал ПАО “РусГидро”-“Жигулевская ГЭС”</w:t>
            </w:r>
            <w:bookmarkEnd w:id="14"/>
          </w:p>
        </w:tc>
      </w:tr>
      <w:tr>
        <w:trPr/>
        <w:tc>
          <w:tcPr>
            <w:tcW w:w="656" w:type="dxa"/>
            <w:tcBorders>
              <w:left w:val="single" w:sz="4" w:space="0" w:color="000000"/>
              <w:bottom w:val="single" w:sz="4" w:space="0" w:color="000000"/>
              <w:right w:val="single" w:sz="4" w:space="0" w:color="000000"/>
            </w:tcBorders>
          </w:tcPr>
          <w:p>
            <w:pPr>
              <w:pStyle w:val="Normal"/>
              <w:widowControl w:val="false"/>
              <w:jc w:val="center"/>
              <w:rPr>
                <w:i/>
                <w:i/>
                <w:sz w:val="22"/>
                <w:szCs w:val="22"/>
              </w:rPr>
            </w:pPr>
            <w:r>
              <w:rPr>
                <w:i/>
                <w:sz w:val="22"/>
                <w:szCs w:val="22"/>
              </w:rPr>
              <w:t>4</w:t>
            </w:r>
          </w:p>
        </w:tc>
        <w:tc>
          <w:tcPr>
            <w:tcW w:w="1714"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20"/>
                <w:tab w:val="left" w:pos="426" w:leader="none"/>
              </w:tabs>
              <w:spacing w:before="120" w:after="120"/>
              <w:rPr>
                <w:i/>
                <w:i/>
                <w:iCs/>
                <w:sz w:val="24"/>
                <w:szCs w:val="24"/>
              </w:rPr>
            </w:pPr>
            <w:r>
              <w:rPr>
                <w:i/>
                <w:iCs/>
                <w:sz w:val="24"/>
                <w:szCs w:val="24"/>
              </w:rPr>
              <w:t>Оказание услуг по устройству защитных укрытий на земляной плотине верхий бьеф Филиала ПАО «РусГидро» – «Жигулевская ГЭС»</w:t>
            </w:r>
          </w:p>
        </w:tc>
        <w:tc>
          <w:tcPr>
            <w:tcW w:w="2889"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i/>
                <w:iCs/>
                <w:sz w:val="22"/>
                <w:szCs w:val="22"/>
              </w:rPr>
              <w:t>Филиал ПАО “РусГидро”-“Жигулевская ГЭС”, Российская Федерация, Самарская обл., г. Жигулевск, Московское шоссе д.2, 445350</w:t>
            </w:r>
          </w:p>
          <w:p>
            <w:pPr>
              <w:pStyle w:val="Normal"/>
              <w:widowControl w:val="false"/>
              <w:jc w:val="center"/>
              <w:rPr>
                <w:i/>
                <w:i/>
                <w:iCs/>
                <w:sz w:val="24"/>
                <w:szCs w:val="24"/>
              </w:rPr>
            </w:pPr>
            <w:r>
              <w:rPr>
                <w:i/>
                <w:iCs/>
                <w:sz w:val="24"/>
                <w:szCs w:val="24"/>
              </w:rPr>
              <w:t>Земляная плотина верхний бьеф</w:t>
            </w:r>
          </w:p>
        </w:tc>
        <w:tc>
          <w:tcPr>
            <w:tcW w:w="2325" w:type="dxa"/>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i/>
                <w:i/>
                <w:iCs/>
                <w:sz w:val="22"/>
                <w:szCs w:val="22"/>
              </w:rPr>
            </w:pPr>
            <w:r>
              <w:rPr>
                <w:rFonts w:ascii="Times New Roman" w:hAnsi="Times New Roman"/>
                <w:i/>
                <w:iCs/>
                <w:sz w:val="22"/>
                <w:szCs w:val="22"/>
              </w:rPr>
              <w:t>20005</w:t>
            </w:r>
          </w:p>
        </w:tc>
        <w:tc>
          <w:tcPr>
            <w:tcW w:w="2383" w:type="dxa"/>
            <w:tcBorders>
              <w:left w:val="single" w:sz="4" w:space="0" w:color="000000"/>
              <w:bottom w:val="single" w:sz="4" w:space="0" w:color="000000"/>
              <w:right w:val="single" w:sz="4" w:space="0" w:color="000000"/>
            </w:tcBorders>
            <w:shd w:color="auto" w:fill="auto" w:val="clear"/>
          </w:tcPr>
          <w:p>
            <w:pPr>
              <w:pStyle w:val="Normal"/>
              <w:widowControl w:val="false"/>
              <w:jc w:val="center"/>
              <w:rPr>
                <w:i/>
                <w:i/>
                <w:iCs/>
                <w:sz w:val="24"/>
                <w:szCs w:val="24"/>
              </w:rPr>
            </w:pPr>
            <w:bookmarkStart w:id="15" w:name="_GoBack_Копия_2_Копия_1"/>
            <w:r>
              <w:rPr>
                <w:i/>
                <w:iCs/>
                <w:sz w:val="24"/>
                <w:szCs w:val="24"/>
              </w:rPr>
              <w:t>Эксплуатирующая организация: Филиал ПАО “РусГидро”-“Жигулевская ГЭС”</w:t>
            </w:r>
            <w:bookmarkEnd w:id="15"/>
          </w:p>
        </w:tc>
      </w:tr>
    </w:tbl>
    <w:p>
      <w:pPr>
        <w:pStyle w:val="Heading2"/>
        <w:ind w:hanging="0"/>
        <w:rPr/>
      </w:pPr>
      <w:r>
        <w:rPr/>
        <w:t xml:space="preserve">1.7.  </w:t>
      </w:r>
      <w:bookmarkStart w:id="16" w:name="_Toc142049935"/>
      <w:r>
        <w:rPr/>
        <w:t xml:space="preserve">Информация в отношении исполнения договора, </w:t>
      </w:r>
      <w:bookmarkStart w:id="17" w:name="_Hlk46492347"/>
      <w:r>
        <w:rPr/>
        <w:t xml:space="preserve">которая должна быть учтена при подготовке заявки </w:t>
      </w:r>
      <w:bookmarkEnd w:id="17"/>
      <w:r>
        <w:rPr/>
        <w:t xml:space="preserve">(в том числе перечень ресурсов, услуг и документов, предоставляемых </w:t>
      </w:r>
      <w:r>
        <w:rPr>
          <w:lang w:val="ru-RU"/>
        </w:rPr>
        <w:t>заказчиком</w:t>
      </w:r>
      <w:r>
        <w:rPr/>
        <w:t xml:space="preserve"> на этапе исполнения договора)</w:t>
      </w:r>
      <w:bookmarkEnd w:id="16"/>
    </w:p>
    <w:p>
      <w:pPr>
        <w:pStyle w:val="Heading2"/>
        <w:spacing w:before="0" w:after="0"/>
        <w:ind w:hanging="0"/>
        <w:contextualSpacing/>
        <w:jc w:val="both"/>
        <w:rPr/>
      </w:pPr>
      <w:r>
        <w:rPr/>
        <w:t>1</w:t>
      </w:r>
      <w:r>
        <w:rPr>
          <w:b w:val="false"/>
          <w:bCs w:val="false"/>
        </w:rPr>
        <w:t>.7.1. Заказчик назначает представителя для оперативного рассмотрения и решения технических и организационных вопросов, связанных с оказанием услуг.</w:t>
      </w:r>
    </w:p>
    <w:p>
      <w:pPr>
        <w:pStyle w:val="Heading2"/>
        <w:spacing w:before="0" w:after="0"/>
        <w:ind w:hanging="0"/>
        <w:contextualSpacing/>
        <w:jc w:val="both"/>
        <w:rPr/>
      </w:pPr>
      <w:r>
        <w:rPr>
          <w:b w:val="false"/>
          <w:bCs w:val="false"/>
        </w:rPr>
        <w:t>1.</w:t>
      </w:r>
      <w:r>
        <w:rPr>
          <w:b w:val="false"/>
          <w:bCs w:val="false"/>
          <w:lang w:val="ru-RU"/>
        </w:rPr>
        <w:t>7</w:t>
      </w:r>
      <w:r>
        <w:rPr>
          <w:b w:val="false"/>
          <w:bCs w:val="false"/>
        </w:rPr>
        <w:t>.2. Для оказания услуг Заказчик предоставляет автомобильные краны на безвозмездной основе. При безвозмездной форме предоставления Участник обязан исключить из расценок затраты на использование кранов по всем работам, где используются данные грузоподъёмные механизмы.</w:t>
      </w:r>
    </w:p>
    <w:p>
      <w:pPr>
        <w:pStyle w:val="Heading2"/>
        <w:spacing w:before="0" w:after="0"/>
        <w:ind w:hanging="0"/>
        <w:contextualSpacing/>
        <w:jc w:val="both"/>
        <w:rPr>
          <w:b w:val="false"/>
          <w:bCs w:val="false"/>
        </w:rPr>
      </w:pPr>
      <w:r>
        <w:rPr>
          <w:b w:val="false"/>
          <w:bCs w:val="false"/>
        </w:rPr>
        <w:t>1.7.3. Заказчик обеспечивает Участнику возможность подключения к имеющимся у Заказчика бытовым источникам электроснабжения, водоснабжения, канализации для целей оказания услуг.</w:t>
      </w:r>
    </w:p>
    <w:p>
      <w:pPr>
        <w:pStyle w:val="Heading2"/>
        <w:spacing w:before="0" w:after="0"/>
        <w:ind w:hanging="0"/>
        <w:contextualSpacing/>
        <w:jc w:val="both"/>
        <w:rPr>
          <w:b w:val="false"/>
          <w:bCs w:val="false"/>
        </w:rPr>
      </w:pPr>
      <w:r>
        <w:rPr>
          <w:b w:val="false"/>
          <w:bCs w:val="false"/>
        </w:rPr>
        <w:t>1.7.4. Ознакомление Участника с локальными нормативными актами Заказчика, устанавливающими требования по охране труда, промышленной и пожарной безопасности, охране окружающей среды, правилами пропускного и внутриобъектового режима Заказчика. Предоставление Участнику необходимой для оказания услуг проектную документацию, в том числе: план размещения объектов услуг, схемы транспортных перемещений внутри цехов и на территории электростанции, схемы постов энергоносителей.</w:t>
      </w:r>
    </w:p>
    <w:p>
      <w:pPr>
        <w:pStyle w:val="Heading2"/>
        <w:spacing w:before="0" w:after="0"/>
        <w:ind w:hanging="0"/>
        <w:contextualSpacing/>
        <w:rPr>
          <w:b w:val="false"/>
          <w:bCs w:val="false"/>
        </w:rPr>
      </w:pPr>
      <w:r>
        <w:rPr>
          <w:b w:val="false"/>
          <w:bCs w:val="false"/>
        </w:rPr>
        <w:t>Услуги предоставляются Заказчиком без дополнительной платы со стороны Участника:</w:t>
      </w:r>
    </w:p>
    <w:p>
      <w:pPr>
        <w:pStyle w:val="Heading2"/>
        <w:spacing w:before="0" w:after="0"/>
        <w:ind w:hanging="0"/>
        <w:contextualSpacing/>
        <w:rPr>
          <w:b w:val="false"/>
          <w:bCs w:val="false"/>
        </w:rPr>
      </w:pPr>
      <w:r>
        <w:rPr>
          <w:b w:val="false"/>
          <w:bCs w:val="false"/>
        </w:rPr>
        <w:t>1) Электроэнергия:</w:t>
      </w:r>
    </w:p>
    <w:p>
      <w:pPr>
        <w:pStyle w:val="Heading2"/>
        <w:spacing w:before="0" w:after="0"/>
        <w:ind w:hanging="0"/>
        <w:contextualSpacing/>
        <w:rPr>
          <w:b w:val="false"/>
          <w:bCs w:val="false"/>
        </w:rPr>
      </w:pPr>
      <w:r>
        <w:rPr>
          <w:b w:val="false"/>
          <w:bCs w:val="false"/>
        </w:rPr>
        <w:t xml:space="preserve">2) Вода; </w:t>
      </w:r>
    </w:p>
    <w:p>
      <w:pPr>
        <w:pStyle w:val="Normal"/>
        <w:numPr>
          <w:ilvl w:val="0"/>
          <w:numId w:val="4"/>
        </w:numPr>
        <w:spacing w:before="0" w:after="0"/>
        <w:ind w:hanging="4989" w:left="0"/>
        <w:contextualSpacing/>
        <w:rPr>
          <w:sz w:val="24"/>
          <w:szCs w:val="24"/>
        </w:rPr>
      </w:pPr>
      <w:r>
        <w:rPr>
          <w:sz w:val="24"/>
          <w:szCs w:val="24"/>
          <w:lang w:val="x-none" w:eastAsia="x-none"/>
        </w:rPr>
        <w:t>3)</w:t>
      </w:r>
      <w:r>
        <w:rPr>
          <w:sz w:val="24"/>
          <w:szCs w:val="24"/>
          <w:lang w:eastAsia="x-none"/>
        </w:rPr>
        <w:t xml:space="preserve"> </w:t>
      </w:r>
      <w:r>
        <w:rPr>
          <w:sz w:val="24"/>
          <w:szCs w:val="24"/>
          <w:lang w:val="x-none" w:eastAsia="x-none"/>
        </w:rPr>
        <w:t>Содержание пожарной и сторожевой охраны</w:t>
      </w:r>
      <w:bookmarkStart w:id="18" w:name="_Toc51339693"/>
      <w:bookmarkEnd w:id="18"/>
      <w:r>
        <w:rPr>
          <w:sz w:val="24"/>
          <w:szCs w:val="24"/>
          <w:lang w:val="x-none" w:eastAsia="x-none"/>
        </w:rPr>
        <w:t>;</w:t>
      </w:r>
    </w:p>
    <w:p>
      <w:pPr>
        <w:pStyle w:val="Heading1"/>
        <w:tabs>
          <w:tab w:val="clear" w:pos="0"/>
        </w:tabs>
        <w:ind w:hanging="0"/>
        <w:jc w:val="center"/>
        <w:rPr>
          <w:iCs/>
          <w:caps/>
          <w:lang w:val="ru-RU"/>
        </w:rPr>
      </w:pPr>
      <w:r>
        <w:rPr>
          <w:iCs/>
        </w:rPr>
        <w:t xml:space="preserve">2. </w:t>
      </w:r>
      <w:bookmarkStart w:id="19" w:name="_Toc130454092"/>
      <w:r>
        <w:rPr>
          <w:iCs/>
        </w:rPr>
        <w:t xml:space="preserve">Требования к </w:t>
      </w:r>
      <w:bookmarkEnd w:id="19"/>
      <w:r>
        <w:rPr>
          <w:iCs/>
        </w:rPr>
        <w:t>оказываемым услугам</w:t>
      </w:r>
    </w:p>
    <w:p>
      <w:pPr>
        <w:pStyle w:val="Heading4"/>
        <w:numPr>
          <w:ilvl w:val="1"/>
          <w:numId w:val="4"/>
        </w:numPr>
        <w:rPr/>
      </w:pPr>
      <w:bookmarkStart w:id="20" w:name="_Toc130454093"/>
      <w:r>
        <w:rPr/>
        <w:t xml:space="preserve">Требования к объемам и срокам </w:t>
      </w:r>
      <w:bookmarkEnd w:id="20"/>
      <w:r>
        <w:rPr>
          <w:lang w:val="ru-RU"/>
        </w:rPr>
        <w:t>оказания услуг</w:t>
      </w:r>
    </w:p>
    <w:p>
      <w:pPr>
        <w:pStyle w:val="Heading4"/>
        <w:tabs>
          <w:tab w:val="clear" w:pos="0"/>
        </w:tabs>
        <w:spacing w:before="119" w:after="62"/>
        <w:ind w:hanging="0" w:left="-57"/>
        <w:contextualSpacing/>
        <w:rPr>
          <w:b w:val="false"/>
          <w:bCs w:val="false"/>
        </w:rPr>
      </w:pPr>
      <w:r>
        <w:rPr>
          <w:b w:val="false"/>
          <w:bCs w:val="false"/>
        </w:rPr>
        <w:t>Требования к началу срока оказания услуг – с даты, следующей за датой заключения договора.</w:t>
      </w:r>
    </w:p>
    <w:p>
      <w:pPr>
        <w:pStyle w:val="Heading4"/>
        <w:tabs>
          <w:tab w:val="clear" w:pos="0"/>
        </w:tabs>
        <w:spacing w:before="119" w:after="62"/>
        <w:ind w:hanging="0" w:left="-57"/>
        <w:contextualSpacing/>
        <w:rPr>
          <w:b w:val="false"/>
          <w:bCs w:val="false"/>
        </w:rPr>
      </w:pPr>
      <w:r>
        <w:rPr>
          <w:b w:val="false"/>
          <w:bCs w:val="false"/>
          <w:lang w:val="ru-RU"/>
        </w:rPr>
        <w:t xml:space="preserve">Требования к окончанию срока </w:t>
      </w:r>
      <w:r>
        <w:rPr>
          <w:b w:val="false"/>
          <w:bCs w:val="false"/>
          <w:color w:val="auto"/>
          <w:lang w:val="ru-RU"/>
        </w:rPr>
        <w:t xml:space="preserve">оказания услуг –  в течение 30 дней с даты, следующей </w:t>
      </w:r>
      <w:r>
        <w:rPr>
          <w:b w:val="false"/>
          <w:bCs w:val="false"/>
          <w:lang w:val="ru-RU"/>
        </w:rPr>
        <w:t>за датой начала оказания услуг по договору.</w:t>
      </w:r>
    </w:p>
    <w:p>
      <w:pPr>
        <w:pStyle w:val="Heading3"/>
        <w:numPr>
          <w:ilvl w:val="2"/>
          <w:numId w:val="4"/>
        </w:numPr>
        <w:rPr/>
      </w:pPr>
      <w:bookmarkStart w:id="21" w:name="_Toc130454094"/>
      <w:r>
        <w:rPr>
          <w:lang w:val="ru-RU"/>
        </w:rPr>
        <w:t>Перечень и объем закупаем</w:t>
      </w:r>
      <w:bookmarkEnd w:id="21"/>
      <w:r>
        <w:rPr>
          <w:lang w:val="ru-RU"/>
        </w:rPr>
        <w:t>ых услуг</w:t>
      </w:r>
    </w:p>
    <w:p>
      <w:pPr>
        <w:pStyle w:val="Heading1"/>
        <w:keepLines/>
        <w:tabs>
          <w:tab w:val="clear" w:pos="0"/>
        </w:tabs>
        <w:spacing w:before="240" w:after="60"/>
        <w:ind w:hanging="0"/>
        <w:rPr>
          <w:lang w:val="ru-RU"/>
        </w:rPr>
      </w:pPr>
      <w:bookmarkStart w:id="22" w:name="_Toc130454095"/>
      <w:bookmarkStart w:id="23"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23"/>
      <w:r>
        <w:rPr>
          <w:sz w:val="24"/>
          <w:szCs w:val="24"/>
          <w:lang w:val="ru-RU"/>
        </w:rPr>
        <w:t>и объем закупаем</w:t>
      </w:r>
      <w:bookmarkEnd w:id="22"/>
      <w:r>
        <w:rPr>
          <w:sz w:val="24"/>
          <w:szCs w:val="24"/>
          <w:lang w:val="ru-RU"/>
        </w:rPr>
        <w:t>ых услуг</w:t>
      </w:r>
    </w:p>
    <w:tbl>
      <w:tblPr>
        <w:tblW w:w="981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986"/>
        <w:gridCol w:w="5016"/>
        <w:gridCol w:w="1827"/>
        <w:gridCol w:w="1981"/>
      </w:tblGrid>
      <w:tr>
        <w:trPr/>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50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Наименование услуг</w:t>
            </w:r>
          </w:p>
        </w:tc>
        <w:tc>
          <w:tcPr>
            <w:tcW w:w="182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Количество</w:t>
            </w:r>
          </w:p>
        </w:tc>
      </w:tr>
      <w:tr>
        <w:trPr/>
        <w:tc>
          <w:tcPr>
            <w:tcW w:w="98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b/>
                <w:sz w:val="24"/>
                <w:szCs w:val="24"/>
              </w:rPr>
            </w:pPr>
            <w:r>
              <w:rPr>
                <w:b/>
                <w:sz w:val="24"/>
                <w:szCs w:val="24"/>
              </w:rPr>
              <w:t>1</w:t>
            </w:r>
          </w:p>
        </w:tc>
        <w:tc>
          <w:tcPr>
            <w:tcW w:w="501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b/>
                <w:sz w:val="24"/>
                <w:szCs w:val="24"/>
              </w:rPr>
            </w:pPr>
            <w:r>
              <w:rPr>
                <w:b/>
                <w:sz w:val="24"/>
                <w:szCs w:val="24"/>
              </w:rPr>
              <w:t>2</w:t>
            </w:r>
          </w:p>
        </w:tc>
        <w:tc>
          <w:tcPr>
            <w:tcW w:w="1827"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b/>
                <w:sz w:val="24"/>
                <w:szCs w:val="24"/>
              </w:rPr>
            </w:pPr>
            <w:r>
              <w:rPr>
                <w:b/>
                <w:sz w:val="24"/>
                <w:szCs w:val="24"/>
              </w:rPr>
              <w:t>3</w:t>
            </w:r>
          </w:p>
        </w:tc>
        <w:tc>
          <w:tcPr>
            <w:tcW w:w="19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b/>
                <w:sz w:val="24"/>
                <w:szCs w:val="24"/>
              </w:rPr>
            </w:pPr>
            <w:r>
              <w:rPr>
                <w:b/>
                <w:sz w:val="24"/>
                <w:szCs w:val="24"/>
              </w:rPr>
              <w:t>4</w:t>
            </w:r>
          </w:p>
        </w:tc>
      </w:tr>
      <w:tr>
        <w:trPr/>
        <w:tc>
          <w:tcPr>
            <w:tcW w:w="986" w:type="dxa"/>
            <w:tcBorders>
              <w:left w:val="single" w:sz="4" w:space="0" w:color="000000"/>
              <w:bottom w:val="single" w:sz="4" w:space="0" w:color="000000"/>
              <w:right w:val="single" w:sz="4" w:space="0" w:color="000000"/>
            </w:tcBorders>
          </w:tcPr>
          <w:p>
            <w:pPr>
              <w:pStyle w:val="Normal"/>
              <w:keepNext w:val="true"/>
              <w:widowControl w:val="false"/>
              <w:jc w:val="center"/>
              <w:rPr>
                <w:i/>
                <w:i/>
                <w:sz w:val="24"/>
                <w:szCs w:val="24"/>
              </w:rPr>
            </w:pPr>
            <w:r>
              <w:rPr>
                <w:i/>
                <w:sz w:val="24"/>
                <w:szCs w:val="24"/>
              </w:rPr>
              <w:t>1.</w:t>
            </w:r>
          </w:p>
        </w:tc>
        <w:tc>
          <w:tcPr>
            <w:tcW w:w="501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rFonts w:eastAsia="Calibri"/>
                <w:i/>
                <w:i/>
                <w:sz w:val="22"/>
                <w:szCs w:val="22"/>
                <w:lang w:eastAsia="x-none"/>
              </w:rPr>
            </w:pPr>
            <w:r>
              <w:rPr>
                <w:rFonts w:eastAsia="Calibri"/>
                <w:i/>
                <w:sz w:val="22"/>
                <w:szCs w:val="22"/>
                <w:lang w:eastAsia="x-none"/>
              </w:rPr>
              <w:t>Оказание услуг по устройству защитных укрытий на Дамбе №49 нижний бьеф Филиала ПАО «РусГидро» – «Жигулевская ГЭС»</w:t>
            </w:r>
          </w:p>
        </w:tc>
        <w:tc>
          <w:tcPr>
            <w:tcW w:w="3808" w:type="dxa"/>
            <w:gridSpan w:val="2"/>
            <w:tcBorders>
              <w:left w:val="single" w:sz="4" w:space="0" w:color="000000"/>
              <w:bottom w:val="single" w:sz="4" w:space="0" w:color="000000"/>
              <w:right w:val="single" w:sz="4" w:space="0" w:color="000000"/>
            </w:tcBorders>
          </w:tcPr>
          <w:p>
            <w:pPr>
              <w:pStyle w:val="Normal"/>
              <w:widowControl w:val="false"/>
              <w:rPr>
                <w:i/>
                <w:i/>
                <w:sz w:val="24"/>
                <w:szCs w:val="24"/>
                <w:highlight w:val="yellow"/>
              </w:rPr>
            </w:pPr>
            <w:r>
              <w:rPr>
                <w:i/>
                <w:iCs/>
                <w:sz w:val="24"/>
                <w:szCs w:val="24"/>
              </w:rPr>
              <w:t>В соответствии с  ТТ и с приложением №2,3 к настоящим ТТ.</w:t>
            </w:r>
          </w:p>
        </w:tc>
      </w:tr>
      <w:tr>
        <w:trPr/>
        <w:tc>
          <w:tcPr>
            <w:tcW w:w="986" w:type="dxa"/>
            <w:tcBorders>
              <w:left w:val="single" w:sz="4" w:space="0" w:color="000000"/>
              <w:bottom w:val="single" w:sz="4" w:space="0" w:color="000000"/>
              <w:right w:val="single" w:sz="4" w:space="0" w:color="000000"/>
            </w:tcBorders>
          </w:tcPr>
          <w:p>
            <w:pPr>
              <w:pStyle w:val="Normal"/>
              <w:keepNext w:val="true"/>
              <w:widowControl w:val="false"/>
              <w:jc w:val="center"/>
              <w:rPr>
                <w:i/>
                <w:i/>
                <w:sz w:val="24"/>
                <w:szCs w:val="24"/>
              </w:rPr>
            </w:pPr>
            <w:r>
              <w:rPr>
                <w:i/>
                <w:sz w:val="24"/>
                <w:szCs w:val="24"/>
              </w:rPr>
              <w:t>2</w:t>
            </w:r>
          </w:p>
        </w:tc>
        <w:tc>
          <w:tcPr>
            <w:tcW w:w="501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i/>
                <w:i/>
                <w:iCs/>
                <w:sz w:val="24"/>
                <w:szCs w:val="24"/>
              </w:rPr>
            </w:pPr>
            <w:r>
              <w:rPr>
                <w:i/>
                <w:iCs/>
                <w:sz w:val="24"/>
                <w:szCs w:val="24"/>
              </w:rPr>
              <w:t>Оказание услуг по устройству защитных укрытий на Дамбе №49 верхний бьеф Филиала ПАО «РусГидро» – «Жигулевская ГЭС»</w:t>
            </w:r>
          </w:p>
        </w:tc>
        <w:tc>
          <w:tcPr>
            <w:tcW w:w="3808" w:type="dxa"/>
            <w:gridSpan w:val="2"/>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В соответствии с  ТТ и с приложением №2,3 к настоящим ТТ.</w:t>
            </w:r>
          </w:p>
        </w:tc>
      </w:tr>
      <w:tr>
        <w:trPr/>
        <w:tc>
          <w:tcPr>
            <w:tcW w:w="986" w:type="dxa"/>
            <w:tcBorders>
              <w:left w:val="single" w:sz="4" w:space="0" w:color="000000"/>
              <w:bottom w:val="single" w:sz="4" w:space="0" w:color="000000"/>
              <w:right w:val="single" w:sz="4" w:space="0" w:color="000000"/>
            </w:tcBorders>
          </w:tcPr>
          <w:p>
            <w:pPr>
              <w:pStyle w:val="Normal"/>
              <w:keepNext w:val="true"/>
              <w:widowControl w:val="false"/>
              <w:jc w:val="center"/>
              <w:rPr>
                <w:i/>
                <w:i/>
                <w:sz w:val="24"/>
                <w:szCs w:val="24"/>
              </w:rPr>
            </w:pPr>
            <w:r>
              <w:rPr>
                <w:i/>
                <w:sz w:val="24"/>
                <w:szCs w:val="24"/>
              </w:rPr>
              <w:t>3</w:t>
            </w:r>
          </w:p>
        </w:tc>
        <w:tc>
          <w:tcPr>
            <w:tcW w:w="501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i/>
                <w:i/>
                <w:iCs/>
                <w:sz w:val="24"/>
                <w:szCs w:val="24"/>
              </w:rPr>
            </w:pPr>
            <w:r>
              <w:rPr>
                <w:i/>
                <w:iCs/>
                <w:sz w:val="24"/>
                <w:szCs w:val="24"/>
              </w:rPr>
              <w:t>Оказание услуг по устройству защитных укрытий на земляной плотине Дамбе №50 нижний бьеф Филиала ПАО «РусГидро» – «Жигулевская ГЭС»</w:t>
            </w:r>
          </w:p>
        </w:tc>
        <w:tc>
          <w:tcPr>
            <w:tcW w:w="3808" w:type="dxa"/>
            <w:gridSpan w:val="2"/>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В соответствии с  ТТ и с приложением №2,3 к настоящим ТТ.</w:t>
            </w:r>
          </w:p>
        </w:tc>
      </w:tr>
      <w:tr>
        <w:trPr/>
        <w:tc>
          <w:tcPr>
            <w:tcW w:w="986" w:type="dxa"/>
            <w:tcBorders>
              <w:left w:val="single" w:sz="4" w:space="0" w:color="000000"/>
              <w:bottom w:val="single" w:sz="4" w:space="0" w:color="000000"/>
              <w:right w:val="single" w:sz="4" w:space="0" w:color="000000"/>
            </w:tcBorders>
          </w:tcPr>
          <w:p>
            <w:pPr>
              <w:pStyle w:val="Normal"/>
              <w:keepNext w:val="true"/>
              <w:widowControl w:val="false"/>
              <w:jc w:val="center"/>
              <w:rPr>
                <w:i/>
                <w:i/>
                <w:sz w:val="24"/>
                <w:szCs w:val="24"/>
              </w:rPr>
            </w:pPr>
            <w:r>
              <w:rPr>
                <w:i/>
                <w:sz w:val="24"/>
                <w:szCs w:val="24"/>
              </w:rPr>
              <w:t>4</w:t>
            </w:r>
          </w:p>
        </w:tc>
        <w:tc>
          <w:tcPr>
            <w:tcW w:w="5016"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rPr>
                <w:i/>
                <w:i/>
                <w:iCs/>
                <w:sz w:val="24"/>
                <w:szCs w:val="24"/>
              </w:rPr>
            </w:pPr>
            <w:r>
              <w:rPr>
                <w:i/>
                <w:iCs/>
                <w:sz w:val="24"/>
                <w:szCs w:val="24"/>
              </w:rPr>
              <w:t>Оказание услуг по устройству защитных укрытий на земляной плотине верх</w:t>
            </w:r>
            <w:r>
              <w:rPr>
                <w:i/>
                <w:iCs/>
                <w:sz w:val="24"/>
                <w:szCs w:val="24"/>
              </w:rPr>
              <w:t>н</w:t>
            </w:r>
            <w:r>
              <w:rPr>
                <w:i/>
                <w:iCs/>
                <w:sz w:val="24"/>
                <w:szCs w:val="24"/>
              </w:rPr>
              <w:t>ий бьеф Филиала ПАО «РусГидро» – «Жигулевская ГЭС»</w:t>
            </w:r>
          </w:p>
        </w:tc>
        <w:tc>
          <w:tcPr>
            <w:tcW w:w="3808" w:type="dxa"/>
            <w:gridSpan w:val="2"/>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В соответствии с  ТТ и с приложением №2,3 к настоящим ТТ.</w:t>
            </w:r>
          </w:p>
        </w:tc>
      </w:tr>
    </w:tbl>
    <w:p>
      <w:pPr>
        <w:pStyle w:val="Normal"/>
        <w:ind w:hanging="0" w:left="1224"/>
        <w:rPr/>
      </w:pPr>
      <w:r>
        <w:rPr/>
      </w:r>
    </w:p>
    <w:p>
      <w:pPr>
        <w:pStyle w:val="Heading3"/>
        <w:numPr>
          <w:ilvl w:val="2"/>
          <w:numId w:val="4"/>
        </w:numPr>
        <w:rPr>
          <w:lang w:val="ru-RU"/>
        </w:rPr>
      </w:pPr>
      <w:bookmarkStart w:id="24" w:name="_Toc130454096"/>
      <w:bookmarkStart w:id="25" w:name="_Toc51339696"/>
      <w:r>
        <w:rPr>
          <w:lang w:val="ru-RU"/>
        </w:rPr>
        <w:t xml:space="preserve">Требования </w:t>
      </w:r>
      <w:bookmarkEnd w:id="25"/>
      <w:r>
        <w:rPr>
          <w:lang w:val="ru-RU"/>
        </w:rPr>
        <w:t>к срокам оказания услуг</w:t>
      </w:r>
      <w:bookmarkEnd w:id="24"/>
    </w:p>
    <w:p>
      <w:pPr>
        <w:pStyle w:val="Heading1"/>
        <w:keepLines/>
        <w:tabs>
          <w:tab w:val="clear" w:pos="0"/>
        </w:tabs>
        <w:spacing w:before="240" w:after="60"/>
        <w:ind w:hanging="0"/>
        <w:rPr/>
      </w:pPr>
      <w:bookmarkStart w:id="26" w:name="_Toc51339697"/>
      <w:bookmarkStart w:id="27" w:name="_Toc50125127"/>
      <w:bookmarkStart w:id="28" w:name="_Toc130454097"/>
      <w:bookmarkStart w:id="29" w:name="_Toc501251261"/>
      <w:bookmarkEnd w:id="29"/>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30" w:name="_Hlk50465284"/>
      <w:r>
        <w:rPr>
          <w:sz w:val="24"/>
          <w:szCs w:val="24"/>
        </w:rPr>
        <w:t>Требования по срокам</w:t>
      </w:r>
      <w:bookmarkEnd w:id="26"/>
      <w:bookmarkEnd w:id="27"/>
      <w:bookmarkEnd w:id="28"/>
      <w:bookmarkEnd w:id="30"/>
      <w:r>
        <w:rPr>
          <w:sz w:val="24"/>
          <w:szCs w:val="24"/>
          <w:lang w:val="ru-RU"/>
        </w:rPr>
        <w:t xml:space="preserve"> оказания услуг</w:t>
      </w:r>
    </w:p>
    <w:tbl>
      <w:tblPr>
        <w:tblW w:w="9776" w:type="dxa"/>
        <w:jc w:val="left"/>
        <w:tblInd w:w="-25" w:type="dxa"/>
        <w:tblLayout w:type="fixed"/>
        <w:tblCellMar>
          <w:top w:w="0" w:type="dxa"/>
          <w:left w:w="83" w:type="dxa"/>
          <w:bottom w:w="0" w:type="dxa"/>
          <w:right w:w="108" w:type="dxa"/>
        </w:tblCellMar>
        <w:tblLook w:val="04a0" w:noHBand="0" w:noVBand="1" w:firstColumn="1" w:lastRow="0" w:lastColumn="0" w:firstRow="1"/>
      </w:tblPr>
      <w:tblGrid>
        <w:gridCol w:w="784"/>
        <w:gridCol w:w="3805"/>
        <w:gridCol w:w="2556"/>
        <w:gridCol w:w="2630"/>
      </w:tblGrid>
      <w:tr>
        <w:trPr>
          <w:tblHeader w:val="true"/>
        </w:trPr>
        <w:tc>
          <w:tcPr>
            <w:tcW w:w="78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380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sz w:val="24"/>
                <w:szCs w:val="24"/>
              </w:rPr>
            </w:pPr>
            <w:r>
              <w:rPr>
                <w:sz w:val="24"/>
                <w:szCs w:val="24"/>
              </w:rPr>
              <w:t>Наименование услуг</w:t>
            </w:r>
          </w:p>
        </w:tc>
        <w:tc>
          <w:tcPr>
            <w:tcW w:w="2556"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sz w:val="24"/>
                <w:szCs w:val="24"/>
              </w:rPr>
            </w:pPr>
            <w:r>
              <w:rPr>
                <w:sz w:val="24"/>
                <w:szCs w:val="24"/>
              </w:rPr>
              <w:t>Требования к началу срока оказания услуг</w:t>
            </w:r>
          </w:p>
        </w:tc>
        <w:tc>
          <w:tcPr>
            <w:tcW w:w="2630"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sz w:val="24"/>
                <w:szCs w:val="24"/>
              </w:rPr>
            </w:pPr>
            <w:r>
              <w:rPr>
                <w:sz w:val="24"/>
                <w:szCs w:val="24"/>
              </w:rPr>
              <w:t>Требования к окончанию срока оказания услуг</w:t>
            </w:r>
          </w:p>
        </w:tc>
      </w:tr>
      <w:tr>
        <w:trPr>
          <w:tblHeader w:val="true"/>
        </w:trPr>
        <w:tc>
          <w:tcPr>
            <w:tcW w:w="784"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sz w:val="24"/>
                <w:szCs w:val="24"/>
              </w:rPr>
            </w:pPr>
            <w:r>
              <w:rPr>
                <w:b/>
                <w:sz w:val="24"/>
                <w:szCs w:val="24"/>
              </w:rPr>
              <w:t>1</w:t>
            </w:r>
          </w:p>
        </w:tc>
        <w:tc>
          <w:tcPr>
            <w:tcW w:w="3805"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sz w:val="24"/>
                <w:szCs w:val="24"/>
              </w:rPr>
            </w:pPr>
            <w:r>
              <w:rPr>
                <w:b/>
                <w:sz w:val="24"/>
                <w:szCs w:val="24"/>
              </w:rPr>
              <w:t>2</w:t>
            </w:r>
          </w:p>
        </w:tc>
        <w:tc>
          <w:tcPr>
            <w:tcW w:w="2556" w:type="dxa"/>
            <w:tcBorders>
              <w:top w:val="single" w:sz="4" w:space="0" w:color="00000A"/>
              <w:left w:val="single" w:sz="4" w:space="0" w:color="00000A"/>
              <w:bottom w:val="single" w:sz="4" w:space="0" w:color="00000A"/>
              <w:right w:val="single" w:sz="4" w:space="0" w:color="00000A"/>
            </w:tcBorders>
            <w:shd w:color="auto" w:fill="auto" w:val="clear"/>
          </w:tcPr>
          <w:p>
            <w:pPr>
              <w:pStyle w:val="Style29"/>
              <w:keepNext w:val="false"/>
              <w:widowControl w:val="false"/>
              <w:spacing w:before="40" w:after="40"/>
              <w:jc w:val="center"/>
              <w:rPr>
                <w:sz w:val="24"/>
                <w:szCs w:val="24"/>
              </w:rPr>
            </w:pPr>
            <w:r>
              <w:rPr>
                <w:b/>
                <w:sz w:val="24"/>
                <w:szCs w:val="24"/>
              </w:rPr>
              <w:t>3</w:t>
            </w:r>
          </w:p>
        </w:tc>
        <w:tc>
          <w:tcPr>
            <w:tcW w:w="2630" w:type="dxa"/>
            <w:tcBorders>
              <w:top w:val="single" w:sz="4" w:space="0" w:color="00000A"/>
              <w:left w:val="single" w:sz="4" w:space="0" w:color="00000A"/>
              <w:bottom w:val="single" w:sz="4" w:space="0" w:color="00000A"/>
              <w:right w:val="single" w:sz="4" w:space="0" w:color="00000A"/>
            </w:tcBorders>
            <w:shd w:color="auto" w:fill="auto" w:val="clear"/>
          </w:tcPr>
          <w:p>
            <w:pPr>
              <w:pStyle w:val="Style29"/>
              <w:keepNext w:val="false"/>
              <w:widowControl w:val="false"/>
              <w:spacing w:before="40" w:after="40"/>
              <w:jc w:val="center"/>
              <w:rPr>
                <w:sz w:val="24"/>
                <w:szCs w:val="24"/>
              </w:rPr>
            </w:pPr>
            <w:r>
              <w:rPr>
                <w:b/>
                <w:sz w:val="24"/>
                <w:szCs w:val="24"/>
              </w:rPr>
              <w:t>4</w:t>
            </w:r>
          </w:p>
        </w:tc>
      </w:tr>
      <w:tr>
        <w:trPr>
          <w:trHeight w:val="1230" w:hRule="atLeast"/>
        </w:trPr>
        <w:tc>
          <w:tcPr>
            <w:tcW w:w="784" w:type="dxa"/>
            <w:tcBorders>
              <w:left w:val="single" w:sz="4" w:space="0" w:color="00000A"/>
              <w:bottom w:val="single" w:sz="4" w:space="0" w:color="00000A"/>
              <w:right w:val="single" w:sz="4" w:space="0" w:color="00000A"/>
            </w:tcBorders>
            <w:shd w:color="auto" w:fill="auto" w:val="clear"/>
          </w:tcPr>
          <w:p>
            <w:pPr>
              <w:pStyle w:val="ListParagraph"/>
              <w:widowControl w:val="false"/>
              <w:ind w:hanging="0" w:left="0"/>
              <w:rPr>
                <w:i/>
                <w:i/>
              </w:rPr>
            </w:pPr>
            <w:r>
              <w:rPr>
                <w:i/>
              </w:rPr>
              <w:t xml:space="preserve">    </w:t>
            </w:r>
            <w:r>
              <w:rPr>
                <w:i/>
              </w:rPr>
              <w:t>1.</w:t>
            </w:r>
          </w:p>
          <w:p>
            <w:pPr>
              <w:pStyle w:val="ListParagraph"/>
              <w:widowControl w:val="false"/>
              <w:ind w:hanging="0" w:left="0"/>
              <w:rPr>
                <w:i/>
                <w:i/>
              </w:rPr>
            </w:pPr>
            <w:r>
              <w:rPr>
                <w:i/>
              </w:rPr>
            </w:r>
          </w:p>
          <w:p>
            <w:pPr>
              <w:pStyle w:val="ListParagraph"/>
              <w:widowControl w:val="false"/>
              <w:ind w:hanging="0" w:left="0"/>
              <w:rPr>
                <w:i/>
                <w:i/>
              </w:rPr>
            </w:pPr>
            <w:r>
              <w:rPr>
                <w:i/>
              </w:rPr>
            </w:r>
          </w:p>
          <w:p>
            <w:pPr>
              <w:pStyle w:val="ListParagraph"/>
              <w:widowControl w:val="false"/>
              <w:ind w:hanging="0" w:left="0"/>
              <w:rPr>
                <w:i/>
                <w:i/>
              </w:rPr>
            </w:pPr>
            <w:r>
              <w:rPr>
                <w:i/>
              </w:rPr>
            </w:r>
          </w:p>
          <w:p>
            <w:pPr>
              <w:pStyle w:val="ListParagraph"/>
              <w:widowControl w:val="false"/>
              <w:ind w:hanging="0" w:left="0"/>
              <w:rPr>
                <w:i/>
                <w:i/>
              </w:rPr>
            </w:pPr>
            <w:r>
              <w:rPr>
                <w:i/>
              </w:rPr>
            </w:r>
          </w:p>
          <w:p>
            <w:pPr>
              <w:pStyle w:val="ListParagraph"/>
              <w:widowControl w:val="false"/>
              <w:ind w:hanging="0" w:left="0"/>
              <w:rPr>
                <w:i/>
                <w:i/>
              </w:rPr>
            </w:pPr>
            <w:r>
              <w:rPr>
                <w:i/>
              </w:rPr>
            </w:r>
          </w:p>
        </w:tc>
        <w:tc>
          <w:tcPr>
            <w:tcW w:w="3805" w:type="dxa"/>
            <w:tcBorders>
              <w:left w:val="single" w:sz="4" w:space="0" w:color="00000A"/>
              <w:bottom w:val="single" w:sz="4" w:space="0" w:color="00000A"/>
              <w:right w:val="single" w:sz="4" w:space="0" w:color="00000A"/>
            </w:tcBorders>
            <w:shd w:color="auto" w:fill="auto" w:val="clear"/>
          </w:tcPr>
          <w:p>
            <w:pPr>
              <w:pStyle w:val="Normal"/>
              <w:widowControl w:val="false"/>
              <w:jc w:val="both"/>
              <w:rPr>
                <w:i/>
                <w:i/>
                <w:iCs/>
                <w:color w:val="auto"/>
                <w:sz w:val="24"/>
                <w:szCs w:val="24"/>
                <w:highlight w:val="yellow"/>
              </w:rPr>
            </w:pPr>
            <w:r>
              <w:rPr>
                <w:rFonts w:eastAsia="Calibri"/>
                <w:i/>
                <w:iCs/>
                <w:color w:val="auto"/>
                <w:sz w:val="24"/>
                <w:szCs w:val="24"/>
                <w:lang w:eastAsia="x-none"/>
              </w:rPr>
              <w:t>Оказание услуг  по устройству защитных укрытий Филиала ПАО «РусГидро» – «Жигулевская ГЭС»</w:t>
            </w:r>
          </w:p>
        </w:tc>
        <w:tc>
          <w:tcPr>
            <w:tcW w:w="2556" w:type="dxa"/>
            <w:tcBorders>
              <w:left w:val="single" w:sz="4" w:space="0" w:color="00000A"/>
              <w:bottom w:val="single" w:sz="4" w:space="0" w:color="00000A"/>
              <w:right w:val="single" w:sz="4" w:space="0" w:color="00000A"/>
            </w:tcBorders>
            <w:shd w:color="auto" w:fill="auto" w:val="clear"/>
          </w:tcPr>
          <w:p>
            <w:pPr>
              <w:pStyle w:val="Normal"/>
              <w:widowControl w:val="false"/>
              <w:jc w:val="center"/>
              <w:rPr>
                <w:i/>
                <w:i/>
                <w:iCs/>
                <w:color w:val="auto"/>
                <w:sz w:val="24"/>
                <w:szCs w:val="24"/>
              </w:rPr>
            </w:pPr>
            <w:r>
              <w:rPr>
                <w:i/>
                <w:iCs/>
                <w:color w:val="auto"/>
                <w:sz w:val="24"/>
                <w:szCs w:val="24"/>
              </w:rPr>
              <w:t>с даты, следующей за датой заключения договора</w:t>
            </w:r>
          </w:p>
        </w:tc>
        <w:tc>
          <w:tcPr>
            <w:tcW w:w="2630" w:type="dxa"/>
            <w:tcBorders>
              <w:left w:val="single" w:sz="4" w:space="0" w:color="2A6099"/>
              <w:bottom w:val="single" w:sz="4" w:space="0" w:color="00000A"/>
              <w:right w:val="single" w:sz="4" w:space="0" w:color="2A6099"/>
            </w:tcBorders>
            <w:shd w:color="auto" w:fill="auto" w:val="clear"/>
          </w:tcPr>
          <w:p>
            <w:pPr>
              <w:pStyle w:val="Normal"/>
              <w:widowControl w:val="false"/>
              <w:jc w:val="center"/>
              <w:rPr>
                <w:i/>
                <w:i/>
                <w:iCs/>
                <w:color w:val="auto"/>
                <w:sz w:val="24"/>
                <w:szCs w:val="24"/>
              </w:rPr>
            </w:pPr>
            <w:r>
              <w:rPr>
                <w:i/>
                <w:iCs/>
                <w:color w:val="auto"/>
                <w:sz w:val="24"/>
                <w:szCs w:val="24"/>
              </w:rPr>
              <w:t xml:space="preserve">в течение </w:t>
            </w:r>
            <w:r>
              <w:rPr>
                <w:i/>
                <w:iCs/>
                <w:color w:val="auto"/>
                <w:sz w:val="24"/>
                <w:szCs w:val="24"/>
              </w:rPr>
              <w:t>30</w:t>
            </w:r>
            <w:r>
              <w:rPr>
                <w:i/>
                <w:iCs/>
                <w:color w:val="auto"/>
                <w:sz w:val="24"/>
                <w:szCs w:val="24"/>
              </w:rPr>
              <w:t xml:space="preserve"> дней с даты заключения договора</w:t>
            </w:r>
          </w:p>
        </w:tc>
      </w:tr>
    </w:tbl>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4"/>
        </w:numPr>
        <w:rPr/>
      </w:pPr>
      <w:bookmarkStart w:id="31" w:name="_Toc51339698"/>
      <w:bookmarkStart w:id="32" w:name="_Toc130454098"/>
      <w:bookmarkStart w:id="33" w:name="_Toc46743511"/>
      <w:r>
        <w:rPr/>
        <w:t xml:space="preserve">Требования к </w:t>
      </w:r>
      <w:bookmarkEnd w:id="33"/>
      <w:r>
        <w:rPr>
          <w:lang w:val="ru-RU"/>
        </w:rPr>
        <w:t xml:space="preserve">качеству </w:t>
      </w:r>
      <w:bookmarkEnd w:id="32"/>
      <w:r>
        <w:rPr>
          <w:lang w:val="ru-RU"/>
        </w:rPr>
        <w:t>услуг</w:t>
      </w:r>
    </w:p>
    <w:p>
      <w:pPr>
        <w:pStyle w:val="Heading1"/>
        <w:keepLines/>
        <w:tabs>
          <w:tab w:val="clear" w:pos="0"/>
        </w:tabs>
        <w:spacing w:before="240" w:after="60"/>
        <w:ind w:hanging="0"/>
        <w:rPr>
          <w:sz w:val="24"/>
          <w:szCs w:val="24"/>
        </w:rPr>
      </w:pPr>
      <w:r>
        <w:rPr>
          <w:sz w:val="24"/>
          <w:szCs w:val="24"/>
        </w:rPr>
        <w:t xml:space="preserve"> </w:t>
      </w:r>
      <w:bookmarkStart w:id="34" w:name="_Toc130454099"/>
      <w:r>
        <w:rPr>
          <w:sz w:val="24"/>
          <w:szCs w:val="24"/>
        </w:rPr>
        <w:t>Таблица </w:t>
      </w:r>
      <w:r>
        <w:rPr>
          <w:sz w:val="24"/>
          <w:szCs w:val="24"/>
          <w:lang w:val="ru-RU"/>
        </w:rPr>
        <w:t>3</w:t>
      </w:r>
      <w:r>
        <w:rPr>
          <w:sz w:val="24"/>
          <w:szCs w:val="24"/>
        </w:rPr>
        <w:t xml:space="preserve">. Требования к </w:t>
      </w:r>
      <w:bookmarkEnd w:id="31"/>
      <w:bookmarkEnd w:id="34"/>
      <w:r>
        <w:rPr>
          <w:sz w:val="24"/>
          <w:szCs w:val="24"/>
          <w:lang w:val="ru-RU"/>
        </w:rPr>
        <w:t>услугам</w:t>
      </w:r>
    </w:p>
    <w:p>
      <w:pPr>
        <w:pStyle w:val="Normal"/>
        <w:jc w:val="both"/>
        <w:rPr>
          <w:b/>
          <w:sz w:val="24"/>
          <w:szCs w:val="24"/>
        </w:rPr>
      </w:pPr>
      <w:r>
        <w:rPr>
          <w:b/>
          <w:bCs/>
          <w:iCs/>
          <w:sz w:val="24"/>
          <w:szCs w:val="24"/>
        </w:rPr>
        <w:t>Наименование услуг: «</w:t>
      </w:r>
      <w:r>
        <w:rPr>
          <w:rFonts w:eastAsia="Calibri"/>
          <w:b/>
          <w:bCs/>
          <w:iCs/>
          <w:sz w:val="24"/>
          <w:szCs w:val="24"/>
          <w:lang w:eastAsia="x-none"/>
        </w:rPr>
        <w:t xml:space="preserve">Оказание услуг по </w:t>
      </w:r>
      <w:r>
        <w:rPr>
          <w:rFonts w:eastAsia="Calibri"/>
          <w:b/>
          <w:bCs/>
          <w:iCs/>
          <w:sz w:val="24"/>
          <w:szCs w:val="24"/>
          <w:lang w:eastAsia="x-none"/>
        </w:rPr>
        <w:t>устройству защитных укрытий</w:t>
      </w:r>
      <w:r>
        <w:rPr>
          <w:rFonts w:eastAsia="Calibri"/>
          <w:b/>
          <w:bCs/>
          <w:iCs/>
          <w:sz w:val="24"/>
          <w:szCs w:val="24"/>
          <w:lang w:eastAsia="x-none"/>
        </w:rPr>
        <w:t xml:space="preserve"> Филиала ПАО «РусГидро» – «Жигулевская ГЭС»</w:t>
      </w:r>
    </w:p>
    <w:tbl>
      <w:tblPr>
        <w:tblStyle w:val="affff8"/>
        <w:tblW w:w="15309" w:type="dxa"/>
        <w:jc w:val="left"/>
        <w:tblInd w:w="-30" w:type="dxa"/>
        <w:tblLayout w:type="fixed"/>
        <w:tblCellMar>
          <w:top w:w="0" w:type="dxa"/>
          <w:left w:w="83" w:type="dxa"/>
          <w:bottom w:w="0" w:type="dxa"/>
          <w:right w:w="108" w:type="dxa"/>
        </w:tblCellMar>
        <w:tblLook w:val="04a0" w:noHBand="0" w:noVBand="1" w:firstColumn="1" w:lastRow="0" w:lastColumn="0" w:firstRow="1"/>
      </w:tblPr>
      <w:tblGrid>
        <w:gridCol w:w="944"/>
        <w:gridCol w:w="1756"/>
        <w:gridCol w:w="61"/>
        <w:gridCol w:w="43"/>
        <w:gridCol w:w="37"/>
        <w:gridCol w:w="4571"/>
        <w:gridCol w:w="2549"/>
        <w:gridCol w:w="2834"/>
        <w:gridCol w:w="2513"/>
      </w:tblGrid>
      <w:tr>
        <w:trPr/>
        <w:tc>
          <w:tcPr>
            <w:tcW w:w="944" w:type="dxa"/>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1817" w:type="dxa"/>
            <w:gridSpan w:val="2"/>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4651" w:type="dxa"/>
            <w:gridSpan w:val="3"/>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c>
          <w:tcPr>
            <w:tcW w:w="5383" w:type="dxa"/>
            <w:gridSpan w:val="2"/>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c>
          <w:tcPr>
            <w:tcW w:w="2513" w:type="dxa"/>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Предложение участника по характеристикам и параметрам</w:t>
            </w:r>
          </w:p>
        </w:tc>
      </w:tr>
      <w:tr>
        <w:trPr/>
        <w:tc>
          <w:tcPr>
            <w:tcW w:w="944" w:type="dxa"/>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c>
          <w:tcPr>
            <w:tcW w:w="1817" w:type="dxa"/>
            <w:gridSpan w:val="2"/>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c>
          <w:tcPr>
            <w:tcW w:w="4651" w:type="dxa"/>
            <w:gridSpan w:val="3"/>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c>
          <w:tcPr>
            <w:tcW w:w="2549" w:type="dxa"/>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Согласие с требованием/ указание характеристик</w:t>
            </w:r>
          </w:p>
        </w:tc>
        <w:tc>
          <w:tcPr>
            <w:tcW w:w="2834" w:type="dxa"/>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c>
          <w:tcPr>
            <w:tcW w:w="2513" w:type="dxa"/>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r>
      <w:tr>
        <w:trPr/>
        <w:tc>
          <w:tcPr>
            <w:tcW w:w="944" w:type="dxa"/>
            <w:tcBorders/>
            <w:shd w:color="auto" w:fill="auto" w:val="clear"/>
            <w:vAlign w:val="center"/>
          </w:tcPr>
          <w:p>
            <w:pPr>
              <w:pStyle w:val="Normal"/>
              <w:widowControl w:val="false"/>
              <w:suppressAutoHyphens w:val="true"/>
              <w:spacing w:before="60" w:after="6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1817" w:type="dxa"/>
            <w:gridSpan w:val="2"/>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2</w:t>
            </w:r>
          </w:p>
        </w:tc>
        <w:tc>
          <w:tcPr>
            <w:tcW w:w="4651" w:type="dxa"/>
            <w:gridSpan w:val="3"/>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3</w:t>
            </w:r>
          </w:p>
        </w:tc>
        <w:tc>
          <w:tcPr>
            <w:tcW w:w="2549" w:type="dxa"/>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4</w:t>
            </w:r>
          </w:p>
        </w:tc>
        <w:tc>
          <w:tcPr>
            <w:tcW w:w="2834" w:type="dxa"/>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5</w:t>
            </w:r>
          </w:p>
        </w:tc>
        <w:tc>
          <w:tcPr>
            <w:tcW w:w="2513" w:type="dxa"/>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6</w:t>
            </w:r>
          </w:p>
        </w:tc>
      </w:tr>
      <w:tr>
        <w:trPr/>
        <w:tc>
          <w:tcPr>
            <w:tcW w:w="944" w:type="dxa"/>
            <w:tcBorders/>
            <w:shd w:color="auto" w:fill="auto" w:val="clear"/>
            <w:vAlign w:val="center"/>
          </w:tcPr>
          <w:p>
            <w:pPr>
              <w:pStyle w:val="ListParagraph"/>
              <w:widowControl w:val="false"/>
              <w:numPr>
                <w:ilvl w:val="0"/>
                <w:numId w:val="2"/>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6468" w:type="dxa"/>
            <w:gridSpan w:val="5"/>
            <w:tcBorders/>
            <w:shd w:color="auto" w:fill="auto" w:val="clear"/>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p>
        </w:tc>
        <w:tc>
          <w:tcPr>
            <w:tcW w:w="2549"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834"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13"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944"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color w:val="FF0000"/>
              </w:rPr>
            </w:pPr>
            <w:r>
              <w:rPr>
                <w:color w:val="FF0000"/>
              </w:rPr>
            </w:r>
          </w:p>
        </w:tc>
        <w:tc>
          <w:tcPr>
            <w:tcW w:w="6468" w:type="dxa"/>
            <w:gridSpan w:val="5"/>
            <w:tcBorders/>
            <w:shd w:color="auto" w:fill="auto" w:val="clear"/>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 xml:space="preserve">Оказание услуг </w:t>
            </w:r>
            <w:r>
              <w:rPr>
                <w:rFonts w:eastAsia="Times New Roman" w:cs="Times New Roman"/>
                <w:bCs/>
                <w:kern w:val="0"/>
                <w:sz w:val="26"/>
                <w:szCs w:val="26"/>
                <w:lang w:val="ru-RU" w:eastAsia="ru-RU" w:bidi="ar-SA"/>
              </w:rPr>
              <w:t>устройству защитных укрытий Жигулевской ГЭС. З</w:t>
            </w:r>
            <w:r>
              <w:rPr>
                <w:rFonts w:eastAsia="Times New Roman" w:cs="Times New Roman"/>
                <w:bCs/>
                <w:color w:val="000000"/>
                <w:kern w:val="0"/>
                <w:sz w:val="24"/>
                <w:szCs w:val="24"/>
                <w:lang w:val="ru-RU" w:eastAsia="ru-RU" w:bidi="ar-SA"/>
              </w:rPr>
              <w:t>ащит</w:t>
            </w:r>
            <w:r>
              <w:rPr>
                <w:rFonts w:eastAsia="Times New Roman" w:cs="Times New Roman"/>
                <w:bCs/>
                <w:color w:val="000000"/>
                <w:kern w:val="0"/>
                <w:sz w:val="24"/>
                <w:szCs w:val="24"/>
                <w:lang w:val="ru-RU" w:eastAsia="ru-RU" w:bidi="ar-SA"/>
              </w:rPr>
              <w:t>ные укрытия</w:t>
            </w:r>
            <w:r>
              <w:rPr>
                <w:rFonts w:eastAsia="Times New Roman" w:cs="Times New Roman"/>
                <w:bCs/>
                <w:color w:val="000000"/>
                <w:kern w:val="0"/>
                <w:sz w:val="24"/>
                <w:szCs w:val="24"/>
                <w:lang w:val="ru-RU" w:eastAsia="ru-RU" w:bidi="ar-SA"/>
              </w:rPr>
              <w:t xml:space="preserve"> должн</w:t>
            </w:r>
            <w:r>
              <w:rPr>
                <w:rFonts w:eastAsia="Times New Roman" w:cs="Times New Roman"/>
                <w:bCs/>
                <w:color w:val="000000"/>
                <w:kern w:val="0"/>
                <w:sz w:val="24"/>
                <w:szCs w:val="24"/>
                <w:lang w:val="ru-RU" w:eastAsia="ru-RU" w:bidi="ar-SA"/>
              </w:rPr>
              <w:t>ы</w:t>
            </w:r>
            <w:r>
              <w:rPr>
                <w:rFonts w:eastAsia="Times New Roman" w:cs="Times New Roman"/>
                <w:bCs/>
                <w:color w:val="000000"/>
                <w:kern w:val="0"/>
                <w:sz w:val="24"/>
                <w:szCs w:val="24"/>
                <w:lang w:val="ru-RU" w:eastAsia="ru-RU" w:bidi="ar-SA"/>
              </w:rPr>
              <w:t xml:space="preserve"> соответствовать требованиям, заявленным согласно Приложения № </w:t>
            </w:r>
            <w:r>
              <w:rPr>
                <w:rFonts w:eastAsia="Times New Roman" w:cs="Times New Roman"/>
                <w:bCs/>
                <w:color w:val="000000"/>
                <w:kern w:val="0"/>
                <w:sz w:val="24"/>
                <w:szCs w:val="24"/>
                <w:lang w:val="ru-RU" w:eastAsia="ru-RU" w:bidi="ar-SA"/>
              </w:rPr>
              <w:t>2,3</w:t>
            </w:r>
            <w:r>
              <w:rPr>
                <w:rFonts w:eastAsia="Times New Roman" w:cs="Times New Roman"/>
                <w:bCs/>
                <w:color w:val="000000"/>
                <w:kern w:val="0"/>
                <w:sz w:val="24"/>
                <w:szCs w:val="24"/>
                <w:lang w:val="ru-RU" w:eastAsia="ru-RU" w:bidi="ar-SA"/>
              </w:rPr>
              <w:t xml:space="preserve"> к ТТ.</w:t>
            </w:r>
            <w:r>
              <w:rPr>
                <w:rFonts w:eastAsia="Times New Roman" w:cs="Times New Roman"/>
                <w:bCs/>
                <w:kern w:val="0"/>
                <w:sz w:val="24"/>
                <w:szCs w:val="24"/>
                <w:lang w:val="ru-RU" w:eastAsia="ru-RU" w:bidi="ar-SA"/>
              </w:rPr>
              <w:t xml:space="preserve"> </w:t>
            </w:r>
          </w:p>
          <w:p>
            <w:pPr>
              <w:pStyle w:val="Normal"/>
              <w:widowControl w:val="false"/>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49" w:type="dxa"/>
            <w:tcBorders/>
            <w:shd w:color="auto" w:fill="auto" w:val="clea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Участник должен предоставить в заявке согласие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tc>
        <w:tc>
          <w:tcPr>
            <w:tcW w:w="2834" w:type="dxa"/>
            <w:tcBorders/>
            <w:shd w:color="auto" w:fill="auto" w:val="clear"/>
          </w:tcPr>
          <w:p>
            <w:pPr>
              <w:pStyle w:val="Normal"/>
              <w:widowControl w:val="false"/>
              <w:suppressAutoHyphens w:val="true"/>
              <w:spacing w:before="0" w:after="0"/>
              <w:jc w:val="center"/>
              <w:rPr>
                <w:sz w:val="24"/>
                <w:szCs w:val="24"/>
              </w:rPr>
            </w:pPr>
            <w:r>
              <w:rPr>
                <w:sz w:val="24"/>
                <w:szCs w:val="24"/>
              </w:rPr>
            </w:r>
          </w:p>
        </w:tc>
        <w:tc>
          <w:tcPr>
            <w:tcW w:w="2513"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44" w:type="dxa"/>
            <w:tcBorders>
              <w:top w:val="nil"/>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color w:val="FF0000"/>
              </w:rPr>
            </w:pPr>
            <w:r>
              <w:rPr>
                <w:color w:val="FF0000"/>
              </w:rPr>
            </w:r>
          </w:p>
        </w:tc>
        <w:tc>
          <w:tcPr>
            <w:tcW w:w="1756" w:type="dxa"/>
            <w:tcBorders>
              <w:right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Особые условия оказания услуг</w:t>
            </w:r>
          </w:p>
        </w:tc>
        <w:tc>
          <w:tcPr>
            <w:tcW w:w="4712" w:type="dxa"/>
            <w:gridSpan w:val="4"/>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 xml:space="preserve">Услуги оказываются на действующем предприятии без остановов производственного процесса. </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Особые условия оказания услуг:</w:t>
            </w:r>
          </w:p>
          <w:p>
            <w:pPr>
              <w:pStyle w:val="ListParagraph"/>
              <w:widowControl w:val="false"/>
              <w:suppressAutoHyphens w:val="true"/>
              <w:spacing w:before="0" w:after="0"/>
              <w:ind w:hanging="0" w:left="10"/>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 Оказание услуг на открытых  площадках </w:t>
            </w:r>
          </w:p>
          <w:p>
            <w:pPr>
              <w:pStyle w:val="ListParagraph"/>
              <w:widowControl w:val="false"/>
              <w:suppressAutoHyphens w:val="true"/>
              <w:spacing w:before="0" w:after="0"/>
              <w:ind w:hanging="0" w:left="10"/>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вблизи объектов, находящихся под высоким напряжением, в том числе в охранной зоне действующей воздушной линии электропередачи;</w:t>
            </w:r>
          </w:p>
        </w:tc>
        <w:tc>
          <w:tcPr>
            <w:tcW w:w="2549"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83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13"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44" w:type="dxa"/>
            <w:tcBorders>
              <w:top w:val="nil"/>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color w:val="FF0000"/>
              </w:rPr>
            </w:pPr>
            <w:r>
              <w:rPr>
                <w:color w:val="FF0000"/>
              </w:rPr>
            </w:r>
          </w:p>
        </w:tc>
        <w:tc>
          <w:tcPr>
            <w:tcW w:w="1756" w:type="dxa"/>
            <w:tcBorders>
              <w:top w:val="nil"/>
              <w:right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Требования к оказанию услуг</w:t>
            </w:r>
          </w:p>
        </w:tc>
        <w:tc>
          <w:tcPr>
            <w:tcW w:w="4712" w:type="dxa"/>
            <w:gridSpan w:val="4"/>
            <w:tcBorders>
              <w:top w:val="nil"/>
            </w:tcBorders>
            <w:shd w:color="auto" w:fill="auto" w:val="clear"/>
          </w:tcPr>
          <w:p>
            <w:pPr>
              <w:pStyle w:val="ListParagraph"/>
              <w:widowControl w:val="false"/>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kern w:val="0"/>
                <w:lang w:val="ru-RU" w:eastAsia="ru-RU" w:bidi="ar-SA"/>
              </w:rPr>
              <w:t>1.3.1. Весь объем приспособлений, инструмента и оборудования, необходимый для полного оказания услуг, Участник приобретает и поставляет к месту оказания услуг самостоятельно без привлечения Заказчика.</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kern w:val="0"/>
                <w:lang w:val="ru-RU" w:eastAsia="ru-RU" w:bidi="ar-SA"/>
              </w:rPr>
              <w:t>1.3.2. Соблюдать Требования в области охраны окружающей среды к подрядным организациям, выполняющим работы (строительные, монтажные, ремонтные и др.) на территории Филиала ПАО «РусГидро»-«Жигулевская ГЭС» (Приложение №6 к настоящим ТТ);</w:t>
            </w:r>
          </w:p>
        </w:tc>
        <w:tc>
          <w:tcPr>
            <w:tcW w:w="2549"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83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13"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44" w:type="dxa"/>
            <w:tcBorders>
              <w:top w:val="nil"/>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color w:val="FF0000"/>
              </w:rPr>
            </w:pPr>
            <w:r>
              <w:rPr>
                <w:color w:val="FF0000"/>
              </w:rPr>
            </w:r>
          </w:p>
        </w:tc>
        <w:tc>
          <w:tcPr>
            <w:tcW w:w="1756" w:type="dxa"/>
            <w:tcBorders>
              <w:top w:val="nil"/>
              <w:right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Соблюдение при оказании услуг норм и правил нормативно-технических документов</w:t>
            </w:r>
          </w:p>
        </w:tc>
        <w:tc>
          <w:tcPr>
            <w:tcW w:w="4712" w:type="dxa"/>
            <w:gridSpan w:val="4"/>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bCs/>
                <w:kern w:val="0"/>
                <w:sz w:val="24"/>
                <w:szCs w:val="24"/>
                <w:lang w:val="ru-RU" w:eastAsia="ru-RU" w:bidi="ar-SA"/>
              </w:rPr>
              <w:t>При оказании услуг Участник должен руководствоваться следующими национальными, отраслевыми и корпоративными (ПАО «РусГидро») НТД:</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eastAsia="Times New Roman" w:cs="Times New Roman"/>
                <w:kern w:val="0"/>
                <w:lang w:val="ru-RU" w:eastAsia="ru-RU" w:bidi="ar-SA"/>
              </w:rPr>
              <w:t>- Приказ Минтруда России от 15.12.2020 №903н. "Правила по охране труда при эксплуатации электроустановок" (действующая редакция);</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eastAsia="Times New Roman" w:cs="Times New Roman"/>
                <w:kern w:val="0"/>
                <w:lang w:val="ru-RU" w:eastAsia="ru-RU" w:bidi="ar-SA"/>
              </w:rPr>
              <w:t>- Приказ Минтруда России от 4 октября 2022г. №1070 "Правила технической эксплуатации электрических станций и сетей Российской Федерации";</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spacing w:val="-4"/>
                <w:kern w:val="0"/>
                <w:lang w:val="ru-RU" w:eastAsia="ru-RU" w:bidi="ar-SA"/>
              </w:rPr>
              <w:t>-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 Приказом Ростехнадзора 26.11.2020 №461);</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spacing w:val="-4"/>
                <w:kern w:val="0"/>
                <w:lang w:val="ru-RU" w:eastAsia="ru-RU" w:bidi="ar-SA"/>
              </w:rPr>
              <w:t>- «Правила организации технического обслуживания и ремонта объектов электроэнергетики» утвержденных приказом Минэнерго РФ №1013 от 25.10.17;</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spacing w:val="-4"/>
                <w:kern w:val="0"/>
                <w:lang w:val="ru-RU" w:eastAsia="ru-RU" w:bidi="ar-SA"/>
              </w:rPr>
              <w:t>- «Правила по охране труда при размещении, монтаже, техническом обслуживании и ремонте технологического оборудования» утвержденных приказом Минтруд РФ №833н от 27.11.2020;</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eastAsia="Times New Roman" w:cs="Times New Roman"/>
                <w:kern w:val="0"/>
                <w:lang w:val="ru-RU" w:eastAsia="ru-RU" w:bidi="ar-SA"/>
              </w:rPr>
              <w:t xml:space="preserve">- </w:t>
            </w:r>
            <w:r>
              <w:rPr>
                <w:rFonts w:cs="Times New Roman"/>
                <w:kern w:val="0"/>
                <w:lang w:val="ru-RU" w:eastAsia="ru-RU" w:bidi="ar-SA"/>
              </w:rPr>
              <w:t>Действующих требований в области охраны труда и пожарной безопасности.</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kern w:val="0"/>
                <w:lang w:val="ru-RU" w:eastAsia="ru-RU" w:bidi="ar-SA"/>
              </w:rPr>
              <w:t>- Приказ Минтруда России от 28.10.2020 N 753н «Правила по охране труда при погрузочно-разгрузочных работах и размещении грузов»;</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kern w:val="0"/>
                <w:lang w:val="ru-RU" w:eastAsia="ru-RU" w:bidi="ar-SA"/>
              </w:rPr>
              <w:t>- Приказ Минтруда России от 16.11.2020 N 782н «Правила по охране труда при работе на высоте».</w:t>
            </w:r>
          </w:p>
          <w:p>
            <w:pPr>
              <w:pStyle w:val="ListParagraph"/>
              <w:widowControl w:val="false"/>
              <w:tabs>
                <w:tab w:val="clear" w:pos="720"/>
                <w:tab w:val="left" w:pos="102" w:leader="none"/>
              </w:tabs>
              <w:suppressAutoHyphens w:val="true"/>
              <w:spacing w:before="0" w:after="0"/>
              <w:ind w:hanging="0" w:left="0"/>
              <w:contextualSpacing/>
              <w:jc w:val="both"/>
              <w:rPr>
                <w:rFonts w:ascii="Times New Roman" w:hAnsi="Times New Roman" w:cs="Times New Roman"/>
                <w:kern w:val="0"/>
                <w:lang w:bidi="ar-SA"/>
              </w:rPr>
            </w:pPr>
            <w:r>
              <w:rPr>
                <w:rFonts w:cs="Times New Roman"/>
                <w:kern w:val="0"/>
                <w:lang w:val="ru-RU" w:eastAsia="x-none" w:bidi="ar-SA"/>
              </w:rPr>
              <w:t xml:space="preserve">- Приказ Минтруда России от 27.11.2020 </w:t>
            </w:r>
            <w:r>
              <w:rPr>
                <w:rFonts w:cs="Times New Roman"/>
                <w:kern w:val="0"/>
                <w:lang w:val="en-US" w:eastAsia="x-none" w:bidi="ar-SA"/>
              </w:rPr>
              <w:t>N</w:t>
            </w:r>
            <w:r>
              <w:rPr>
                <w:rFonts w:cs="Times New Roman"/>
                <w:kern w:val="0"/>
                <w:lang w:val="ru-RU" w:eastAsia="x-none" w:bidi="ar-SA"/>
              </w:rPr>
              <w:t xml:space="preserve"> 61411 “Об утверждении Правил по охране труда при работе с инструментами и приспособлениями”</w:t>
            </w:r>
          </w:p>
          <w:p>
            <w:pPr>
              <w:pStyle w:val="ListParagraph"/>
              <w:widowControl w:val="false"/>
              <w:tabs>
                <w:tab w:val="clear" w:pos="720"/>
                <w:tab w:val="left" w:pos="102" w:leader="none"/>
              </w:tabs>
              <w:suppressAutoHyphens w:val="true"/>
              <w:spacing w:before="0" w:after="0"/>
              <w:ind w:hanging="0" w:left="40"/>
              <w:contextualSpacing/>
              <w:jc w:val="both"/>
              <w:rPr>
                <w:rFonts w:ascii="Times New Roman" w:hAnsi="Times New Roman" w:cs="Times New Roman"/>
                <w:kern w:val="0"/>
                <w:lang w:val="ru-RU" w:bidi="ar-SA"/>
              </w:rPr>
            </w:pPr>
            <w:r>
              <w:rPr>
                <w:rFonts w:cs="Times New Roman"/>
                <w:kern w:val="0"/>
                <w:lang w:val="ru-RU" w:eastAsia="x-none" w:bidi="ar-SA"/>
              </w:rPr>
              <w:t>- Постановление Правительства РФ от 21.06.2021 № 468 « О порядке проведения строительного контроля при осуществлении строительства, реконструкции и капитального ремонта (далее - строительство) объектов капитального строительства».</w:t>
            </w:r>
          </w:p>
        </w:tc>
        <w:tc>
          <w:tcPr>
            <w:tcW w:w="2549"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83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13"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44" w:type="dxa"/>
            <w:tcBorders>
              <w:top w:val="nil"/>
            </w:tcBorders>
            <w:shd w:color="auto" w:fill="auto" w:val="clear"/>
            <w:vAlign w:val="center"/>
          </w:tcPr>
          <w:p>
            <w:pPr>
              <w:pStyle w:val="ListParagraph"/>
              <w:widowControl w:val="false"/>
              <w:suppressAutoHyphens w:val="true"/>
              <w:spacing w:before="60" w:after="60"/>
              <w:ind w:hanging="0" w:left="-117"/>
              <w:contextualSpacing/>
              <w:jc w:val="center"/>
              <w:rPr>
                <w:b/>
                <w:bCs/>
                <w:color w:val="auto"/>
              </w:rPr>
            </w:pPr>
            <w:r>
              <w:rPr>
                <w:rFonts w:cs="Times New Roman"/>
                <w:b/>
                <w:bCs/>
                <w:color w:val="auto"/>
                <w:kern w:val="0"/>
                <w:lang w:val="ru-RU" w:eastAsia="ru-RU" w:bidi="ar-SA"/>
              </w:rPr>
              <w:t xml:space="preserve">2. </w:t>
            </w:r>
          </w:p>
        </w:tc>
        <w:tc>
          <w:tcPr>
            <w:tcW w:w="6468" w:type="dxa"/>
            <w:gridSpan w:val="5"/>
            <w:tcBorders>
              <w:top w:val="nil"/>
            </w:tcBorders>
            <w:shd w:color="auto" w:fill="auto" w:val="clear"/>
          </w:tcPr>
          <w:p>
            <w:pPr>
              <w:pStyle w:val="Normal"/>
              <w:widowControl w:val="false"/>
              <w:suppressAutoHyphens w:val="true"/>
              <w:spacing w:before="60" w:after="0"/>
              <w:jc w:val="left"/>
              <w:rPr>
                <w:sz w:val="24"/>
                <w:szCs w:val="24"/>
              </w:rPr>
            </w:pPr>
            <w:r>
              <w:rPr>
                <w:rFonts w:eastAsia="Times New Roman" w:cs="Times New Roman"/>
                <w:b/>
                <w:kern w:val="0"/>
                <w:sz w:val="24"/>
                <w:szCs w:val="24"/>
                <w:lang w:val="ru-RU" w:eastAsia="ru-RU" w:bidi="ar-SA"/>
              </w:rPr>
              <w:t>Требования к организации услуг</w:t>
            </w:r>
          </w:p>
        </w:tc>
        <w:tc>
          <w:tcPr>
            <w:tcW w:w="2549"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83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13"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44" w:type="dxa"/>
            <w:tcBorders>
              <w:top w:val="nil"/>
            </w:tcBorders>
            <w:shd w:color="auto" w:fill="auto" w:val="clear"/>
            <w:vAlign w:val="center"/>
          </w:tcPr>
          <w:p>
            <w:pPr>
              <w:pStyle w:val="ListParagraph"/>
              <w:widowControl w:val="false"/>
              <w:suppressAutoHyphens w:val="true"/>
              <w:spacing w:before="60" w:after="60"/>
              <w:ind w:hanging="0" w:left="-117"/>
              <w:contextualSpacing/>
              <w:jc w:val="center"/>
              <w:rPr>
                <w:color w:val="auto"/>
              </w:rPr>
            </w:pPr>
            <w:r>
              <w:rPr>
                <w:rFonts w:cs="Times New Roman"/>
                <w:color w:val="auto"/>
                <w:kern w:val="0"/>
                <w:lang w:val="ru-RU" w:eastAsia="ru-RU" w:bidi="ar-SA"/>
              </w:rPr>
              <w:t>2.1.</w:t>
            </w:r>
          </w:p>
        </w:tc>
        <w:tc>
          <w:tcPr>
            <w:tcW w:w="1756" w:type="dxa"/>
            <w:tcBorders>
              <w:top w:val="nil"/>
              <w:right w:val="nil"/>
            </w:tcBorders>
            <w:shd w:color="auto" w:fill="auto" w:val="clear"/>
          </w:tcPr>
          <w:p>
            <w:pPr>
              <w:pStyle w:val="Normal"/>
              <w:widowControl w:val="false"/>
              <w:tabs>
                <w:tab w:val="clear" w:pos="720"/>
                <w:tab w:val="left" w:pos="426" w:leader="none"/>
              </w:tabs>
              <w:suppressAutoHyphens w:val="true"/>
              <w:spacing w:before="60" w:after="0"/>
              <w:jc w:val="left"/>
              <w:rPr>
                <w:sz w:val="24"/>
                <w:szCs w:val="24"/>
              </w:rPr>
            </w:pPr>
            <w:r>
              <w:rPr>
                <w:rFonts w:eastAsia="Times New Roman" w:cs="Times New Roman"/>
                <w:kern w:val="0"/>
                <w:sz w:val="24"/>
                <w:szCs w:val="24"/>
                <w:lang w:val="ru-RU" w:eastAsia="ru-RU" w:bidi="ar-SA"/>
              </w:rPr>
              <w:t>Организационно-технические мероприятия по допуску персонала Участника</w:t>
            </w:r>
          </w:p>
        </w:tc>
        <w:tc>
          <w:tcPr>
            <w:tcW w:w="4712" w:type="dxa"/>
            <w:gridSpan w:val="4"/>
            <w:tcBorders>
              <w:top w:val="nil"/>
            </w:tcBorders>
            <w:shd w:color="auto" w:fill="auto" w:val="clear"/>
          </w:tcPr>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1. Услуги оказываются в соответствии с НТД, требованиями, указанными в разделе 1.1 настоящих ТТ;</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2. Услуги оказываются в соответствии с разработанным и утвержденным проектом производства работ (ППР) и календарным графиком.</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3. Обеспечение техники безопасности при оказании услуг – технические и организационные возможности, комплектность персонала, обеспечение персонала СИЗ, безопасность производства должны соответствовать характеру оказываемых услуг.</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4.</w:t>
              <w:tab/>
              <w:t>Организационно-технические мероприятия по допуску персонала Участника к оказанию услуг осуществляются в соответствии с Приказом № 82 04.02.2022 «Методика допуска персонала подрядных организаций к выполнению работ на объектах Общества» (Приложение № 4 к ТТ).</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5. Подготовку рабочих мест и допуск к оказанию услуг осуществляет персонал Заказчика.</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6. Согласование со службой эксплуатации Заказчика мест подключения временных коммуникаций (технические условия на подключения выдаются после получения от Участника официального запроса с указанием потребных ресурсов в количественных и качественных показателях);</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7. Инженерная подготовка и оборудование рабочей площадки, установка ограждений, переходов, лестниц и т.д. в соответствии с ППР</w:t>
            </w:r>
            <w:r>
              <w:rPr>
                <w:rFonts w:cs="Times New Roman"/>
                <w:color w:val="FF0000"/>
                <w:kern w:val="0"/>
                <w:lang w:val="ru-RU" w:eastAsia="x-none" w:bidi="ar-SA"/>
              </w:rPr>
              <w:t xml:space="preserve"> </w:t>
            </w:r>
            <w:r>
              <w:rPr>
                <w:rFonts w:cs="Times New Roman"/>
                <w:kern w:val="0"/>
                <w:lang w:val="ru-RU" w:eastAsia="x-none" w:bidi="ar-SA"/>
              </w:rPr>
              <w:t>на выполнение соответствующего вида услуг;</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8. Текущий контроль должен включать в себя надзор за правильностью и последовательностью выполнения отдельных технологических операций.</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9. Приемочный контроль услуг, подлежащих приемке, должен быть согласован с Заказчиком.</w:t>
            </w:r>
          </w:p>
          <w:p>
            <w:pPr>
              <w:pStyle w:val="ListParagraph"/>
              <w:widowControl w:val="false"/>
              <w:suppressAutoHyphens w:val="true"/>
              <w:spacing w:before="0" w:after="0"/>
              <w:ind w:hanging="0" w:left="0"/>
              <w:contextualSpacing/>
              <w:jc w:val="both"/>
              <w:rPr>
                <w:rFonts w:ascii="Times New Roman" w:hAnsi="Times New Roman" w:cs="Times New Roman"/>
                <w:kern w:val="0"/>
                <w:lang w:val="ru-RU" w:bidi="ar-SA"/>
              </w:rPr>
            </w:pPr>
            <w:r>
              <w:rPr>
                <w:rFonts w:cs="Times New Roman"/>
                <w:kern w:val="0"/>
                <w:lang w:val="ru-RU" w:eastAsia="x-none" w:bidi="ar-SA"/>
              </w:rPr>
              <w:t>10. Персонал Участника обеспечивает поддержание чистоты в местах оказания услуг (на рабочих местах), своевременную уборку указанной (выделенной) Заказчиком площадки оказания услуг. Участник при оказании услуг обеспечивает соблюдение санитарных требований и требований в области охраны окружающей среды к обращению с отходами, установленных законодательством Российской Федерации законодательства.</w:t>
            </w:r>
          </w:p>
        </w:tc>
        <w:tc>
          <w:tcPr>
            <w:tcW w:w="2549"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83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13"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44" w:type="dxa"/>
            <w:tcBorders>
              <w:top w:val="nil"/>
            </w:tcBorders>
            <w:shd w:color="auto" w:fill="auto" w:val="clear"/>
            <w:vAlign w:val="center"/>
          </w:tcPr>
          <w:p>
            <w:pPr>
              <w:pStyle w:val="ListParagraph"/>
              <w:widowControl w:val="false"/>
              <w:suppressAutoHyphens w:val="true"/>
              <w:spacing w:before="60" w:after="60"/>
              <w:ind w:hanging="0" w:left="-117"/>
              <w:contextualSpacing/>
              <w:jc w:val="center"/>
              <w:rPr>
                <w:color w:val="auto"/>
              </w:rPr>
            </w:pPr>
            <w:r>
              <w:rPr>
                <w:rFonts w:cs="Times New Roman"/>
                <w:color w:val="auto"/>
                <w:kern w:val="0"/>
                <w:lang w:val="ru-RU" w:eastAsia="ru-RU" w:bidi="ar-SA"/>
              </w:rPr>
              <w:t>2.2.</w:t>
            </w:r>
          </w:p>
        </w:tc>
        <w:tc>
          <w:tcPr>
            <w:tcW w:w="1756" w:type="dxa"/>
            <w:tcBorders>
              <w:top w:val="nil"/>
              <w:right w:val="nil"/>
            </w:tcBorders>
            <w:shd w:color="auto" w:fill="auto" w:val="clear"/>
          </w:tcPr>
          <w:p>
            <w:pPr>
              <w:pStyle w:val="Normal"/>
              <w:widowControl w:val="false"/>
              <w:tabs>
                <w:tab w:val="clear" w:pos="720"/>
                <w:tab w:val="left" w:pos="426" w:leader="none"/>
              </w:tabs>
              <w:suppressAutoHyphens w:val="true"/>
              <w:spacing w:before="60" w:after="0"/>
              <w:jc w:val="left"/>
              <w:rPr>
                <w:sz w:val="24"/>
                <w:szCs w:val="24"/>
              </w:rPr>
            </w:pPr>
            <w:r>
              <w:rPr>
                <w:rFonts w:eastAsia="Times New Roman" w:cs="Times New Roman"/>
                <w:kern w:val="0"/>
                <w:sz w:val="24"/>
                <w:szCs w:val="24"/>
                <w:lang w:val="ru-RU" w:eastAsia="ru-RU" w:bidi="ar-SA"/>
              </w:rPr>
              <w:t>Обеспечение персонала Участника комплектами СИЗ.</w:t>
            </w:r>
          </w:p>
        </w:tc>
        <w:tc>
          <w:tcPr>
            <w:tcW w:w="4712" w:type="dxa"/>
            <w:gridSpan w:val="4"/>
            <w:tcBorders>
              <w:top w:val="nil"/>
            </w:tcBorders>
            <w:shd w:color="auto" w:fill="auto" w:val="clear"/>
          </w:tcPr>
          <w:p>
            <w:pPr>
              <w:pStyle w:val="Normal"/>
              <w:widowControl w:val="false"/>
              <w:tabs>
                <w:tab w:val="clear" w:pos="720"/>
                <w:tab w:val="left" w:pos="426" w:leader="none"/>
              </w:tabs>
              <w:suppressAutoHyphens w:val="true"/>
              <w:spacing w:before="60" w:after="0"/>
              <w:jc w:val="both"/>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 xml:space="preserve">Допуск персонала Участника для оказания услуг осуществляется при наличии комплекта СИЗ. Комплекты СИЗ персонала обеспечивается силами Участника. </w:t>
            </w:r>
          </w:p>
          <w:p>
            <w:pPr>
              <w:pStyle w:val="Normal"/>
              <w:widowControl w:val="false"/>
              <w:tabs>
                <w:tab w:val="clear" w:pos="720"/>
                <w:tab w:val="left" w:pos="426" w:leader="none"/>
              </w:tabs>
              <w:suppressAutoHyphens w:val="true"/>
              <w:spacing w:before="60" w:after="0"/>
              <w:jc w:val="both"/>
              <w:rPr>
                <w:sz w:val="24"/>
                <w:szCs w:val="24"/>
              </w:rPr>
            </w:pPr>
            <w:r>
              <w:rPr>
                <w:sz w:val="24"/>
                <w:szCs w:val="24"/>
              </w:rPr>
            </w:r>
          </w:p>
        </w:tc>
        <w:tc>
          <w:tcPr>
            <w:tcW w:w="2549"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83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13"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944" w:type="dxa"/>
            <w:tcBorders/>
            <w:shd w:color="auto" w:fill="auto" w:val="clear"/>
            <w:vAlign w:val="center"/>
          </w:tcPr>
          <w:p>
            <w:pPr>
              <w:pStyle w:val="ListParagraph"/>
              <w:widowControl w:val="false"/>
              <w:suppressAutoHyphens w:val="true"/>
              <w:spacing w:before="60" w:after="60"/>
              <w:ind w:hanging="0" w:left="0"/>
              <w:contextualSpacing/>
              <w:jc w:val="center"/>
              <w:rPr>
                <w:b/>
                <w:bCs/>
              </w:rPr>
            </w:pPr>
            <w:r>
              <w:rPr>
                <w:rFonts w:cs="Times New Roman"/>
                <w:b/>
                <w:bCs/>
                <w:kern w:val="0"/>
                <w:lang w:val="ru-RU" w:eastAsia="ru-RU" w:bidi="ar-SA"/>
              </w:rPr>
              <w:t>3.</w:t>
            </w:r>
          </w:p>
        </w:tc>
        <w:tc>
          <w:tcPr>
            <w:tcW w:w="6468" w:type="dxa"/>
            <w:gridSpan w:val="5"/>
            <w:tcBorders/>
            <w:shd w:color="auto" w:fill="auto" w:val="clear"/>
            <w:vAlign w:val="center"/>
          </w:tcPr>
          <w:p>
            <w:pPr>
              <w:pStyle w:val="Normal"/>
              <w:widowControl w:val="false"/>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безопасности</w:t>
            </w:r>
          </w:p>
        </w:tc>
        <w:tc>
          <w:tcPr>
            <w:tcW w:w="2549"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834"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13"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rHeight w:val="2579" w:hRule="atLeast"/>
        </w:trPr>
        <w:tc>
          <w:tcPr>
            <w:tcW w:w="944" w:type="dxa"/>
            <w:tcBorders/>
            <w:shd w:color="auto" w:fill="auto" w:val="clear"/>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3.1.</w:t>
            </w:r>
          </w:p>
        </w:tc>
        <w:tc>
          <w:tcPr>
            <w:tcW w:w="1817" w:type="dxa"/>
            <w:gridSpan w:val="2"/>
            <w:tcBorders/>
            <w:shd w:color="auto" w:fill="auto" w:val="clear"/>
          </w:tcPr>
          <w:p>
            <w:pPr>
              <w:pStyle w:val="Normal"/>
              <w:widowControl w:val="false"/>
              <w:tabs>
                <w:tab w:val="clear" w:pos="720"/>
                <w:tab w:val="left" w:pos="1066" w:leader="none"/>
              </w:tabs>
              <w:suppressAutoHyphens w:val="true"/>
              <w:spacing w:lineRule="auto" w:line="276" w:before="0" w:after="200"/>
              <w:contextualSpacing/>
              <w:jc w:val="both"/>
              <w:rPr>
                <w:color w:val="auto"/>
                <w:sz w:val="24"/>
                <w:szCs w:val="24"/>
              </w:rPr>
            </w:pPr>
            <w:r>
              <w:rPr>
                <w:rFonts w:eastAsia="Times New Roman" w:cs="Times New Roman"/>
                <w:color w:val="auto"/>
                <w:kern w:val="0"/>
                <w:sz w:val="24"/>
                <w:szCs w:val="24"/>
                <w:lang w:val="ru-RU" w:eastAsia="ru-RU" w:bidi="ar-SA"/>
              </w:rPr>
              <w:t>Требования к информационной безопасности результата оказания услуг</w:t>
            </w:r>
          </w:p>
          <w:p>
            <w:pPr>
              <w:pStyle w:val="Normal"/>
              <w:widowControl w:val="false"/>
              <w:suppressAutoHyphens w:val="true"/>
              <w:spacing w:before="0" w:after="0"/>
              <w:jc w:val="left"/>
              <w:rPr>
                <w:b/>
                <w:bCs/>
                <w:sz w:val="24"/>
                <w:szCs w:val="24"/>
              </w:rPr>
            </w:pPr>
            <w:r>
              <w:rPr>
                <w:b/>
                <w:bCs/>
                <w:sz w:val="24"/>
                <w:szCs w:val="24"/>
              </w:rPr>
            </w:r>
          </w:p>
        </w:tc>
        <w:tc>
          <w:tcPr>
            <w:tcW w:w="4651" w:type="dxa"/>
            <w:gridSpan w:val="3"/>
            <w:tcBorders/>
            <w:shd w:color="auto" w:fill="auto" w:val="clear"/>
          </w:tcPr>
          <w:p>
            <w:pPr>
              <w:pStyle w:val="Normal"/>
              <w:widowControl w:val="false"/>
              <w:tabs>
                <w:tab w:val="clear" w:pos="720"/>
                <w:tab w:val="left" w:pos="1066" w:leader="none"/>
              </w:tabs>
              <w:suppressAutoHyphens w:val="true"/>
              <w:spacing w:lineRule="auto" w:line="276" w:before="0" w:after="200"/>
              <w:ind w:hanging="0" w:left="74"/>
              <w:contextualSpacing/>
              <w:jc w:val="both"/>
              <w:rPr>
                <w:rFonts w:ascii="Times New Roman" w:hAnsi="Times New Roman" w:eastAsia="Times New Roman" w:cs="Times New Roman"/>
                <w:kern w:val="0"/>
                <w:lang w:val="ru-RU" w:eastAsia="ru-RU" w:bidi="ar-SA"/>
              </w:rPr>
            </w:pPr>
            <w:r>
              <w:rPr>
                <w:rFonts w:eastAsia="Times New Roman" w:cs="Times New Roman"/>
                <w:color w:val="000000"/>
                <w:kern w:val="0"/>
                <w:sz w:val="24"/>
                <w:szCs w:val="24"/>
                <w:lang w:val="ru-RU" w:eastAsia="ru-RU" w:bidi="ar-SA"/>
              </w:rPr>
              <w:t>Требования информационной безопасности должны обеспечиваться на всех стадиях жизненного цикла Систем с учетом всех сторон, вовлеченных в процессы жизненного цикла (разработчиков, заказчиков, поставщиков продуктов и услуг, эксплуатирующих и надзорных подразделений Общества).</w:t>
            </w:r>
          </w:p>
        </w:tc>
        <w:tc>
          <w:tcPr>
            <w:tcW w:w="2549"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2834"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2513" w:type="dxa"/>
            <w:tcBorders/>
            <w:shd w:color="auto" w:fill="auto" w:val="clear"/>
          </w:tcPr>
          <w:p>
            <w:pPr>
              <w:pStyle w:val="Normal"/>
              <w:widowControl w:val="false"/>
              <w:suppressAutoHyphens w:val="true"/>
              <w:spacing w:before="0" w:after="0"/>
              <w:jc w:val="center"/>
              <w:rPr>
                <w:b/>
                <w:sz w:val="24"/>
                <w:szCs w:val="24"/>
              </w:rPr>
            </w:pPr>
            <w:r>
              <w:rPr>
                <w:b/>
                <w:sz w:val="24"/>
                <w:szCs w:val="24"/>
              </w:rPr>
            </w:r>
          </w:p>
        </w:tc>
      </w:tr>
      <w:tr>
        <w:trPr/>
        <w:tc>
          <w:tcPr>
            <w:tcW w:w="944" w:type="dxa"/>
            <w:tcBorders/>
            <w:shd w:color="auto" w:fill="auto" w:val="clear"/>
            <w:vAlign w:val="center"/>
          </w:tcPr>
          <w:p>
            <w:pPr>
              <w:pStyle w:val="ListParagraph"/>
              <w:widowControl w:val="false"/>
              <w:suppressAutoHyphens w:val="true"/>
              <w:spacing w:before="60" w:after="60"/>
              <w:ind w:hanging="0" w:left="0"/>
              <w:contextualSpacing/>
              <w:jc w:val="center"/>
              <w:rPr>
                <w:b/>
                <w:bCs/>
              </w:rPr>
            </w:pPr>
            <w:r>
              <w:rPr>
                <w:rFonts w:cs="Times New Roman"/>
                <w:b/>
                <w:bCs/>
                <w:kern w:val="0"/>
                <w:lang w:val="ru-RU" w:eastAsia="ru-RU" w:bidi="ar-SA"/>
              </w:rPr>
              <w:t>4.</w:t>
            </w:r>
          </w:p>
        </w:tc>
        <w:tc>
          <w:tcPr>
            <w:tcW w:w="6468" w:type="dxa"/>
            <w:gridSpan w:val="5"/>
            <w:tcBorders/>
            <w:shd w:color="auto" w:fill="auto" w:val="clear"/>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конструкции, изготовлению и материалам</w:t>
            </w:r>
          </w:p>
        </w:tc>
        <w:tc>
          <w:tcPr>
            <w:tcW w:w="2549"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834"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13"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rHeight w:val="873" w:hRule="atLeast"/>
        </w:trPr>
        <w:tc>
          <w:tcPr>
            <w:tcW w:w="944" w:type="dxa"/>
            <w:tcBorders/>
            <w:shd w:color="auto" w:fill="auto" w:val="clear"/>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4.1.</w:t>
            </w:r>
          </w:p>
        </w:tc>
        <w:tc>
          <w:tcPr>
            <w:tcW w:w="1897" w:type="dxa"/>
            <w:gridSpan w:val="4"/>
            <w:tcBorders/>
            <w:shd w:color="auto" w:fill="auto" w:val="clear"/>
            <w:vAlign w:val="center"/>
          </w:tcPr>
          <w:p>
            <w:pPr>
              <w:pStyle w:val="Normal"/>
              <w:widowControl w:val="false"/>
              <w:suppressAutoHyphens w:val="true"/>
              <w:spacing w:before="0" w:after="0"/>
              <w:jc w:val="left"/>
              <w:rPr>
                <w:bCs/>
                <w:sz w:val="24"/>
                <w:szCs w:val="24"/>
                <w:lang w:val="en-US"/>
              </w:rPr>
            </w:pPr>
            <w:r>
              <w:rPr>
                <w:rFonts w:eastAsia="Times New Roman" w:cs="Times New Roman"/>
                <w:bCs/>
                <w:kern w:val="0"/>
                <w:sz w:val="24"/>
                <w:szCs w:val="24"/>
                <w:lang w:val="en-US" w:eastAsia="ru-RU" w:bidi="ar-SA"/>
              </w:rPr>
              <w:t>Требования к материалам</w:t>
            </w:r>
          </w:p>
        </w:tc>
        <w:tc>
          <w:tcPr>
            <w:tcW w:w="4571" w:type="dxa"/>
            <w:tcBorders/>
            <w:shd w:color="auto" w:fill="auto" w:val="clear"/>
            <w:vAlign w:val="center"/>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Поставляемые материалы должны быть новыми, соответствовать требованиям заявленным согласно  Приложения №</w:t>
            </w:r>
            <w:r>
              <w:rPr>
                <w:rFonts w:eastAsia="Times New Roman" w:cs="Times New Roman"/>
                <w:bCs/>
                <w:kern w:val="0"/>
                <w:sz w:val="24"/>
                <w:szCs w:val="24"/>
                <w:lang w:val="ru-RU" w:eastAsia="ru-RU" w:bidi="ar-SA"/>
              </w:rPr>
              <w:t>2,3</w:t>
            </w:r>
            <w:r>
              <w:rPr>
                <w:rFonts w:eastAsia="Times New Roman" w:cs="Times New Roman"/>
                <w:bCs/>
                <w:kern w:val="0"/>
                <w:sz w:val="24"/>
                <w:szCs w:val="24"/>
                <w:lang w:val="ru-RU" w:eastAsia="ru-RU" w:bidi="ar-SA"/>
              </w:rPr>
              <w:t xml:space="preserve"> к ТТ. </w:t>
            </w:r>
          </w:p>
        </w:tc>
        <w:tc>
          <w:tcPr>
            <w:tcW w:w="2549"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2834"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2513" w:type="dxa"/>
            <w:tcBorders/>
            <w:shd w:color="auto" w:fill="auto" w:val="clear"/>
          </w:tcPr>
          <w:p>
            <w:pPr>
              <w:pStyle w:val="Normal"/>
              <w:widowControl w:val="false"/>
              <w:suppressAutoHyphens w:val="true"/>
              <w:spacing w:before="0" w:after="0"/>
              <w:jc w:val="center"/>
              <w:rPr>
                <w:b/>
                <w:sz w:val="24"/>
                <w:szCs w:val="24"/>
              </w:rPr>
            </w:pPr>
            <w:r>
              <w:rPr>
                <w:b/>
                <w:sz w:val="24"/>
                <w:szCs w:val="24"/>
              </w:rPr>
            </w:r>
          </w:p>
        </w:tc>
      </w:tr>
      <w:tr>
        <w:trPr/>
        <w:tc>
          <w:tcPr>
            <w:tcW w:w="944" w:type="dxa"/>
            <w:tcBorders/>
            <w:shd w:color="auto" w:fill="auto" w:val="clear"/>
            <w:vAlign w:val="center"/>
          </w:tcPr>
          <w:p>
            <w:pPr>
              <w:pStyle w:val="ListParagraph"/>
              <w:widowControl w:val="false"/>
              <w:suppressAutoHyphens w:val="true"/>
              <w:spacing w:before="60" w:after="60"/>
              <w:ind w:hanging="0" w:left="0"/>
              <w:contextualSpacing/>
              <w:jc w:val="center"/>
              <w:rPr>
                <w:b/>
                <w:bCs/>
              </w:rPr>
            </w:pPr>
            <w:r>
              <w:rPr>
                <w:rFonts w:cs="Times New Roman"/>
                <w:b/>
                <w:bCs/>
                <w:kern w:val="0"/>
                <w:lang w:val="ru-RU" w:eastAsia="ru-RU" w:bidi="ar-SA"/>
              </w:rPr>
              <w:t>5.</w:t>
            </w:r>
          </w:p>
        </w:tc>
        <w:tc>
          <w:tcPr>
            <w:tcW w:w="6468" w:type="dxa"/>
            <w:gridSpan w:val="5"/>
            <w:tcBorders/>
            <w:shd w:color="auto" w:fill="auto" w:val="clear"/>
            <w:vAlign w:val="center"/>
          </w:tcPr>
          <w:p>
            <w:pPr>
              <w:pStyle w:val="Normal"/>
              <w:widowControl w:val="false"/>
              <w:suppressAutoHyphens w:val="true"/>
              <w:spacing w:before="60" w:after="0"/>
              <w:jc w:val="left"/>
              <w:rPr>
                <w:b/>
                <w:sz w:val="24"/>
                <w:szCs w:val="24"/>
              </w:rPr>
            </w:pPr>
            <w:r>
              <w:rPr>
                <w:rFonts w:eastAsia="Times New Roman" w:cs="Times New Roman"/>
                <w:b/>
                <w:kern w:val="0"/>
                <w:sz w:val="24"/>
                <w:szCs w:val="24"/>
                <w:lang w:val="ru-RU" w:eastAsia="ru-RU" w:bidi="ar-SA"/>
              </w:rPr>
              <w:t>Требования к гарантиям, гарантийному и послегарантийному обслуживанию</w:t>
            </w:r>
          </w:p>
        </w:tc>
        <w:tc>
          <w:tcPr>
            <w:tcW w:w="2549" w:type="dxa"/>
            <w:tcBorders/>
            <w:shd w:color="auto" w:fill="auto" w:val="clear"/>
          </w:tcPr>
          <w:p>
            <w:pPr>
              <w:pStyle w:val="Normal"/>
              <w:widowControl w:val="false"/>
              <w:suppressAutoHyphens w:val="true"/>
              <w:spacing w:before="20" w:after="0"/>
              <w:jc w:val="center"/>
              <w:rPr>
                <w:b/>
                <w:sz w:val="24"/>
                <w:szCs w:val="24"/>
              </w:rPr>
            </w:pPr>
            <w:r>
              <w:rPr>
                <w:rFonts w:eastAsia="Times New Roman" w:cs="Times New Roman"/>
                <w:b/>
                <w:kern w:val="0"/>
                <w:sz w:val="24"/>
                <w:szCs w:val="24"/>
                <w:lang w:val="ru-RU" w:eastAsia="ru-RU" w:bidi="ar-SA"/>
              </w:rPr>
              <w:t>-//-</w:t>
            </w:r>
          </w:p>
        </w:tc>
        <w:tc>
          <w:tcPr>
            <w:tcW w:w="2834" w:type="dxa"/>
            <w:tcBorders/>
            <w:shd w:color="auto" w:fill="auto" w:val="clear"/>
          </w:tcPr>
          <w:p>
            <w:pPr>
              <w:pStyle w:val="Normal"/>
              <w:widowControl w:val="false"/>
              <w:suppressAutoHyphens w:val="true"/>
              <w:spacing w:before="20" w:after="0"/>
              <w:jc w:val="center"/>
              <w:rPr>
                <w:b/>
                <w:sz w:val="24"/>
                <w:szCs w:val="24"/>
              </w:rPr>
            </w:pPr>
            <w:r>
              <w:rPr>
                <w:rFonts w:eastAsia="Times New Roman" w:cs="Times New Roman"/>
                <w:b/>
                <w:kern w:val="0"/>
                <w:sz w:val="24"/>
                <w:szCs w:val="24"/>
                <w:lang w:val="ru-RU" w:eastAsia="ru-RU" w:bidi="ar-SA"/>
              </w:rPr>
              <w:t>-//-</w:t>
            </w:r>
          </w:p>
        </w:tc>
        <w:tc>
          <w:tcPr>
            <w:tcW w:w="2513" w:type="dxa"/>
            <w:tcBorders/>
            <w:shd w:color="auto" w:fill="auto" w:val="clear"/>
          </w:tcPr>
          <w:p>
            <w:pPr>
              <w:pStyle w:val="Normal"/>
              <w:widowControl w:val="false"/>
              <w:suppressAutoHyphens w:val="true"/>
              <w:spacing w:before="20" w:after="0"/>
              <w:jc w:val="center"/>
              <w:rPr>
                <w:b/>
                <w:sz w:val="24"/>
                <w:szCs w:val="24"/>
              </w:rPr>
            </w:pPr>
            <w:r>
              <w:rPr>
                <w:rFonts w:eastAsia="Times New Roman" w:cs="Times New Roman"/>
                <w:b/>
                <w:kern w:val="0"/>
                <w:sz w:val="24"/>
                <w:szCs w:val="24"/>
                <w:lang w:val="ru-RU" w:eastAsia="ru-RU" w:bidi="ar-SA"/>
              </w:rPr>
              <w:t>-//-</w:t>
            </w:r>
          </w:p>
        </w:tc>
      </w:tr>
      <w:tr>
        <w:trPr/>
        <w:tc>
          <w:tcPr>
            <w:tcW w:w="944" w:type="dxa"/>
            <w:tcBorders/>
            <w:shd w:color="auto" w:fill="auto" w:val="clear"/>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5.1.</w:t>
            </w:r>
          </w:p>
        </w:tc>
        <w:tc>
          <w:tcPr>
            <w:tcW w:w="1817" w:type="dxa"/>
            <w:gridSpan w:val="2"/>
            <w:tcBorders/>
            <w:shd w:color="auto" w:fill="auto" w:val="clear"/>
          </w:tcPr>
          <w:p>
            <w:pPr>
              <w:pStyle w:val="Normal"/>
              <w:widowControl w:val="false"/>
              <w:suppressAutoHyphens w:val="true"/>
              <w:spacing w:before="0" w:after="0"/>
              <w:jc w:val="center"/>
              <w:rPr>
                <w:sz w:val="24"/>
                <w:szCs w:val="24"/>
                <w:highlight w:val="green"/>
              </w:rPr>
            </w:pPr>
            <w:r>
              <w:rPr>
                <w:rFonts w:eastAsia="Times New Roman" w:cs="Times New Roman"/>
                <w:kern w:val="0"/>
                <w:sz w:val="24"/>
                <w:szCs w:val="24"/>
                <w:lang w:val="ru-RU" w:eastAsia="ru-RU" w:bidi="ar-SA"/>
              </w:rPr>
              <w:t>Срок гарантии</w:t>
            </w:r>
          </w:p>
        </w:tc>
        <w:tc>
          <w:tcPr>
            <w:tcW w:w="4651" w:type="dxa"/>
            <w:gridSpan w:val="3"/>
            <w:tcBorders/>
            <w:shd w:color="auto" w:fill="auto" w:val="clear"/>
          </w:tcPr>
          <w:p>
            <w:pPr>
              <w:pStyle w:val="Normal"/>
              <w:widowControl w:val="false"/>
              <w:suppressAutoHyphens w:val="true"/>
              <w:spacing w:lineRule="auto" w:line="276" w:before="0" w:after="0"/>
              <w:jc w:val="both"/>
              <w:rPr>
                <w:sz w:val="24"/>
                <w:szCs w:val="24"/>
                <w:highlight w:val="green"/>
              </w:rPr>
            </w:pPr>
            <w:r>
              <w:rPr>
                <w:rFonts w:eastAsia="Times New Roman" w:cs="Times New Roman"/>
                <w:bCs/>
                <w:color w:val="000000"/>
                <w:kern w:val="0"/>
                <w:sz w:val="24"/>
                <w:szCs w:val="24"/>
                <w:lang w:val="ru-RU" w:eastAsia="ru-RU" w:bidi="ar-SA"/>
              </w:rPr>
              <w:t>Срок гарантии не менее 24 месяца без воздействия средств поражений.</w:t>
            </w:r>
          </w:p>
        </w:tc>
        <w:tc>
          <w:tcPr>
            <w:tcW w:w="2549"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shd w:color="auto" w:fill="auto" w:val="clear"/>
          </w:tcPr>
          <w:p>
            <w:pPr>
              <w:pStyle w:val="Normal"/>
              <w:widowControl w:val="false"/>
              <w:tabs>
                <w:tab w:val="clear" w:pos="720"/>
                <w:tab w:val="left" w:pos="426" w:leader="none"/>
              </w:tabs>
              <w:suppressAutoHyphens w:val="true"/>
              <w:spacing w:before="40" w:after="0"/>
              <w:jc w:val="left"/>
              <w:rPr>
                <w:sz w:val="24"/>
                <w:szCs w:val="24"/>
              </w:rPr>
            </w:pPr>
            <w:r>
              <w:rPr>
                <w:sz w:val="24"/>
                <w:szCs w:val="24"/>
              </w:rPr>
            </w:r>
          </w:p>
        </w:tc>
        <w:tc>
          <w:tcPr>
            <w:tcW w:w="2513" w:type="dxa"/>
            <w:tcBorders/>
            <w:shd w:color="auto" w:fill="auto" w:val="clear"/>
          </w:tcPr>
          <w:p>
            <w:pPr>
              <w:pStyle w:val="Style28"/>
              <w:keepNext w:val="false"/>
              <w:widowControl w:val="false"/>
              <w:numPr>
                <w:ilvl w:val="0"/>
                <w:numId w:val="0"/>
              </w:numPr>
              <w:suppressAutoHyphens w:val="true"/>
              <w:spacing w:before="0" w:after="60"/>
              <w:ind w:hanging="0" w:left="0"/>
              <w:jc w:val="left"/>
              <w:outlineLvl w:val="2"/>
              <w:rPr>
                <w:rFonts w:eastAsia="Times New Roman"/>
                <w:b w:val="false"/>
                <w:lang w:val="ru-RU" w:eastAsia="ru-RU"/>
              </w:rPr>
            </w:pPr>
            <w:r>
              <w:rPr>
                <w:rFonts w:eastAsia="Times New Roman" w:cs="Times New Roman"/>
                <w:b w:val="false"/>
                <w:kern w:val="0"/>
                <w:sz w:val="20"/>
                <w:szCs w:val="20"/>
                <w:lang w:val="ru-RU" w:eastAsia="ru-RU" w:bidi="ar-SA"/>
              </w:rPr>
            </w:r>
          </w:p>
        </w:tc>
      </w:tr>
      <w:tr>
        <w:trPr/>
        <w:tc>
          <w:tcPr>
            <w:tcW w:w="944" w:type="dxa"/>
            <w:tcBorders/>
            <w:shd w:color="auto" w:fill="auto" w:val="clear"/>
            <w:vAlign w:val="center"/>
          </w:tcPr>
          <w:p>
            <w:pPr>
              <w:pStyle w:val="ListParagraph"/>
              <w:widowControl w:val="false"/>
              <w:suppressAutoHyphens w:val="true"/>
              <w:spacing w:before="60" w:after="60"/>
              <w:ind w:hanging="0" w:left="0"/>
              <w:contextualSpacing/>
              <w:jc w:val="center"/>
              <w:rPr>
                <w:b/>
                <w:bCs/>
              </w:rPr>
            </w:pPr>
            <w:r>
              <w:rPr>
                <w:rFonts w:cs="Times New Roman"/>
                <w:b/>
                <w:bCs/>
                <w:kern w:val="0"/>
                <w:lang w:val="ru-RU" w:eastAsia="ru-RU" w:bidi="ar-SA"/>
              </w:rPr>
              <w:t>6.</w:t>
            </w:r>
          </w:p>
        </w:tc>
        <w:tc>
          <w:tcPr>
            <w:tcW w:w="6468" w:type="dxa"/>
            <w:gridSpan w:val="5"/>
            <w:tcBorders/>
            <w:shd w:color="auto" w:fill="auto" w:val="clear"/>
            <w:vAlign w:val="center"/>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Требования к комплектации и документам</w:t>
            </w:r>
          </w:p>
        </w:tc>
        <w:tc>
          <w:tcPr>
            <w:tcW w:w="2549" w:type="dxa"/>
            <w:tcBorders/>
            <w:shd w:color="auto" w:fill="auto" w:val="clea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834" w:type="dxa"/>
            <w:tcBorders/>
            <w:shd w:color="auto" w:fill="auto" w:val="clea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13" w:type="dxa"/>
            <w:tcBorders/>
            <w:shd w:color="auto" w:fill="auto" w:val="clea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44" w:type="dxa"/>
            <w:tcBorders/>
            <w:shd w:color="auto" w:fill="auto" w:val="clear"/>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6.1.</w:t>
            </w:r>
          </w:p>
        </w:tc>
        <w:tc>
          <w:tcPr>
            <w:tcW w:w="1817" w:type="dxa"/>
            <w:gridSpan w:val="2"/>
            <w:tcBorders/>
            <w:shd w:color="auto" w:fill="auto" w:val="clear"/>
            <w:vAlign w:val="center"/>
          </w:tcPr>
          <w:p>
            <w:pPr>
              <w:pStyle w:val="Normal"/>
              <w:widowControl w:val="false"/>
              <w:suppressAutoHyphens w:val="true"/>
              <w:spacing w:before="0" w:after="0"/>
              <w:jc w:val="center"/>
              <w:rPr>
                <w:sz w:val="24"/>
                <w:szCs w:val="24"/>
                <w:highlight w:val="green"/>
              </w:rPr>
            </w:pPr>
            <w:r>
              <w:rPr>
                <w:rFonts w:eastAsia="Times New Roman" w:cs="Times New Roman"/>
                <w:kern w:val="0"/>
                <w:sz w:val="24"/>
                <w:szCs w:val="24"/>
                <w:lang w:val="ru-RU" w:eastAsia="ru-RU" w:bidi="ar-SA"/>
              </w:rPr>
              <w:t>Техническая часть заявки</w:t>
            </w:r>
          </w:p>
        </w:tc>
        <w:tc>
          <w:tcPr>
            <w:tcW w:w="4651" w:type="dxa"/>
            <w:gridSpan w:val="3"/>
            <w:tcBorders/>
            <w:shd w:color="auto" w:fill="auto" w:val="clear"/>
            <w:vAlign w:val="center"/>
          </w:tcPr>
          <w:p>
            <w:pPr>
              <w:pStyle w:val="Normal"/>
              <w:widowControl w:val="false"/>
              <w:suppressAutoHyphens w:val="true"/>
              <w:spacing w:lineRule="auto" w:line="276" w:before="0" w:after="0"/>
              <w:jc w:val="both"/>
              <w:rPr>
                <w:sz w:val="24"/>
                <w:szCs w:val="24"/>
                <w:highlight w:val="green"/>
              </w:rPr>
            </w:pPr>
            <w:r>
              <w:rPr>
                <w:rFonts w:eastAsia="Times New Roman" w:cs="Times New Roman"/>
                <w:kern w:val="0"/>
                <w:sz w:val="24"/>
                <w:szCs w:val="24"/>
                <w:lang w:val="ru-RU" w:eastAsia="ru-RU" w:bidi="ar-SA"/>
              </w:rPr>
              <w:t>В технической части заявка участника должна содержать информацию о полном наименовании материалов или их эквиваленте с указанием параметров поставляемых материалов, в том числе:</w:t>
            </w:r>
          </w:p>
        </w:tc>
        <w:tc>
          <w:tcPr>
            <w:tcW w:w="2549"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6.2.</w:t>
            </w:r>
          </w:p>
        </w:tc>
        <w:tc>
          <w:tcPr>
            <w:tcW w:w="1817" w:type="dxa"/>
            <w:gridSpan w:val="2"/>
            <w:tcBorders>
              <w:top w:val="nil"/>
            </w:tcBorders>
            <w:shd w:color="auto" w:fill="auto" w:val="clear"/>
            <w:vAlign w:val="center"/>
          </w:tcPr>
          <w:p>
            <w:pPr>
              <w:pStyle w:val="Normal"/>
              <w:widowControl w:val="false"/>
              <w:suppressAutoHyphens w:val="true"/>
              <w:spacing w:lineRule="auto" w:line="276" w:before="0" w:after="0"/>
              <w:ind w:hanging="11"/>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На этапе поставки должны быть представлены</w:t>
            </w:r>
          </w:p>
        </w:tc>
        <w:tc>
          <w:tcPr>
            <w:tcW w:w="4651" w:type="dxa"/>
            <w:gridSpan w:val="3"/>
            <w:tcBorders>
              <w:top w:val="nil"/>
            </w:tcBorders>
            <w:shd w:color="auto" w:fill="auto" w:val="clear"/>
            <w:vAlign w:val="center"/>
          </w:tcPr>
          <w:p>
            <w:pPr>
              <w:pStyle w:val="Normal"/>
              <w:widowControl w:val="false"/>
              <w:suppressAutoHyphens w:val="true"/>
              <w:spacing w:lineRule="auto" w:line="276" w:before="0" w:after="0"/>
              <w:ind w:firstLine="284"/>
              <w:jc w:val="both"/>
              <w:rPr>
                <w:rFonts w:ascii="Times New Roman" w:hAnsi="Times New Roman" w:eastAsia="Times New Roman" w:cs="Times New Roman"/>
                <w:kern w:val="0"/>
                <w:lang w:val="ru-RU" w:eastAsia="ru-RU" w:bidi="ar-SA"/>
              </w:rPr>
            </w:pPr>
            <w:r>
              <w:rPr/>
            </w:r>
          </w:p>
          <w:p>
            <w:pPr>
              <w:pStyle w:val="Normal"/>
              <w:widowControl w:val="false"/>
              <w:suppressAutoHyphens w:val="true"/>
              <w:spacing w:lineRule="auto" w:line="276" w:before="0" w:after="0"/>
              <w:ind w:firstLine="284"/>
              <w:jc w:val="both"/>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 паспорт качества на русском языке (обязательно);</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7.</w:t>
            </w:r>
          </w:p>
        </w:tc>
        <w:tc>
          <w:tcPr>
            <w:tcW w:w="6468" w:type="dxa"/>
            <w:gridSpan w:val="5"/>
            <w:tcBorders>
              <w:top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Требования к применяемым при оказании услуг оборудованию, материалам, технологиям, программно-аппаратным средствам</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7.1.</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0" w:after="0"/>
              <w:jc w:val="left"/>
              <w:rPr>
                <w:sz w:val="24"/>
                <w:szCs w:val="24"/>
              </w:rPr>
            </w:pPr>
            <w:r>
              <w:rPr>
                <w:rFonts w:eastAsia="Times New Roman" w:cs="Times New Roman"/>
                <w:kern w:val="0"/>
                <w:sz w:val="24"/>
                <w:szCs w:val="24"/>
                <w:lang w:val="en-US" w:eastAsia="ru-RU" w:bidi="ar-SA"/>
              </w:rPr>
              <w:t>Материалы</w:t>
            </w:r>
          </w:p>
        </w:tc>
        <w:tc>
          <w:tcPr>
            <w:tcW w:w="4608" w:type="dxa"/>
            <w:gridSpan w:val="2"/>
            <w:tcBorders>
              <w:top w:val="nil"/>
            </w:tcBorders>
            <w:shd w:color="auto" w:fill="auto" w:val="clear"/>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 xml:space="preserve">Объемы материалов, необходимые для оказания услуг, в соответствии с </w:t>
            </w:r>
            <w:r>
              <w:rPr>
                <w:rFonts w:eastAsia="Times New Roman" w:cs="Times New Roman"/>
                <w:kern w:val="0"/>
                <w:sz w:val="24"/>
                <w:szCs w:val="24"/>
                <w:lang w:val="ru-RU" w:eastAsia="ru-RU" w:bidi="ar-SA"/>
              </w:rPr>
              <w:t>приложениями</w:t>
            </w: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2,3</w:t>
            </w:r>
            <w:r>
              <w:rPr>
                <w:rFonts w:eastAsia="Times New Roman" w:cs="Times New Roman"/>
                <w:kern w:val="0"/>
                <w:sz w:val="24"/>
                <w:szCs w:val="24"/>
                <w:lang w:val="ru-RU" w:eastAsia="ru-RU" w:bidi="ar-SA"/>
              </w:rPr>
              <w:t xml:space="preserve"> ТТ);</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7.2.</w:t>
            </w:r>
          </w:p>
        </w:tc>
        <w:tc>
          <w:tcPr>
            <w:tcW w:w="1860" w:type="dxa"/>
            <w:gridSpan w:val="3"/>
            <w:tcBorders>
              <w:top w:val="nil"/>
              <w:right w:val="nil"/>
            </w:tcBorders>
            <w:shd w:color="auto" w:fill="auto" w:val="clear"/>
            <w:vAlign w:val="center"/>
          </w:tcPr>
          <w:p>
            <w:pPr>
              <w:pStyle w:val="Normal"/>
              <w:keepNext w:val="true"/>
              <w:widowControl w:val="false"/>
              <w:numPr>
                <w:ilvl w:val="0"/>
                <w:numId w:val="0"/>
              </w:numPr>
              <w:suppressAutoHyphens w:val="true"/>
              <w:spacing w:before="0" w:after="0"/>
              <w:ind w:hanging="0" w:left="0"/>
              <w:jc w:val="left"/>
              <w:outlineLvl w:val="0"/>
              <w:rPr>
                <w:sz w:val="24"/>
                <w:szCs w:val="24"/>
              </w:rPr>
            </w:pPr>
            <w:r>
              <w:rPr>
                <w:rFonts w:eastAsia="Times New Roman" w:cs="Times New Roman"/>
                <w:kern w:val="0"/>
                <w:sz w:val="24"/>
                <w:szCs w:val="24"/>
                <w:lang w:val="x-none" w:eastAsia="x-none" w:bidi="ar-SA"/>
              </w:rPr>
              <w:t>Наличие собственного оборудования и инструмента</w:t>
            </w:r>
          </w:p>
        </w:tc>
        <w:tc>
          <w:tcPr>
            <w:tcW w:w="4608" w:type="dxa"/>
            <w:gridSpan w:val="2"/>
            <w:tcBorders>
              <w:top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x-none" w:bidi="ar-SA"/>
              </w:rPr>
              <w:t xml:space="preserve">Участник </w:t>
            </w:r>
            <w:r>
              <w:rPr>
                <w:rFonts w:eastAsia="Times New Roman" w:cs="Times New Roman"/>
                <w:kern w:val="0"/>
                <w:sz w:val="24"/>
                <w:szCs w:val="24"/>
                <w:lang w:val="ru-RU" w:eastAsia="ru-RU" w:bidi="ar-SA"/>
              </w:rPr>
              <w:t>должен иметь собственное  оборудование и инструмент необходимые для оказания услуг.</w:t>
            </w:r>
          </w:p>
          <w:p>
            <w:pPr>
              <w:pStyle w:val="Normal"/>
              <w:widowControl w:val="false"/>
              <w:suppressAutoHyphens w:val="true"/>
              <w:spacing w:before="0" w:after="0"/>
              <w:ind w:firstLine="181"/>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 xml:space="preserve">8. </w:t>
            </w:r>
          </w:p>
        </w:tc>
        <w:tc>
          <w:tcPr>
            <w:tcW w:w="6468" w:type="dxa"/>
            <w:gridSpan w:val="5"/>
            <w:tcBorders>
              <w:top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Требования к контролю качества оказанных услуг и материалов</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8.1.</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0" w:after="0"/>
              <w:jc w:val="left"/>
              <w:rPr>
                <w:sz w:val="24"/>
                <w:szCs w:val="24"/>
              </w:rPr>
            </w:pPr>
            <w:r>
              <w:rPr>
                <w:rFonts w:eastAsia="Times New Roman" w:cs="Times New Roman"/>
                <w:kern w:val="0"/>
                <w:sz w:val="24"/>
                <w:szCs w:val="24"/>
                <w:lang w:val="en-US" w:eastAsia="ru-RU" w:bidi="ar-SA"/>
              </w:rPr>
              <w:t>Требования к качеству материалов</w:t>
            </w:r>
          </w:p>
        </w:tc>
        <w:tc>
          <w:tcPr>
            <w:tcW w:w="4608" w:type="dxa"/>
            <w:gridSpan w:val="2"/>
            <w:tcBorders>
              <w:top w:val="nil"/>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 оказании услуг должны применяться материалы, соответствие которых нормативным требованиям подтверждено декларацией о соответствии или сертификатом соответствия.</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8.2.</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0" w:after="0"/>
              <w:jc w:val="left"/>
              <w:rPr>
                <w:sz w:val="24"/>
                <w:szCs w:val="24"/>
              </w:rPr>
            </w:pPr>
            <w:r>
              <w:rPr>
                <w:sz w:val="24"/>
                <w:szCs w:val="24"/>
              </w:rPr>
            </w:r>
          </w:p>
        </w:tc>
        <w:tc>
          <w:tcPr>
            <w:tcW w:w="4608" w:type="dxa"/>
            <w:gridSpan w:val="2"/>
            <w:tcBorders>
              <w:top w:val="nil"/>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Использование материалов, не соответствующих требованиям ТТ, допускается, если они по своим свойствам и техническим характеристикам не ниже требуемых, только после письменного согласования Заказчиком.</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8.3.</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Требования к контролю качества Услуг</w:t>
            </w:r>
          </w:p>
        </w:tc>
        <w:tc>
          <w:tcPr>
            <w:tcW w:w="4608" w:type="dxa"/>
            <w:gridSpan w:val="2"/>
            <w:tcBorders>
              <w:top w:val="nil"/>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 xml:space="preserve">Текущий контроль оказываемых услуг должен включать в себя надзор за правильностью и последовательностью выполнения отдельных технологических операций. </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Приемочный контроль. Перечень этапов и видов оказываемых услуг, подлежащих приемке, должен быть согласован с Заказчиком.</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9.</w:t>
            </w:r>
          </w:p>
        </w:tc>
        <w:tc>
          <w:tcPr>
            <w:tcW w:w="6468" w:type="dxa"/>
            <w:gridSpan w:val="5"/>
            <w:tcBorders>
              <w:top w:val="nil"/>
            </w:tcBorders>
            <w:shd w:color="auto" w:fill="auto" w:val="clear"/>
            <w:vAlign w:val="center"/>
          </w:tcPr>
          <w:p>
            <w:pPr>
              <w:pStyle w:val="Normal"/>
              <w:widowControl w:val="false"/>
              <w:suppressAutoHyphens w:val="true"/>
              <w:spacing w:before="0" w:after="0"/>
              <w:jc w:val="left"/>
              <w:rPr>
                <w:sz w:val="24"/>
                <w:szCs w:val="24"/>
                <w:lang w:val="en-US"/>
              </w:rPr>
            </w:pPr>
            <w:r>
              <w:rPr>
                <w:rFonts w:eastAsia="Times New Roman" w:cs="Times New Roman"/>
                <w:b/>
                <w:kern w:val="0"/>
                <w:sz w:val="24"/>
                <w:szCs w:val="24"/>
                <w:lang w:val="ru-RU" w:eastAsia="ru-RU" w:bidi="ar-SA"/>
              </w:rPr>
              <w:t xml:space="preserve">Требования к персоналу </w:t>
            </w:r>
            <w:r>
              <w:rPr>
                <w:rFonts w:eastAsia="Times New Roman" w:cs="Times New Roman"/>
                <w:b/>
                <w:kern w:val="0"/>
                <w:sz w:val="24"/>
                <w:szCs w:val="24"/>
                <w:lang w:val="en-US" w:eastAsia="ru-RU" w:bidi="ar-SA"/>
              </w:rPr>
              <w:t>Участника</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9.1.</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0" w:after="0"/>
              <w:jc w:val="left"/>
              <w:rPr>
                <w:sz w:val="24"/>
                <w:szCs w:val="24"/>
              </w:rPr>
            </w:pPr>
            <w:r>
              <w:rPr>
                <w:rFonts w:eastAsia="Times New Roman" w:cs="Times New Roman"/>
                <w:kern w:val="0"/>
                <w:sz w:val="24"/>
                <w:szCs w:val="24"/>
                <w:lang w:val="en-US" w:eastAsia="ru-RU" w:bidi="ar-SA"/>
              </w:rPr>
              <w:t>Требования к персоналу</w:t>
            </w:r>
          </w:p>
        </w:tc>
        <w:tc>
          <w:tcPr>
            <w:tcW w:w="4608" w:type="dxa"/>
            <w:gridSpan w:val="2"/>
            <w:tcBorders>
              <w:top w:val="nil"/>
            </w:tcBorders>
            <w:shd w:color="auto" w:fill="auto" w:val="clear"/>
            <w:vAlign w:val="center"/>
          </w:tcPr>
          <w:p>
            <w:pPr>
              <w:pStyle w:val="Normal"/>
              <w:widowControl w:val="false"/>
              <w:tabs>
                <w:tab w:val="clear" w:pos="720"/>
                <w:tab w:val="left" w:pos="426" w:leader="none"/>
              </w:tabs>
              <w:suppressAutoHyphens w:val="true"/>
              <w:spacing w:before="0" w:after="0"/>
              <w:jc w:val="both"/>
              <w:rPr>
                <w:sz w:val="24"/>
                <w:szCs w:val="24"/>
              </w:rPr>
            </w:pPr>
            <w:r>
              <w:rPr>
                <w:rFonts w:eastAsia="Times New Roman" w:cs="Times New Roman"/>
                <w:iCs/>
                <w:kern w:val="0"/>
                <w:sz w:val="24"/>
                <w:szCs w:val="24"/>
                <w:lang w:val="ru-RU" w:eastAsia="ru-RU" w:bidi="ar-SA"/>
              </w:rPr>
              <w:t>Наличие у Участника или у привлекаемых соисполнителей собственного или привлеченного (по трудовым либо гражданско-правовым договорам) квалифицированного персонала в количестве, не менее указанного в Приложении № 8 к ТТ.</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9.2.</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Информация о субподрядных организациях</w:t>
            </w:r>
          </w:p>
        </w:tc>
        <w:tc>
          <w:tcPr>
            <w:tcW w:w="4608" w:type="dxa"/>
            <w:gridSpan w:val="2"/>
            <w:tcBorders>
              <w:top w:val="nil"/>
            </w:tcBorders>
            <w:shd w:color="auto" w:fill="auto" w:val="clear"/>
            <w:vAlign w:val="center"/>
          </w:tcPr>
          <w:p>
            <w:pPr>
              <w:pStyle w:val="Normal"/>
              <w:widowControl w:val="false"/>
              <w:tabs>
                <w:tab w:val="clear" w:pos="720"/>
                <w:tab w:val="left" w:pos="426" w:leader="none"/>
              </w:tabs>
              <w:suppressAutoHyphens w:val="true"/>
              <w:spacing w:before="0" w:after="0"/>
              <w:jc w:val="both"/>
              <w:rPr>
                <w:sz w:val="24"/>
                <w:szCs w:val="24"/>
              </w:rPr>
            </w:pPr>
            <w:r>
              <w:rPr>
                <w:rFonts w:eastAsia="Times New Roman" w:cs="Times New Roman"/>
                <w:iCs/>
                <w:kern w:val="0"/>
                <w:sz w:val="24"/>
                <w:szCs w:val="24"/>
                <w:lang w:val="ru-RU" w:eastAsia="ru-RU" w:bidi="ar-SA"/>
              </w:rPr>
              <w:t>Указать, приложить документы, подтверждающие готовность и возможность субподрядчиков оказать услуги.</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10.</w:t>
            </w:r>
          </w:p>
        </w:tc>
        <w:tc>
          <w:tcPr>
            <w:tcW w:w="6468" w:type="dxa"/>
            <w:gridSpan w:val="5"/>
            <w:tcBorders>
              <w:top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Требования к безопасности работ и охране труда</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sz w:val="24"/>
                <w:szCs w:val="24"/>
              </w:rPr>
            </w:r>
          </w:p>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10.1.</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60" w:after="0"/>
              <w:jc w:val="left"/>
              <w:rPr>
                <w:sz w:val="24"/>
                <w:szCs w:val="24"/>
              </w:rPr>
            </w:pPr>
            <w:r>
              <w:rPr>
                <w:rFonts w:eastAsia="Times New Roman" w:cs="Times New Roman"/>
                <w:kern w:val="0"/>
                <w:sz w:val="24"/>
                <w:szCs w:val="24"/>
                <w:lang w:val="ru-RU" w:eastAsia="ru-RU" w:bidi="ar-SA"/>
              </w:rPr>
              <w:t>Общие требования к безопасности</w:t>
            </w:r>
          </w:p>
        </w:tc>
        <w:tc>
          <w:tcPr>
            <w:tcW w:w="4608" w:type="dxa"/>
            <w:gridSpan w:val="2"/>
            <w:tcBorders>
              <w:top w:val="nil"/>
            </w:tcBorders>
            <w:shd w:color="auto" w:fill="auto" w:val="clear"/>
            <w:vAlign w:val="center"/>
          </w:tcPr>
          <w:p>
            <w:pPr>
              <w:pStyle w:val="ListParagraph"/>
              <w:widowControl w:val="false"/>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iCs/>
                <w:kern w:val="0"/>
                <w:lang w:val="ru-RU" w:eastAsia="ru-RU" w:bidi="ar-SA"/>
              </w:rPr>
              <w:t>Оказание услуг осуществляется в условиях действующего предприятия:</w:t>
            </w:r>
          </w:p>
          <w:p>
            <w:pPr>
              <w:pStyle w:val="ListParagraph"/>
              <w:widowControl w:val="false"/>
              <w:numPr>
                <w:ilvl w:val="0"/>
                <w:numId w:val="3"/>
              </w:numPr>
              <w:tabs>
                <w:tab w:val="clear" w:pos="720"/>
                <w:tab w:val="left" w:pos="60" w:leader="none"/>
              </w:tabs>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kern w:val="0"/>
                <w:lang w:val="ru-RU" w:eastAsia="ru-RU" w:bidi="ar-SA"/>
              </w:rPr>
              <w:t>Оказание услуг на открытых и площадках</w:t>
            </w:r>
            <w:r>
              <w:rPr>
                <w:rFonts w:eastAsia="Times New Roman" w:cs="Times New Roman"/>
                <w:kern w:val="0"/>
                <w:lang w:val="ru-RU" w:eastAsia="ru-RU" w:bidi="ar-SA"/>
              </w:rPr>
              <w:t xml:space="preserve"> вблизи объектов, находящихся под высоким напряжением, в том числе в охранной зоне действующей воздушной линии электропередачи;</w:t>
            </w:r>
          </w:p>
          <w:p>
            <w:pPr>
              <w:pStyle w:val="Default"/>
              <w:widowControl w:val="false"/>
              <w:numPr>
                <w:ilvl w:val="0"/>
                <w:numId w:val="3"/>
              </w:numPr>
              <w:suppressAutoHyphens w:val="true"/>
              <w:spacing w:before="0" w:after="0"/>
              <w:ind w:hanging="284" w:left="0"/>
              <w:jc w:val="both"/>
              <w:rPr>
                <w:rFonts w:ascii="Times New Roman" w:hAnsi="Times New Roman" w:cs="Times New Roman"/>
                <w:kern w:val="0"/>
                <w:lang w:val="ru-RU" w:bidi="ar-SA"/>
              </w:rPr>
            </w:pPr>
            <w:r>
              <w:rPr>
                <w:rFonts w:eastAsia="Calibri" w:cs="Times New Roman"/>
                <w:color w:val="auto"/>
                <w:kern w:val="0"/>
                <w:lang w:val="ru-RU" w:eastAsia="x-none" w:bidi="ar-SA"/>
              </w:rPr>
              <w:t>;</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10.2.</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60" w:after="0"/>
              <w:jc w:val="left"/>
              <w:rPr>
                <w:sz w:val="24"/>
                <w:szCs w:val="24"/>
              </w:rPr>
            </w:pPr>
            <w:r>
              <w:rPr>
                <w:rFonts w:eastAsia="Times New Roman" w:cs="Times New Roman"/>
                <w:kern w:val="0"/>
                <w:sz w:val="24"/>
                <w:szCs w:val="24"/>
                <w:lang w:val="ru-RU" w:eastAsia="ru-RU" w:bidi="ar-SA"/>
              </w:rPr>
              <w:t>Требования к безопасности оказываемых услуг.</w:t>
            </w:r>
          </w:p>
        </w:tc>
        <w:tc>
          <w:tcPr>
            <w:tcW w:w="4608" w:type="dxa"/>
            <w:gridSpan w:val="2"/>
            <w:tcBorders>
              <w:top w:val="nil"/>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iCs/>
                <w:kern w:val="0"/>
                <w:sz w:val="24"/>
                <w:szCs w:val="24"/>
                <w:lang w:val="ru-RU" w:eastAsia="ru-RU" w:bidi="ar-SA"/>
              </w:rPr>
              <w:t>Участник должен соблюдать требования действующего федерального законодательства Российской Федерации, нормативных правовых актов субъектов Российской Федерации, в т.ч. охране окружающей среды, промышленной и пожарной безопасности, охране труда, а также все прочие законы и нормативные акты, относящиеся к сфере деятельности.</w:t>
            </w:r>
          </w:p>
          <w:p>
            <w:pPr>
              <w:pStyle w:val="Normal"/>
              <w:widowControl w:val="false"/>
              <w:suppressAutoHyphens w:val="true"/>
              <w:spacing w:before="0" w:after="0"/>
              <w:jc w:val="both"/>
              <w:rPr>
                <w:sz w:val="24"/>
                <w:szCs w:val="24"/>
              </w:rPr>
            </w:pPr>
            <w:r>
              <w:rPr>
                <w:rFonts w:eastAsia="Times New Roman" w:cs="Times New Roman"/>
                <w:iCs/>
                <w:kern w:val="0"/>
                <w:sz w:val="24"/>
                <w:szCs w:val="24"/>
                <w:lang w:val="ru-RU" w:eastAsia="ru-RU" w:bidi="ar-SA"/>
              </w:rPr>
              <w:t>Участник обязан направлять на объекты Заказчика работников, обученных правилам безопасного ведения работ и имеющих все необходимые допуски к производству работ, а также представлять документы на русском языке, подтверждающие аттестацию работников на проведение соответствующих видов работ.</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11.</w:t>
            </w:r>
          </w:p>
        </w:tc>
        <w:tc>
          <w:tcPr>
            <w:tcW w:w="6468" w:type="dxa"/>
            <w:gridSpan w:val="5"/>
            <w:tcBorders>
              <w:top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результатам Услуг</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11.1.</w:t>
            </w:r>
          </w:p>
        </w:tc>
        <w:tc>
          <w:tcPr>
            <w:tcW w:w="6468" w:type="dxa"/>
            <w:gridSpan w:val="5"/>
            <w:tcBorders>
              <w:top w:val="nil"/>
            </w:tcBorders>
            <w:shd w:color="auto" w:fill="auto" w:val="clear"/>
            <w:vAlign w:val="center"/>
          </w:tcPr>
          <w:p>
            <w:pPr>
              <w:pStyle w:val="Normal"/>
              <w:widowControl w:val="false"/>
              <w:suppressAutoHyphens w:val="true"/>
              <w:spacing w:before="60" w:after="0"/>
              <w:jc w:val="left"/>
              <w:rPr>
                <w:sz w:val="24"/>
                <w:szCs w:val="24"/>
              </w:rPr>
            </w:pPr>
            <w:r>
              <w:rPr>
                <w:rFonts w:eastAsia="Times New Roman" w:cs="Times New Roman"/>
                <w:b/>
                <w:kern w:val="0"/>
                <w:sz w:val="24"/>
                <w:szCs w:val="24"/>
                <w:lang w:val="ru-RU" w:eastAsia="ru-RU" w:bidi="ar-SA"/>
              </w:rPr>
              <w:t>Общие требования к результатам Услуг</w:t>
            </w:r>
          </w:p>
          <w:p>
            <w:pPr>
              <w:pStyle w:val="Normal"/>
              <w:widowControl w:val="false"/>
              <w:suppressAutoHyphens w:val="true"/>
              <w:spacing w:before="60" w:after="0"/>
              <w:jc w:val="both"/>
              <w:rPr>
                <w:sz w:val="24"/>
                <w:szCs w:val="24"/>
              </w:rPr>
            </w:pPr>
            <w:r>
              <w:rPr>
                <w:rFonts w:eastAsia="Times New Roman" w:cs="Times New Roman"/>
                <w:kern w:val="0"/>
                <w:sz w:val="24"/>
                <w:szCs w:val="24"/>
                <w:lang w:val="ru-RU" w:eastAsia="ru-RU" w:bidi="ar-SA"/>
              </w:rPr>
              <w:t xml:space="preserve">После оказания услуг </w:t>
            </w:r>
            <w:r>
              <w:rPr>
                <w:rFonts w:eastAsia="Times New Roman" w:cs="Times New Roman"/>
                <w:kern w:val="0"/>
                <w:sz w:val="24"/>
                <w:szCs w:val="24"/>
                <w:lang w:val="ru-RU" w:eastAsia="ru-RU" w:bidi="ar-SA"/>
              </w:rPr>
              <w:t xml:space="preserve">защитное укрытие </w:t>
            </w:r>
            <w:r>
              <w:rPr>
                <w:rFonts w:eastAsia="Times New Roman" w:cs="Times New Roman"/>
                <w:kern w:val="0"/>
                <w:sz w:val="24"/>
                <w:szCs w:val="24"/>
                <w:lang w:val="ru-RU" w:eastAsia="ru-RU" w:bidi="ar-SA"/>
              </w:rPr>
              <w:t>должн</w:t>
            </w:r>
            <w:r>
              <w:rPr>
                <w:rFonts w:eastAsia="Times New Roman" w:cs="Times New Roman"/>
                <w:kern w:val="0"/>
                <w:sz w:val="24"/>
                <w:szCs w:val="24"/>
                <w:lang w:val="ru-RU" w:eastAsia="ru-RU" w:bidi="ar-SA"/>
              </w:rPr>
              <w:t>о</w:t>
            </w:r>
            <w:r>
              <w:rPr>
                <w:rFonts w:eastAsia="Times New Roman" w:cs="Times New Roman"/>
                <w:kern w:val="0"/>
                <w:sz w:val="24"/>
                <w:szCs w:val="24"/>
                <w:lang w:val="ru-RU" w:eastAsia="ru-RU" w:bidi="ar-SA"/>
              </w:rPr>
              <w:t xml:space="preserve"> быть </w:t>
            </w:r>
            <w:r>
              <w:rPr>
                <w:rFonts w:eastAsia="Times New Roman" w:cs="Times New Roman"/>
                <w:kern w:val="0"/>
                <w:sz w:val="24"/>
                <w:szCs w:val="24"/>
                <w:lang w:val="ru-RU" w:eastAsia="ru-RU" w:bidi="ar-SA"/>
              </w:rPr>
              <w:t>полностью готовым к эксплуатации</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11.1.1.</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60" w:after="0"/>
              <w:contextualSpacing/>
              <w:jc w:val="left"/>
              <w:rPr>
                <w:sz w:val="24"/>
                <w:szCs w:val="24"/>
              </w:rPr>
            </w:pPr>
            <w:r>
              <w:rPr>
                <w:rFonts w:eastAsia="Times New Roman" w:cs="Times New Roman"/>
                <w:bCs/>
                <w:kern w:val="0"/>
                <w:sz w:val="24"/>
                <w:szCs w:val="24"/>
                <w:lang w:val="en-US" w:eastAsia="ru-RU" w:bidi="ar-SA"/>
              </w:rPr>
              <w:t>Требования к р</w:t>
            </w:r>
            <w:r>
              <w:rPr>
                <w:rFonts w:eastAsia="Times New Roman" w:cs="Times New Roman"/>
                <w:bCs/>
                <w:kern w:val="0"/>
                <w:sz w:val="24"/>
                <w:szCs w:val="24"/>
                <w:lang w:val="ru-RU" w:eastAsia="ru-RU" w:bidi="ar-SA"/>
              </w:rPr>
              <w:t>езультат</w:t>
            </w:r>
            <w:r>
              <w:rPr>
                <w:rFonts w:eastAsia="Times New Roman" w:cs="Times New Roman"/>
                <w:bCs/>
                <w:kern w:val="0"/>
                <w:sz w:val="24"/>
                <w:szCs w:val="24"/>
                <w:lang w:val="en-US" w:eastAsia="ru-RU" w:bidi="ar-SA"/>
              </w:rPr>
              <w:t>ам</w:t>
            </w:r>
            <w:r>
              <w:rPr>
                <w:rFonts w:eastAsia="Times New Roman" w:cs="Times New Roman"/>
                <w:bCs/>
                <w:kern w:val="0"/>
                <w:sz w:val="24"/>
                <w:szCs w:val="24"/>
                <w:lang w:val="ru-RU" w:eastAsia="ru-RU" w:bidi="ar-SA"/>
              </w:rPr>
              <w:t xml:space="preserve"> Услуг</w:t>
            </w:r>
          </w:p>
        </w:tc>
        <w:tc>
          <w:tcPr>
            <w:tcW w:w="4608" w:type="dxa"/>
            <w:gridSpan w:val="2"/>
            <w:tcBorders>
              <w:top w:val="nil"/>
            </w:tcBorders>
            <w:shd w:color="auto" w:fill="auto" w:val="clear"/>
            <w:vAlign w:val="center"/>
          </w:tcPr>
          <w:p>
            <w:pPr>
              <w:pStyle w:val="ListParagraph"/>
              <w:widowControl w:val="false"/>
              <w:suppressAutoHyphens w:val="true"/>
              <w:spacing w:before="0" w:after="0"/>
              <w:ind w:hanging="0" w:left="0"/>
              <w:contextualSpacing/>
              <w:jc w:val="both"/>
              <w:rPr>
                <w:rFonts w:ascii="Times New Roman" w:hAnsi="Times New Roman" w:cs="Times New Roman"/>
                <w:kern w:val="0"/>
                <w:lang w:val="ru-RU" w:eastAsia="ru-RU" w:bidi="ar-SA"/>
              </w:rPr>
            </w:pPr>
            <w:r>
              <w:rPr>
                <w:rFonts w:cs="Times New Roman"/>
                <w:kern w:val="0"/>
                <w:lang w:val="ru-RU" w:eastAsia="ru-RU" w:bidi="ar-SA"/>
              </w:rPr>
              <w:t>Оказание комплекса услуг производится в полном объеме, без закупки Заказчиком дополнительных объемов услуг.</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12.</w:t>
            </w:r>
          </w:p>
        </w:tc>
        <w:tc>
          <w:tcPr>
            <w:tcW w:w="6468" w:type="dxa"/>
            <w:gridSpan w:val="5"/>
            <w:tcBorders>
              <w:top w:val="nil"/>
            </w:tcBorders>
            <w:shd w:color="auto" w:fill="auto" w:val="clear"/>
            <w:vAlign w:val="center"/>
          </w:tcPr>
          <w:p>
            <w:pPr>
              <w:pStyle w:val="Normal"/>
              <w:widowControl w:val="false"/>
              <w:suppressAutoHyphens w:val="true"/>
              <w:spacing w:before="0" w:after="0"/>
              <w:jc w:val="left"/>
              <w:rPr/>
            </w:pPr>
            <w:r>
              <w:rPr>
                <w:rFonts w:eastAsia="Times New Roman" w:cs="Times New Roman"/>
                <w:b/>
                <w:bCs/>
                <w:kern w:val="0"/>
                <w:sz w:val="24"/>
                <w:szCs w:val="24"/>
                <w:lang w:val="ru-RU" w:eastAsia="ru-RU" w:bidi="ar-SA"/>
              </w:rPr>
              <w:t>Требования к порядку приемки результатов оказанных услуг</w:t>
            </w:r>
            <w:r>
              <w:rPr>
                <w:rStyle w:val="Style8"/>
                <w:rFonts w:eastAsia="Times New Roman" w:cs="Times New Roman"/>
                <w:bCs/>
                <w:i w:val="false"/>
                <w:kern w:val="0"/>
                <w:sz w:val="24"/>
                <w:szCs w:val="24"/>
                <w:shd w:fill="auto" w:val="clear"/>
                <w:lang w:val="ru-RU" w:eastAsia="ru-RU" w:bidi="ar-SA"/>
              </w:rPr>
              <w:t xml:space="preserve"> </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12.1.</w:t>
            </w:r>
          </w:p>
        </w:tc>
        <w:tc>
          <w:tcPr>
            <w:tcW w:w="1860" w:type="dxa"/>
            <w:gridSpan w:val="3"/>
            <w:tcBorders>
              <w:top w:val="nil"/>
              <w:right w:val="nil"/>
            </w:tcBorders>
            <w:shd w:color="auto" w:fill="auto" w:val="clear"/>
            <w:vAlign w:val="center"/>
          </w:tcPr>
          <w:p>
            <w:pPr>
              <w:pStyle w:val="Normal"/>
              <w:widowControl w:val="false"/>
              <w:tabs>
                <w:tab w:val="clear" w:pos="720"/>
                <w:tab w:val="left" w:pos="426" w:leader="none"/>
              </w:tabs>
              <w:suppressAutoHyphens w:val="true"/>
              <w:spacing w:before="60" w:after="0"/>
              <w:jc w:val="left"/>
              <w:rPr>
                <w:sz w:val="24"/>
                <w:szCs w:val="24"/>
              </w:rPr>
            </w:pPr>
            <w:r>
              <w:rPr>
                <w:rFonts w:eastAsia="Times New Roman" w:cs="Times New Roman"/>
                <w:kern w:val="0"/>
                <w:sz w:val="24"/>
                <w:szCs w:val="24"/>
                <w:lang w:val="ru-RU" w:eastAsia="ru-RU" w:bidi="ar-SA"/>
              </w:rPr>
              <w:t>Порядок приемки результатов оказанных услуг</w:t>
            </w:r>
          </w:p>
        </w:tc>
        <w:tc>
          <w:tcPr>
            <w:tcW w:w="4608" w:type="dxa"/>
            <w:gridSpan w:val="2"/>
            <w:tcBorders>
              <w:top w:val="nil"/>
            </w:tcBorders>
            <w:shd w:color="auto" w:fill="auto" w:val="clear"/>
            <w:vAlign w:val="center"/>
          </w:tcPr>
          <w:p>
            <w:pPr>
              <w:pStyle w:val="Normal"/>
              <w:widowControl w:val="false"/>
              <w:tabs>
                <w:tab w:val="clear" w:pos="720"/>
                <w:tab w:val="left" w:pos="1478" w:leader="none"/>
              </w:tabs>
              <w:spacing w:before="60" w:after="0"/>
              <w:rPr>
                <w:sz w:val="24"/>
                <w:szCs w:val="24"/>
              </w:rPr>
            </w:pPr>
            <w:r>
              <w:rPr>
                <w:rFonts w:eastAsia="Times New Roman" w:cs="Times New Roman"/>
                <w:bCs/>
                <w:kern w:val="0"/>
                <w:sz w:val="24"/>
                <w:szCs w:val="24"/>
                <w:shd w:fill="FFFFFF" w:val="clear"/>
                <w:lang w:val="ru-RU" w:eastAsia="x-none" w:bidi="ar-SA"/>
              </w:rPr>
              <w:t>Работы считаются выполненными после подписания документов, указанных в п.13.1</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 xml:space="preserve">13. </w:t>
            </w:r>
          </w:p>
        </w:tc>
        <w:tc>
          <w:tcPr>
            <w:tcW w:w="6468" w:type="dxa"/>
            <w:gridSpan w:val="5"/>
            <w:tcBorders>
              <w:top w:val="nil"/>
            </w:tcBorders>
            <w:shd w:color="auto" w:fill="auto" w:val="clear"/>
            <w:vAlign w:val="center"/>
          </w:tcPr>
          <w:p>
            <w:pPr>
              <w:pStyle w:val="Normal"/>
              <w:widowControl w:val="false"/>
              <w:suppressAutoHyphens w:val="true"/>
              <w:spacing w:before="60" w:after="0"/>
              <w:jc w:val="both"/>
              <w:rPr>
                <w:sz w:val="24"/>
                <w:szCs w:val="24"/>
              </w:rPr>
            </w:pPr>
            <w:r>
              <w:rPr>
                <w:rFonts w:eastAsia="Times New Roman" w:cs="Times New Roman"/>
                <w:b/>
                <w:kern w:val="0"/>
                <w:sz w:val="24"/>
                <w:szCs w:val="24"/>
                <w:lang w:val="ru-RU" w:eastAsia="ru-RU" w:bidi="ar-SA"/>
              </w:rPr>
              <w:t>Требования к оформлению документации</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13.1.</w:t>
            </w:r>
          </w:p>
        </w:tc>
        <w:tc>
          <w:tcPr>
            <w:tcW w:w="1860" w:type="dxa"/>
            <w:gridSpan w:val="3"/>
            <w:tcBorders>
              <w:top w:val="nil"/>
              <w:right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Документы, передаваемые заказчику по результатам оказанных услуг</w:t>
            </w:r>
          </w:p>
        </w:tc>
        <w:tc>
          <w:tcPr>
            <w:tcW w:w="4608" w:type="dxa"/>
            <w:gridSpan w:val="2"/>
            <w:tcBorders>
              <w:top w:val="nil"/>
            </w:tcBorders>
            <w:shd w:color="auto" w:fill="auto" w:val="clear"/>
            <w:vAlign w:val="center"/>
          </w:tcPr>
          <w:p>
            <w:pPr>
              <w:pStyle w:val="Normal"/>
              <w:widowControl w:val="false"/>
              <w:shd w:val="clear" w:color="auto" w:fill="FFFFFF"/>
              <w:tabs>
                <w:tab w:val="clear" w:pos="720"/>
                <w:tab w:val="left" w:pos="1134" w:leader="none"/>
              </w:tabs>
              <w:suppressAutoHyphens w:val="false"/>
              <w:rPr>
                <w:rFonts w:ascii="Times New Roman" w:hAnsi="Times New Roman"/>
                <w:sz w:val="24"/>
                <w:szCs w:val="24"/>
              </w:rPr>
            </w:pPr>
            <w:r>
              <w:rPr>
                <w:rFonts w:ascii="Times New Roman" w:hAnsi="Times New Roman"/>
                <w:iCs/>
                <w:sz w:val="24"/>
                <w:szCs w:val="24"/>
              </w:rPr>
              <w:t xml:space="preserve">По завершении выполнения Работ в отношении каждого Объекта и готовности последнего к эксплуатации Подрядчик в течение 3 (трех) рабочих дней </w:t>
            </w:r>
            <w:r>
              <w:rPr>
                <w:rFonts w:ascii="Times New Roman" w:hAnsi="Times New Roman"/>
                <w:bCs/>
                <w:sz w:val="24"/>
                <w:szCs w:val="24"/>
              </w:rPr>
              <w:t>представляет Заказчику подписанные со своей стороны:</w:t>
            </w:r>
          </w:p>
          <w:p>
            <w:pPr>
              <w:pStyle w:val="Normal"/>
              <w:widowControl w:val="false"/>
              <w:ind w:hanging="320" w:left="320"/>
              <w:rPr>
                <w:rFonts w:ascii="Times New Roman" w:hAnsi="Times New Roman"/>
                <w:sz w:val="24"/>
                <w:szCs w:val="24"/>
              </w:rPr>
            </w:pPr>
            <w:r>
              <w:rPr>
                <w:rFonts w:ascii="Times New Roman" w:hAnsi="Times New Roman"/>
                <w:iCs/>
                <w:sz w:val="24"/>
                <w:szCs w:val="24"/>
              </w:rPr>
              <w:t>- Акт освидетельствования выполненных работ по форме Приложения к Договору в 2 (двух) экземплярах, с приложением Приемо-сдаточной и Исполнительной документации в 3 (трех) экземплярах</w:t>
            </w:r>
          </w:p>
          <w:p>
            <w:pPr>
              <w:pStyle w:val="Normal"/>
              <w:widowControl w:val="false"/>
              <w:ind w:hanging="320" w:left="320"/>
              <w:rPr>
                <w:rFonts w:ascii="Times New Roman" w:hAnsi="Times New Roman"/>
                <w:sz w:val="24"/>
                <w:szCs w:val="24"/>
              </w:rPr>
            </w:pPr>
            <w:r>
              <w:rPr>
                <w:rFonts w:ascii="Times New Roman" w:hAnsi="Times New Roman"/>
                <w:iCs/>
                <w:sz w:val="24"/>
                <w:szCs w:val="24"/>
              </w:rPr>
              <w:t>- Акт КС-2, Справку КС-3 в отношении каждого Объекта на весь объем выполненных работ по Объекту в 2 (двух) экземплярах, а также электронные версии Акта ​​​​​​​КС-2 и Справки КС-3 в формате *gsfx ПК «ГРАНД Сметы» на цифровом носителе;</w:t>
            </w:r>
          </w:p>
          <w:p>
            <w:pPr>
              <w:pStyle w:val="Normal"/>
              <w:widowControl w:val="false"/>
              <w:ind w:hanging="320" w:left="320"/>
              <w:rPr>
                <w:rFonts w:ascii="Times New Roman" w:hAnsi="Times New Roman"/>
                <w:sz w:val="24"/>
                <w:szCs w:val="24"/>
              </w:rPr>
            </w:pPr>
            <w:r>
              <w:rPr>
                <w:rFonts w:ascii="Times New Roman" w:hAnsi="Times New Roman"/>
                <w:color w:val="2C2D2E"/>
                <w:sz w:val="24"/>
                <w:szCs w:val="24"/>
              </w:rPr>
              <w:t>- Акт КС-11 в 2 (двух) экземплярах;</w:t>
            </w:r>
          </w:p>
          <w:p>
            <w:pPr>
              <w:pStyle w:val="Normal"/>
              <w:widowControl w:val="false"/>
              <w:ind w:hanging="320" w:left="320"/>
              <w:rPr>
                <w:rFonts w:ascii="Times New Roman" w:hAnsi="Times New Roman"/>
                <w:sz w:val="24"/>
                <w:szCs w:val="24"/>
              </w:rPr>
            </w:pPr>
            <w:r>
              <w:rPr>
                <w:rFonts w:ascii="Times New Roman" w:hAnsi="Times New Roman"/>
                <w:sz w:val="24"/>
                <w:szCs w:val="24"/>
                <w:shd w:fill="FFFFFF" w:val="clear"/>
              </w:rPr>
              <w:t>-    Формирование комплектов исполнительной документации:</w:t>
            </w:r>
          </w:p>
          <w:p>
            <w:pPr>
              <w:pStyle w:val="Normal"/>
              <w:widowControl w:val="false"/>
              <w:ind w:hanging="320" w:left="320"/>
              <w:rPr>
                <w:rFonts w:ascii="Times New Roman" w:hAnsi="Times New Roman"/>
                <w:sz w:val="24"/>
                <w:szCs w:val="24"/>
              </w:rPr>
            </w:pPr>
            <w:r>
              <w:rPr>
                <w:rFonts w:ascii="Times New Roman" w:hAnsi="Times New Roman"/>
                <w:sz w:val="24"/>
                <w:szCs w:val="24"/>
                <w:shd w:fill="FFFFFF" w:val="clear"/>
              </w:rPr>
              <w:t>- разработка и предоставление к каждому комплекту документации исчерпывающего перечня исполнительной документации.</w:t>
            </w:r>
          </w:p>
          <w:p>
            <w:pPr>
              <w:pStyle w:val="Normal"/>
              <w:widowControl w:val="false"/>
              <w:ind w:hanging="320" w:left="320"/>
              <w:rPr>
                <w:rFonts w:ascii="Times New Roman" w:hAnsi="Times New Roman"/>
                <w:sz w:val="24"/>
                <w:szCs w:val="24"/>
              </w:rPr>
            </w:pPr>
            <w:r>
              <w:rPr>
                <w:rFonts w:eastAsia="Times New Roman" w:cs="Times New Roman" w:ascii="Times New Roman" w:hAnsi="Times New Roman"/>
                <w:kern w:val="0"/>
                <w:sz w:val="24"/>
                <w:szCs w:val="24"/>
                <w:shd w:fill="FFFFFF" w:val="clear"/>
                <w:lang w:val="ru-RU" w:eastAsia="x-none" w:bidi="ar-SA"/>
              </w:rPr>
              <w:t>- при необходимости вариантная проработка технических решений с выбором наиболее оптимального.</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14.</w:t>
            </w:r>
          </w:p>
        </w:tc>
        <w:tc>
          <w:tcPr>
            <w:tcW w:w="6468" w:type="dxa"/>
            <w:gridSpan w:val="5"/>
            <w:tcBorders>
              <w:top w:val="nil"/>
            </w:tcBorders>
            <w:shd w:color="auto" w:fill="auto" w:val="clear"/>
            <w:vAlign w:val="center"/>
          </w:tcPr>
          <w:p>
            <w:pPr>
              <w:pStyle w:val="Normal"/>
              <w:widowControl w:val="false"/>
              <w:suppressAutoHyphens w:val="true"/>
              <w:spacing w:before="20" w:after="0"/>
              <w:jc w:val="both"/>
              <w:rPr>
                <w:sz w:val="24"/>
                <w:szCs w:val="24"/>
              </w:rPr>
            </w:pPr>
            <w:r>
              <w:rPr>
                <w:rFonts w:eastAsia="Times New Roman" w:cs="Times New Roman"/>
                <w:b/>
                <w:kern w:val="0"/>
                <w:sz w:val="24"/>
                <w:szCs w:val="24"/>
                <w:lang w:val="ru-RU" w:eastAsia="ru-RU" w:bidi="ar-SA"/>
              </w:rPr>
              <w:t>Требования к ответственности и гарантиям Участника</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14.1.</w:t>
            </w:r>
          </w:p>
        </w:tc>
        <w:tc>
          <w:tcPr>
            <w:tcW w:w="1860" w:type="dxa"/>
            <w:gridSpan w:val="3"/>
            <w:tcBorders>
              <w:top w:val="nil"/>
              <w:right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Гарантийный срок на результат услуг</w:t>
            </w:r>
          </w:p>
        </w:tc>
        <w:tc>
          <w:tcPr>
            <w:tcW w:w="4608" w:type="dxa"/>
            <w:gridSpan w:val="2"/>
            <w:tcBorders>
              <w:top w:val="nil"/>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Гарантийный срок на результат услуг должен составлять 24 месяца с даты подписания Акта сдачи-приемки услуг.</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b/>
                <w:bCs/>
                <w:sz w:val="24"/>
                <w:szCs w:val="24"/>
              </w:rPr>
            </w:pPr>
            <w:r>
              <w:rPr>
                <w:rFonts w:eastAsia="Times New Roman" w:cs="Times New Roman"/>
                <w:b/>
                <w:bCs/>
                <w:kern w:val="0"/>
                <w:sz w:val="24"/>
                <w:szCs w:val="24"/>
                <w:lang w:val="ru-RU" w:eastAsia="ru-RU" w:bidi="ar-SA"/>
              </w:rPr>
              <w:t>15.</w:t>
            </w:r>
          </w:p>
        </w:tc>
        <w:tc>
          <w:tcPr>
            <w:tcW w:w="6468" w:type="dxa"/>
            <w:gridSpan w:val="5"/>
            <w:tcBorders>
              <w:top w:val="nil"/>
            </w:tcBorders>
            <w:shd w:color="auto" w:fill="auto" w:val="clear"/>
            <w:vAlign w:val="center"/>
          </w:tcPr>
          <w:p>
            <w:pPr>
              <w:pStyle w:val="Normal"/>
              <w:keepNext w:val="true"/>
              <w:widowControl w:val="false"/>
              <w:suppressAutoHyphens w:val="true"/>
              <w:spacing w:before="60" w:after="60"/>
              <w:jc w:val="both"/>
              <w:rPr>
                <w:sz w:val="24"/>
                <w:szCs w:val="24"/>
              </w:rPr>
            </w:pPr>
            <w:r>
              <w:rPr>
                <w:rFonts w:eastAsia="Times New Roman" w:cs="Times New Roman"/>
                <w:b/>
                <w:kern w:val="0"/>
                <w:sz w:val="24"/>
                <w:szCs w:val="24"/>
                <w:lang w:val="ru-RU" w:eastAsia="ru-RU" w:bidi="ar-SA"/>
              </w:rPr>
              <w:t>Требования к Участнику (и соисполнителю) и его обязательствам, влияющим на исполнение договора</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944" w:type="dxa"/>
            <w:tcBorders>
              <w:top w:val="nil"/>
            </w:tcBorders>
            <w:shd w:color="auto" w:fill="auto" w:val="clear"/>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15.1.</w:t>
            </w:r>
          </w:p>
        </w:tc>
        <w:tc>
          <w:tcPr>
            <w:tcW w:w="1860" w:type="dxa"/>
            <w:gridSpan w:val="3"/>
            <w:tcBorders>
              <w:top w:val="nil"/>
              <w:right w:val="nil"/>
            </w:tcBorders>
            <w:shd w:color="auto" w:fill="auto" w:val="clear"/>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Требования к субподрядным организациям, привлекаемым к оказанию услуг</w:t>
            </w:r>
          </w:p>
        </w:tc>
        <w:tc>
          <w:tcPr>
            <w:tcW w:w="4608" w:type="dxa"/>
            <w:gridSpan w:val="2"/>
            <w:tcBorders>
              <w:top w:val="nil"/>
            </w:tcBorders>
            <w:shd w:color="auto" w:fill="auto" w:val="clear"/>
            <w:vAlign w:val="center"/>
          </w:tcPr>
          <w:p>
            <w:pPr>
              <w:pStyle w:val="Normal"/>
              <w:widowControl w:val="false"/>
              <w:suppressAutoHyphens w:val="true"/>
              <w:spacing w:before="0" w:after="0"/>
              <w:jc w:val="both"/>
              <w:rPr>
                <w:sz w:val="24"/>
                <w:szCs w:val="24"/>
              </w:rPr>
            </w:pPr>
            <w:r>
              <w:rPr>
                <w:rFonts w:eastAsia="Times New Roman" w:cs="Times New Roman"/>
                <w:iCs/>
                <w:kern w:val="0"/>
                <w:sz w:val="24"/>
                <w:szCs w:val="24"/>
                <w:lang w:val="ru-RU" w:eastAsia="ru-RU" w:bidi="ar-SA"/>
              </w:rPr>
              <w:t>В случае привлечения к оказанию услуг субподрядных организаций Участник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c>
          <w:tcPr>
            <w:tcW w:w="2549"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8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2513"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bl>
    <w:p>
      <w:pPr>
        <w:sectPr>
          <w:headerReference w:type="default" r:id="rId8"/>
          <w:headerReference w:type="first" r:id="rId9"/>
          <w:footerReference w:type="default" r:id="rId10"/>
          <w:footerReference w:type="first" r:id="rId11"/>
          <w:type w:val="nextPage"/>
          <w:pgSz w:orient="landscape" w:w="16838" w:h="11906"/>
          <w:pgMar w:left="992" w:right="567" w:gutter="0" w:header="680" w:top="851" w:footer="0" w:bottom="851"/>
          <w:pgNumType w:fmt="decimal"/>
          <w:formProt w:val="false"/>
          <w:titlePg/>
          <w:textDirection w:val="lrTb"/>
          <w:docGrid w:type="default" w:linePitch="381" w:charSpace="0"/>
        </w:sectPr>
      </w:pPr>
    </w:p>
    <w:p>
      <w:pPr>
        <w:pStyle w:val="Heading1"/>
        <w:tabs>
          <w:tab w:val="clear" w:pos="0"/>
        </w:tabs>
        <w:ind w:hanging="0"/>
        <w:jc w:val="center"/>
        <w:rPr>
          <w:sz w:val="24"/>
          <w:szCs w:val="24"/>
          <w:lang w:val="ru-RU"/>
        </w:rPr>
      </w:pPr>
      <w:r>
        <w:rPr>
          <w:sz w:val="24"/>
          <w:szCs w:val="24"/>
          <w:lang w:val="ru-RU"/>
        </w:rPr>
        <w:t xml:space="preserve">4.  </w:t>
      </w:r>
      <w:bookmarkStart w:id="35" w:name="_Toc130454100"/>
      <w:bookmarkStart w:id="36" w:name="_Toc53393312"/>
      <w:r>
        <w:rPr>
          <w:sz w:val="24"/>
          <w:szCs w:val="24"/>
          <w:lang w:val="ru-RU"/>
        </w:rPr>
        <w:t>Требования к документации по ценообразованию</w:t>
      </w:r>
      <w:bookmarkEnd w:id="36"/>
      <w:r>
        <w:rPr>
          <w:sz w:val="24"/>
          <w:szCs w:val="24"/>
          <w:lang w:val="ru-RU"/>
        </w:rPr>
        <w:t xml:space="preserve"> на этапе закупки</w:t>
      </w:r>
      <w:bookmarkEnd w:id="35"/>
    </w:p>
    <w:p>
      <w:pPr>
        <w:pStyle w:val="Normal"/>
        <w:jc w:val="both"/>
        <w:rPr>
          <w:sz w:val="24"/>
          <w:szCs w:val="24"/>
        </w:rPr>
      </w:pPr>
      <w:r>
        <w:rPr>
          <w:sz w:val="24"/>
          <w:szCs w:val="24"/>
          <w:lang w:val="x-none" w:eastAsia="x-none"/>
        </w:rPr>
        <w:t xml:space="preserve"> </w:t>
      </w:r>
      <w:r>
        <w:rPr>
          <w:sz w:val="24"/>
          <w:szCs w:val="24"/>
          <w:lang w:val="x-none" w:eastAsia="x-none"/>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(с указанием понижающего коэффициента</w:t>
      </w:r>
      <w:r>
        <w:rPr>
          <w:sz w:val="24"/>
          <w:szCs w:val="24"/>
          <w:lang w:eastAsia="x-none"/>
        </w:rPr>
        <w:t xml:space="preserve"> относительно НМЦ</w:t>
      </w:r>
      <w:r>
        <w:rPr>
          <w:sz w:val="24"/>
          <w:szCs w:val="24"/>
          <w:lang w:val="x-none" w:eastAsia="x-none"/>
        </w:rPr>
        <w:t>).</w:t>
      </w:r>
    </w:p>
    <w:p>
      <w:pPr>
        <w:pStyle w:val="Normal"/>
        <w:jc w:val="both"/>
        <w:rPr>
          <w:sz w:val="24"/>
          <w:szCs w:val="24"/>
        </w:rPr>
      </w:pPr>
      <w:r>
        <w:rPr>
          <w:sz w:val="24"/>
          <w:szCs w:val="24"/>
          <w:lang w:val="x-none" w:eastAsia="x-none"/>
        </w:rPr>
        <w:t>Дополнительные документы по ценообразованию в состав заявки Участника не включаются.</w:t>
      </w:r>
    </w:p>
    <w:p>
      <w:pPr>
        <w:pStyle w:val="Heading1"/>
        <w:tabs>
          <w:tab w:val="clear" w:pos="0"/>
        </w:tabs>
        <w:ind w:hanging="0" w:left="426"/>
        <w:jc w:val="both"/>
        <w:rPr>
          <w:sz w:val="24"/>
          <w:szCs w:val="24"/>
        </w:rPr>
      </w:pPr>
      <w:r>
        <w:rPr>
          <w:sz w:val="24"/>
          <w:szCs w:val="24"/>
        </w:rPr>
        <w:t xml:space="preserve">5. </w:t>
      </w:r>
      <w:bookmarkStart w:id="37" w:name="_Toc142049945"/>
      <w:r>
        <w:rPr>
          <w:sz w:val="24"/>
          <w:szCs w:val="24"/>
        </w:rPr>
        <w:t>Требования к документации по ценообразованию на этапе заключения (исполнения) договора</w:t>
      </w:r>
      <w:bookmarkEnd w:id="37"/>
    </w:p>
    <w:p>
      <w:pPr>
        <w:pStyle w:val="Normal"/>
        <w:tabs>
          <w:tab w:val="clear" w:pos="720"/>
          <w:tab w:val="left" w:pos="1134" w:leader="none"/>
        </w:tabs>
        <w:ind w:firstLine="567"/>
        <w:jc w:val="both"/>
        <w:rPr>
          <w:sz w:val="24"/>
          <w:szCs w:val="24"/>
        </w:rPr>
      </w:pPr>
      <w:bookmarkStart w:id="38" w:name="__RefHeading___Toc54646413"/>
      <w:bookmarkEnd w:id="38"/>
      <w:r>
        <w:rPr>
          <w:sz w:val="24"/>
          <w:szCs w:val="24"/>
        </w:rPr>
        <w:t>При составлении расчетов на услуги, применять в обязательном порядке “Требования к оформлению и составлению расчетов на оказание услуг” в соответствии с Приложением № 2 к настоящим техническим требованиям.</w:t>
      </w:r>
    </w:p>
    <w:p>
      <w:pPr>
        <w:pStyle w:val="Normal"/>
        <w:tabs>
          <w:tab w:val="clear" w:pos="720"/>
          <w:tab w:val="left" w:pos="1134" w:leader="none"/>
        </w:tabs>
        <w:ind w:firstLine="567"/>
        <w:jc w:val="both"/>
        <w:rPr>
          <w:sz w:val="24"/>
          <w:szCs w:val="24"/>
        </w:rPr>
      </w:pPr>
      <w:r>
        <w:rPr>
          <w:sz w:val="24"/>
          <w:szCs w:val="24"/>
        </w:rPr>
      </w:r>
    </w:p>
    <w:p>
      <w:pPr>
        <w:pStyle w:val="Heading1"/>
        <w:rPr>
          <w:sz w:val="24"/>
          <w:szCs w:val="24"/>
          <w:lang w:val="ru-RU"/>
        </w:rPr>
      </w:pPr>
      <w:r>
        <w:rPr>
          <w:sz w:val="24"/>
          <w:szCs w:val="24"/>
        </w:rPr>
        <w:t xml:space="preserve">6. </w:t>
      </w:r>
      <w:bookmarkStart w:id="39" w:name="_Toc142049948"/>
      <w:r>
        <w:rPr>
          <w:sz w:val="24"/>
          <w:szCs w:val="24"/>
        </w:rPr>
        <w:t>Приложения</w:t>
      </w:r>
      <w:bookmarkEnd w:id="39"/>
      <w:r>
        <w:rPr>
          <w:sz w:val="24"/>
          <w:szCs w:val="24"/>
          <w:lang w:val="ru-RU"/>
        </w:rPr>
        <w:t>:</w:t>
      </w:r>
    </w:p>
    <w:p>
      <w:pPr>
        <w:pStyle w:val="Normal"/>
        <w:spacing w:before="0" w:after="0"/>
        <w:contextualSpacing/>
        <w:jc w:val="both"/>
        <w:rPr>
          <w:sz w:val="24"/>
          <w:szCs w:val="24"/>
        </w:rPr>
      </w:pPr>
      <w:r>
        <w:rPr>
          <w:sz w:val="24"/>
          <w:szCs w:val="24"/>
        </w:rPr>
        <w:t>Приложение №1: Требования к оформлению и составлению расчетов на оказание услуг.</w:t>
      </w:r>
    </w:p>
    <w:p>
      <w:pPr>
        <w:pStyle w:val="Normal"/>
        <w:spacing w:before="0" w:after="0"/>
        <w:contextualSpacing/>
        <w:jc w:val="both"/>
        <w:rPr>
          <w:sz w:val="24"/>
          <w:szCs w:val="24"/>
        </w:rPr>
      </w:pPr>
      <w:r>
        <w:rPr>
          <w:sz w:val="24"/>
          <w:szCs w:val="24"/>
        </w:rPr>
        <w:t>Приложение №2: Ведомость объемов работ.</w:t>
      </w:r>
    </w:p>
    <w:p>
      <w:pPr>
        <w:pStyle w:val="Normal"/>
        <w:spacing w:before="0" w:after="0"/>
        <w:contextualSpacing/>
        <w:jc w:val="both"/>
        <w:rPr>
          <w:sz w:val="24"/>
          <w:szCs w:val="24"/>
        </w:rPr>
      </w:pPr>
      <w:r>
        <w:rPr>
          <w:sz w:val="24"/>
          <w:szCs w:val="24"/>
        </w:rPr>
        <w:t>Приложение №3 Технические решения</w:t>
      </w:r>
    </w:p>
    <w:p>
      <w:pPr>
        <w:pStyle w:val="Normal"/>
        <w:spacing w:before="0" w:after="0"/>
        <w:contextualSpacing/>
        <w:jc w:val="both"/>
        <w:rPr>
          <w:sz w:val="24"/>
          <w:szCs w:val="24"/>
        </w:rPr>
      </w:pPr>
      <w:r>
        <w:rPr>
          <w:sz w:val="24"/>
          <w:szCs w:val="24"/>
        </w:rPr>
        <w:t>Приложение №</w:t>
      </w:r>
      <w:r>
        <w:rPr>
          <w:sz w:val="24"/>
          <w:szCs w:val="24"/>
        </w:rPr>
        <w:t>4</w:t>
      </w:r>
      <w:r>
        <w:rPr>
          <w:sz w:val="24"/>
          <w:szCs w:val="24"/>
        </w:rPr>
        <w:t>: Положение по пропускному и внутриобъектовому режимам Филиала ПАО «РусГидро» - «Жигулёвская ГЭС».</w:t>
      </w:r>
    </w:p>
    <w:p>
      <w:pPr>
        <w:pStyle w:val="Normal"/>
        <w:spacing w:before="0" w:after="0"/>
        <w:contextualSpacing/>
        <w:jc w:val="both"/>
        <w:rPr>
          <w:sz w:val="24"/>
          <w:szCs w:val="24"/>
        </w:rPr>
      </w:pPr>
      <w:r>
        <w:rPr>
          <w:sz w:val="24"/>
          <w:szCs w:val="24"/>
        </w:rPr>
        <w:t>Приложение №</w:t>
      </w:r>
      <w:r>
        <w:rPr>
          <w:sz w:val="24"/>
          <w:szCs w:val="24"/>
        </w:rPr>
        <w:t>5</w:t>
      </w:r>
      <w:r>
        <w:rPr>
          <w:sz w:val="24"/>
          <w:szCs w:val="24"/>
        </w:rPr>
        <w:t>: Методика допуска персонала подрядных организаций к выполнению работ на объектах Общества.</w:t>
      </w:r>
    </w:p>
    <w:p>
      <w:pPr>
        <w:pStyle w:val="Normal"/>
        <w:spacing w:before="0" w:after="0"/>
        <w:contextualSpacing/>
        <w:jc w:val="both"/>
        <w:rPr>
          <w:sz w:val="24"/>
          <w:szCs w:val="24"/>
        </w:rPr>
      </w:pPr>
      <w:r>
        <w:rPr>
          <w:sz w:val="24"/>
          <w:szCs w:val="24"/>
        </w:rPr>
        <w:t>Приложение №</w:t>
      </w:r>
      <w:r>
        <w:rPr>
          <w:sz w:val="24"/>
          <w:szCs w:val="24"/>
        </w:rPr>
        <w:t>6</w:t>
      </w:r>
      <w:r>
        <w:rPr>
          <w:sz w:val="24"/>
          <w:szCs w:val="24"/>
        </w:rPr>
        <w:t>: Порядок подготовки и передачи на центральный склад филиала ПАО «РусГидро» – «Жигулевская ГЭС» лома и отходов черных и цветных металлов.</w:t>
      </w:r>
    </w:p>
    <w:p>
      <w:pPr>
        <w:pStyle w:val="Normal"/>
        <w:spacing w:before="0" w:after="0"/>
        <w:contextualSpacing/>
        <w:jc w:val="both"/>
        <w:rPr>
          <w:sz w:val="24"/>
          <w:szCs w:val="24"/>
        </w:rPr>
      </w:pPr>
      <w:r>
        <w:rPr>
          <w:sz w:val="24"/>
          <w:szCs w:val="24"/>
        </w:rPr>
        <w:t>Приложение №</w:t>
      </w:r>
      <w:r>
        <w:rPr>
          <w:sz w:val="24"/>
          <w:szCs w:val="24"/>
        </w:rPr>
        <w:t>7</w:t>
      </w:r>
      <w:r>
        <w:rPr>
          <w:sz w:val="24"/>
          <w:szCs w:val="24"/>
        </w:rPr>
        <w:t>: Требования в области охраны окружающей среды к подрядным организациям, выполняющим работы на территории Филиала ПАО «РусГидро» - «Жигулевская ГЭС».</w:t>
      </w:r>
    </w:p>
    <w:p>
      <w:pPr>
        <w:pStyle w:val="Normal"/>
        <w:spacing w:before="0" w:after="0"/>
        <w:contextualSpacing/>
        <w:jc w:val="both"/>
        <w:rPr>
          <w:sz w:val="24"/>
          <w:szCs w:val="24"/>
        </w:rPr>
      </w:pPr>
      <w:r>
        <w:rPr>
          <w:sz w:val="24"/>
          <w:szCs w:val="24"/>
        </w:rPr>
        <w:t>Приложение №</w:t>
      </w:r>
      <w:r>
        <w:rPr>
          <w:sz w:val="24"/>
          <w:szCs w:val="24"/>
        </w:rPr>
        <w:t>8</w:t>
      </w:r>
      <w:r>
        <w:rPr>
          <w:sz w:val="24"/>
          <w:szCs w:val="24"/>
        </w:rPr>
        <w:t>: Приказ ЖГЭС/82-590 от 07.09.2022г.</w:t>
      </w:r>
    </w:p>
    <w:p>
      <w:pPr>
        <w:pStyle w:val="Normal"/>
        <w:spacing w:before="0" w:after="0"/>
        <w:contextualSpacing/>
        <w:jc w:val="both"/>
        <w:rPr>
          <w:sz w:val="24"/>
          <w:szCs w:val="24"/>
        </w:rPr>
      </w:pPr>
      <w:r>
        <w:rPr>
          <w:sz w:val="24"/>
          <w:szCs w:val="24"/>
        </w:rPr>
        <w:t>Приложение №</w:t>
      </w:r>
      <w:r>
        <w:rPr>
          <w:sz w:val="24"/>
          <w:szCs w:val="24"/>
        </w:rPr>
        <w:t>9</w:t>
      </w:r>
      <w:r>
        <w:rPr>
          <w:sz w:val="24"/>
          <w:szCs w:val="24"/>
        </w:rPr>
        <w:t>: Требования к количественному составу и квалификации персонала.</w:t>
      </w:r>
    </w:p>
    <w:p>
      <w:pPr>
        <w:pStyle w:val="Normal"/>
        <w:rPr>
          <w:b/>
          <w:sz w:val="24"/>
          <w:szCs w:val="24"/>
        </w:rPr>
      </w:pPr>
      <w:r>
        <w:rPr>
          <w:sz w:val="24"/>
          <w:szCs w:val="24"/>
        </w:rPr>
        <w:t>Приложение №</w:t>
      </w:r>
      <w:r>
        <w:rPr>
          <w:sz w:val="24"/>
          <w:szCs w:val="24"/>
        </w:rPr>
        <w:t>10</w:t>
      </w:r>
      <w:r>
        <w:rPr>
          <w:sz w:val="24"/>
          <w:szCs w:val="24"/>
        </w:rPr>
        <w:t>: Порядок разработки и согласования проектов производства работ.</w:t>
      </w:r>
    </w:p>
    <w:p>
      <w:pPr>
        <w:pStyle w:val="Normal"/>
        <w:spacing w:before="0" w:after="0"/>
        <w:contextualSpacing/>
        <w:jc w:val="both"/>
        <w:rPr>
          <w:sz w:val="24"/>
          <w:szCs w:val="24"/>
        </w:rPr>
      </w:pPr>
      <w:r>
        <w:rPr>
          <w:sz w:val="24"/>
          <w:szCs w:val="24"/>
        </w:rPr>
      </w:r>
    </w:p>
    <w:p>
      <w:pPr>
        <w:pStyle w:val="Normal"/>
        <w:rPr>
          <w:sz w:val="24"/>
          <w:szCs w:val="24"/>
        </w:rPr>
      </w:pPr>
      <w:r>
        <w:rPr>
          <w:sz w:val="24"/>
          <w:szCs w:val="24"/>
        </w:rPr>
      </w:r>
    </w:p>
    <w:tbl>
      <w:tblPr>
        <w:tblW w:w="9842" w:type="dxa"/>
        <w:jc w:val="left"/>
        <w:tblInd w:w="250" w:type="dxa"/>
        <w:tblLayout w:type="fixed"/>
        <w:tblCellMar>
          <w:top w:w="0" w:type="dxa"/>
          <w:left w:w="108" w:type="dxa"/>
          <w:bottom w:w="0" w:type="dxa"/>
          <w:right w:w="108" w:type="dxa"/>
        </w:tblCellMar>
        <w:tblLook w:val="04a0" w:noHBand="0" w:noVBand="1" w:firstColumn="1" w:lastRow="0" w:lastColumn="0" w:firstRow="1"/>
      </w:tblPr>
      <w:tblGrid>
        <w:gridCol w:w="4890"/>
        <w:gridCol w:w="4951"/>
      </w:tblGrid>
      <w:tr>
        <w:trPr>
          <w:trHeight w:val="1797" w:hRule="atLeast"/>
        </w:trPr>
        <w:tc>
          <w:tcPr>
            <w:tcW w:w="4890" w:type="dxa"/>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Заместитель главного инженера по технической части</w:t>
            </w:r>
          </w:p>
          <w:p>
            <w:pPr>
              <w:pStyle w:val="Normal"/>
              <w:widowControl w:val="false"/>
              <w:spacing w:lineRule="auto" w:line="276"/>
              <w:rPr>
                <w:sz w:val="24"/>
                <w:szCs w:val="24"/>
              </w:rPr>
            </w:pPr>
            <w:r>
              <w:rPr>
                <w:sz w:val="24"/>
                <w:szCs w:val="24"/>
              </w:rPr>
            </w:r>
          </w:p>
          <w:p>
            <w:pPr>
              <w:pStyle w:val="Normal"/>
              <w:widowControl w:val="false"/>
              <w:spacing w:lineRule="auto" w:line="276"/>
              <w:rPr/>
            </w:pPr>
            <w:r>
              <w:rPr>
                <w:sz w:val="24"/>
                <w:szCs w:val="24"/>
              </w:rPr>
              <w:t xml:space="preserve"> </w:t>
            </w:r>
            <w:r>
              <w:rPr>
                <w:sz w:val="24"/>
                <w:szCs w:val="24"/>
              </w:rPr>
              <w:t xml:space="preserve">___________ / </w:t>
            </w:r>
            <w:r>
              <w:rPr>
                <w:sz w:val="24"/>
                <w:szCs w:val="24"/>
              </w:rPr>
              <w:t>Р.Е. Лессик</w:t>
            </w:r>
            <w:r>
              <w:rPr>
                <w:sz w:val="24"/>
                <w:szCs w:val="24"/>
                <w:lang w:val="en-US"/>
              </w:rPr>
              <w:t xml:space="preserve"> </w:t>
            </w:r>
            <w:r>
              <w:rPr>
                <w:sz w:val="24"/>
                <w:szCs w:val="24"/>
              </w:rPr>
              <w:t xml:space="preserve">/ </w:t>
            </w:r>
          </w:p>
          <w:p>
            <w:pPr>
              <w:pStyle w:val="Normal"/>
              <w:widowControl w:val="false"/>
              <w:spacing w:lineRule="auto" w:line="276"/>
              <w:rPr>
                <w:sz w:val="24"/>
                <w:szCs w:val="24"/>
              </w:rPr>
            </w:pPr>
            <w:r>
              <w:rPr>
                <w:sz w:val="24"/>
                <w:szCs w:val="24"/>
              </w:rPr>
              <w:t xml:space="preserve"> </w:t>
            </w:r>
            <w:r>
              <w:rPr>
                <w:sz w:val="24"/>
                <w:szCs w:val="24"/>
              </w:rPr>
              <w:t xml:space="preserve">«____»___________  20___ г.                         </w:t>
            </w:r>
          </w:p>
        </w:tc>
        <w:tc>
          <w:tcPr>
            <w:tcW w:w="4951" w:type="dxa"/>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Начальник СПСР, ТПиР</w:t>
            </w:r>
          </w:p>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t xml:space="preserve"> </w:t>
            </w:r>
            <w:r>
              <w:rPr>
                <w:sz w:val="24"/>
                <w:szCs w:val="24"/>
              </w:rPr>
              <w:t>___________ / Т.И. Лукоянова/</w:t>
            </w:r>
          </w:p>
          <w:p>
            <w:pPr>
              <w:pStyle w:val="Normal"/>
              <w:widowControl w:val="false"/>
              <w:spacing w:lineRule="auto" w:line="276"/>
              <w:rPr>
                <w:sz w:val="24"/>
                <w:szCs w:val="24"/>
              </w:rPr>
            </w:pPr>
            <w:r>
              <w:rPr>
                <w:sz w:val="24"/>
                <w:szCs w:val="24"/>
              </w:rPr>
              <w:t xml:space="preserve">       </w:t>
            </w:r>
            <w:r>
              <w:rPr>
                <w:sz w:val="24"/>
                <w:szCs w:val="24"/>
              </w:rPr>
              <w:t>подпись                  Ф.И.О.</w:t>
            </w:r>
          </w:p>
          <w:p>
            <w:pPr>
              <w:pStyle w:val="Normal"/>
              <w:widowControl w:val="false"/>
              <w:spacing w:lineRule="auto" w:line="276"/>
              <w:rPr>
                <w:sz w:val="24"/>
                <w:szCs w:val="24"/>
              </w:rPr>
            </w:pPr>
            <w:r>
              <w:rPr>
                <w:sz w:val="24"/>
                <w:szCs w:val="24"/>
              </w:rPr>
              <w:t>«____»___________  20___ г.</w:t>
            </w:r>
          </w:p>
        </w:tc>
      </w:tr>
      <w:tr>
        <w:trPr>
          <w:trHeight w:val="1797" w:hRule="atLeast"/>
        </w:trPr>
        <w:tc>
          <w:tcPr>
            <w:tcW w:w="4890" w:type="dxa"/>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Начальник службы безопасности</w:t>
            </w:r>
          </w:p>
          <w:p>
            <w:pPr>
              <w:pStyle w:val="Normal"/>
              <w:widowControl w:val="false"/>
              <w:spacing w:lineRule="auto" w:line="276"/>
              <w:rPr>
                <w:sz w:val="24"/>
                <w:szCs w:val="24"/>
              </w:rPr>
            </w:pPr>
            <w:r>
              <w:rPr>
                <w:sz w:val="24"/>
                <w:szCs w:val="24"/>
              </w:rPr>
              <w:t xml:space="preserve">   </w:t>
            </w:r>
          </w:p>
          <w:p>
            <w:pPr>
              <w:pStyle w:val="Normal"/>
              <w:widowControl w:val="false"/>
              <w:spacing w:lineRule="auto" w:line="276"/>
              <w:rPr>
                <w:sz w:val="24"/>
                <w:szCs w:val="24"/>
              </w:rPr>
            </w:pPr>
            <w:r>
              <w:rPr>
                <w:sz w:val="24"/>
                <w:szCs w:val="24"/>
              </w:rPr>
              <w:t xml:space="preserve"> </w:t>
            </w:r>
            <w:r>
              <w:rPr>
                <w:sz w:val="24"/>
                <w:szCs w:val="24"/>
              </w:rPr>
              <w:t xml:space="preserve">___________ / А.Н. Пуртов / </w:t>
            </w:r>
          </w:p>
          <w:p>
            <w:pPr>
              <w:pStyle w:val="Normal"/>
              <w:widowControl w:val="false"/>
              <w:spacing w:lineRule="auto" w:line="276"/>
              <w:rPr>
                <w:sz w:val="24"/>
                <w:szCs w:val="24"/>
              </w:rPr>
            </w:pPr>
            <w:r>
              <w:rPr>
                <w:sz w:val="24"/>
                <w:szCs w:val="24"/>
              </w:rPr>
              <w:t xml:space="preserve"> </w:t>
            </w:r>
            <w:r>
              <w:rPr>
                <w:sz w:val="24"/>
                <w:szCs w:val="24"/>
              </w:rPr>
              <w:t>«____»___________  20___ г.</w:t>
            </w:r>
          </w:p>
        </w:tc>
        <w:tc>
          <w:tcPr>
            <w:tcW w:w="4951" w:type="dxa"/>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Начальник СОТиПК</w:t>
            </w:r>
          </w:p>
          <w:p>
            <w:pPr>
              <w:pStyle w:val="Normal"/>
              <w:widowControl w:val="false"/>
              <w:spacing w:lineRule="auto" w:line="276"/>
              <w:rPr>
                <w:sz w:val="24"/>
                <w:szCs w:val="24"/>
              </w:rPr>
            </w:pPr>
            <w:r>
              <w:rPr>
                <w:sz w:val="24"/>
                <w:szCs w:val="24"/>
              </w:rPr>
              <w:t xml:space="preserve">   </w:t>
            </w:r>
          </w:p>
          <w:p>
            <w:pPr>
              <w:pStyle w:val="Normal"/>
              <w:widowControl w:val="false"/>
              <w:spacing w:lineRule="auto" w:line="276"/>
              <w:rPr>
                <w:sz w:val="24"/>
                <w:szCs w:val="24"/>
              </w:rPr>
            </w:pPr>
            <w:r>
              <w:rPr>
                <w:sz w:val="24"/>
                <w:szCs w:val="24"/>
              </w:rPr>
              <w:t xml:space="preserve"> </w:t>
            </w:r>
            <w:r>
              <w:rPr>
                <w:sz w:val="24"/>
                <w:szCs w:val="24"/>
              </w:rPr>
              <w:t xml:space="preserve">___________ / С.Л. Михайлов / </w:t>
            </w:r>
          </w:p>
          <w:p>
            <w:pPr>
              <w:pStyle w:val="Normal"/>
              <w:widowControl w:val="false"/>
              <w:spacing w:lineRule="auto" w:line="276"/>
              <w:rPr>
                <w:sz w:val="24"/>
                <w:szCs w:val="24"/>
              </w:rPr>
            </w:pPr>
            <w:r>
              <w:rPr>
                <w:sz w:val="24"/>
                <w:szCs w:val="24"/>
              </w:rPr>
              <w:t xml:space="preserve"> </w:t>
            </w:r>
            <w:r>
              <w:rPr>
                <w:sz w:val="24"/>
                <w:szCs w:val="24"/>
              </w:rPr>
              <w:t>«____»___________  20___ г.</w:t>
            </w:r>
          </w:p>
          <w:p>
            <w:pPr>
              <w:pStyle w:val="Normal"/>
              <w:widowControl w:val="false"/>
              <w:ind w:firstLine="720"/>
              <w:rPr>
                <w:sz w:val="24"/>
                <w:szCs w:val="24"/>
              </w:rPr>
            </w:pPr>
            <w:r>
              <w:rPr>
                <w:sz w:val="24"/>
                <w:szCs w:val="24"/>
              </w:rPr>
            </w:r>
          </w:p>
        </w:tc>
      </w:tr>
      <w:tr>
        <w:trPr>
          <w:trHeight w:val="1797" w:hRule="atLeast"/>
        </w:trPr>
        <w:tc>
          <w:tcPr>
            <w:tcW w:w="4890" w:type="dxa"/>
            <w:tcBorders/>
          </w:tcPr>
          <w:p>
            <w:pPr>
              <w:pStyle w:val="Normal"/>
              <w:widowControl w:val="false"/>
              <w:spacing w:lineRule="auto" w:line="276"/>
              <w:rPr>
                <w:sz w:val="24"/>
                <w:szCs w:val="24"/>
              </w:rPr>
            </w:pPr>
            <w:r>
              <w:rPr>
                <w:sz w:val="24"/>
                <w:szCs w:val="24"/>
              </w:rPr>
              <w:t>Согласовано:</w:t>
            </w:r>
          </w:p>
          <w:p>
            <w:pPr>
              <w:pStyle w:val="Normal"/>
              <w:widowControl w:val="false"/>
              <w:suppressAutoHyphens w:val="false"/>
              <w:rPr>
                <w:color w:val="auto"/>
              </w:rPr>
            </w:pPr>
            <w:r>
              <w:rPr>
                <w:color w:val="auto"/>
                <w:sz w:val="24"/>
                <w:szCs w:val="24"/>
              </w:rPr>
              <w:t>Начальник отдела закупок</w:t>
            </w:r>
          </w:p>
          <w:p>
            <w:pPr>
              <w:pStyle w:val="Normal"/>
              <w:widowControl w:val="false"/>
              <w:suppressAutoHyphens w:val="false"/>
              <w:rPr>
                <w:color w:val="auto"/>
              </w:rPr>
            </w:pPr>
            <w:r>
              <w:rPr>
                <w:color w:val="auto"/>
                <w:sz w:val="24"/>
                <w:szCs w:val="24"/>
              </w:rPr>
              <w:t xml:space="preserve">                 </w:t>
            </w:r>
          </w:p>
          <w:p>
            <w:pPr>
              <w:pStyle w:val="Normal"/>
              <w:widowControl w:val="false"/>
              <w:suppressAutoHyphens w:val="false"/>
              <w:rPr>
                <w:sz w:val="24"/>
                <w:szCs w:val="24"/>
              </w:rPr>
            </w:pPr>
            <w:r>
              <w:rPr>
                <w:color w:val="auto"/>
                <w:sz w:val="24"/>
                <w:szCs w:val="24"/>
              </w:rPr>
              <w:t xml:space="preserve">________________ </w:t>
            </w:r>
            <w:r>
              <w:rPr>
                <w:b/>
                <w:color w:val="auto"/>
                <w:sz w:val="24"/>
                <w:szCs w:val="24"/>
              </w:rPr>
              <w:t>/</w:t>
            </w:r>
            <w:r>
              <w:rPr>
                <w:color w:val="auto"/>
                <w:sz w:val="24"/>
                <w:szCs w:val="24"/>
              </w:rPr>
              <w:t xml:space="preserve">А.В. Ефремов </w:t>
            </w:r>
            <w:r>
              <w:rPr>
                <w:sz w:val="24"/>
                <w:szCs w:val="24"/>
              </w:rPr>
              <w:t>/</w:t>
            </w:r>
            <w:r>
              <w:rPr>
                <w:color w:val="auto"/>
                <w:sz w:val="24"/>
                <w:szCs w:val="24"/>
              </w:rPr>
              <w:t xml:space="preserve">  </w:t>
            </w:r>
            <w:r>
              <w:rPr>
                <w:sz w:val="24"/>
                <w:szCs w:val="24"/>
              </w:rPr>
              <w:t>«____»___________  20___ г.</w:t>
            </w:r>
            <w:r>
              <w:rPr>
                <w:color w:val="auto"/>
                <w:sz w:val="24"/>
                <w:szCs w:val="24"/>
              </w:rPr>
              <w:t xml:space="preserve">      </w:t>
            </w:r>
          </w:p>
        </w:tc>
        <w:tc>
          <w:tcPr>
            <w:tcW w:w="4951" w:type="dxa"/>
            <w:tcBorders/>
          </w:tcPr>
          <w:p>
            <w:pPr>
              <w:pStyle w:val="Normal"/>
              <w:widowControl w:val="false"/>
              <w:spacing w:lineRule="auto" w:line="276"/>
              <w:rPr/>
            </w:pPr>
            <w:r>
              <w:rPr>
                <w:sz w:val="24"/>
                <w:szCs w:val="24"/>
              </w:rPr>
              <w:t>Согласовано:</w:t>
            </w:r>
          </w:p>
          <w:p>
            <w:pPr>
              <w:pStyle w:val="Normal"/>
              <w:widowControl w:val="false"/>
              <w:spacing w:lineRule="auto" w:line="276"/>
              <w:rPr>
                <w:sz w:val="24"/>
                <w:szCs w:val="24"/>
              </w:rPr>
            </w:pPr>
            <w:r>
              <w:rPr>
                <w:sz w:val="24"/>
                <w:szCs w:val="24"/>
              </w:rPr>
              <w:t>Начальник ПТС</w:t>
            </w:r>
          </w:p>
          <w:p>
            <w:pPr>
              <w:pStyle w:val="Normal"/>
              <w:widowControl w:val="false"/>
              <w:spacing w:lineRule="auto" w:line="276"/>
              <w:rPr>
                <w:sz w:val="24"/>
                <w:szCs w:val="24"/>
              </w:rPr>
            </w:pPr>
            <w:r>
              <w:rPr>
                <w:sz w:val="24"/>
                <w:szCs w:val="24"/>
              </w:rPr>
              <w:t xml:space="preserve">   </w:t>
            </w:r>
          </w:p>
          <w:p>
            <w:pPr>
              <w:pStyle w:val="Normal"/>
              <w:widowControl w:val="false"/>
              <w:spacing w:lineRule="auto" w:line="276"/>
              <w:rPr/>
            </w:pPr>
            <w:r>
              <w:rPr>
                <w:sz w:val="24"/>
                <w:szCs w:val="24"/>
              </w:rPr>
              <w:t xml:space="preserve"> </w:t>
            </w:r>
            <w:r>
              <w:rPr>
                <w:sz w:val="24"/>
                <w:szCs w:val="24"/>
              </w:rPr>
              <w:t xml:space="preserve">___________ / </w:t>
            </w:r>
            <w:r>
              <w:rPr>
                <w:sz w:val="24"/>
                <w:szCs w:val="24"/>
              </w:rPr>
              <w:t>К.В. Герасимов</w:t>
            </w:r>
            <w:r>
              <w:rPr>
                <w:sz w:val="24"/>
                <w:szCs w:val="24"/>
              </w:rPr>
              <w:t xml:space="preserve">/ </w:t>
            </w:r>
          </w:p>
          <w:p>
            <w:pPr>
              <w:pStyle w:val="Normal"/>
              <w:widowControl w:val="false"/>
              <w:spacing w:lineRule="auto" w:line="276"/>
              <w:rPr>
                <w:sz w:val="24"/>
                <w:szCs w:val="24"/>
              </w:rPr>
            </w:pPr>
            <w:r>
              <w:rPr>
                <w:sz w:val="24"/>
                <w:szCs w:val="24"/>
              </w:rPr>
              <w:t xml:space="preserve"> </w:t>
            </w:r>
            <w:r>
              <w:rPr>
                <w:sz w:val="24"/>
                <w:szCs w:val="24"/>
              </w:rPr>
              <w:t xml:space="preserve">«____»___________  20___ г.                         </w:t>
            </w:r>
          </w:p>
        </w:tc>
      </w:tr>
      <w:tr>
        <w:trPr>
          <w:trHeight w:val="1797" w:hRule="atLeast"/>
        </w:trPr>
        <w:tc>
          <w:tcPr>
            <w:tcW w:w="4890" w:type="dxa"/>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Руководитель группы ГТС и ПЗ ПТС</w:t>
            </w:r>
          </w:p>
          <w:p>
            <w:pPr>
              <w:pStyle w:val="Normal"/>
              <w:widowControl w:val="false"/>
              <w:spacing w:lineRule="auto" w:line="276"/>
              <w:rPr>
                <w:sz w:val="24"/>
                <w:szCs w:val="24"/>
              </w:rPr>
            </w:pPr>
            <w:r>
              <w:rPr>
                <w:sz w:val="24"/>
                <w:szCs w:val="24"/>
              </w:rPr>
              <w:t xml:space="preserve">   </w:t>
            </w:r>
          </w:p>
          <w:p>
            <w:pPr>
              <w:pStyle w:val="Normal"/>
              <w:widowControl w:val="false"/>
              <w:spacing w:lineRule="auto" w:line="276"/>
              <w:rPr>
                <w:sz w:val="24"/>
                <w:szCs w:val="24"/>
                <w:lang w:val="en-US"/>
              </w:rPr>
            </w:pPr>
            <w:r>
              <w:rPr>
                <w:sz w:val="24"/>
                <w:szCs w:val="24"/>
              </w:rPr>
              <w:t xml:space="preserve"> </w:t>
            </w:r>
            <w:r>
              <w:rPr>
                <w:sz w:val="24"/>
                <w:szCs w:val="24"/>
              </w:rPr>
              <w:t>___________ / А.В. Солдатов</w:t>
            </w:r>
            <w:r>
              <w:rPr>
                <w:sz w:val="24"/>
                <w:szCs w:val="24"/>
                <w:lang w:val="en-US"/>
              </w:rPr>
              <w:t xml:space="preserve"> </w:t>
            </w:r>
            <w:r>
              <w:rPr>
                <w:sz w:val="24"/>
                <w:szCs w:val="24"/>
              </w:rPr>
              <w:t>/</w:t>
            </w:r>
          </w:p>
          <w:p>
            <w:pPr>
              <w:pStyle w:val="Normal"/>
              <w:widowControl w:val="false"/>
              <w:spacing w:lineRule="auto" w:line="276"/>
              <w:rPr>
                <w:sz w:val="24"/>
                <w:szCs w:val="24"/>
              </w:rPr>
            </w:pPr>
            <w:r>
              <w:rPr>
                <w:sz w:val="24"/>
                <w:szCs w:val="24"/>
              </w:rPr>
              <w:t xml:space="preserve"> </w:t>
            </w:r>
            <w:r>
              <w:rPr>
                <w:sz w:val="24"/>
                <w:szCs w:val="24"/>
              </w:rPr>
              <w:t xml:space="preserve">«____»___________  20___ г.           </w:t>
            </w:r>
          </w:p>
        </w:tc>
        <w:tc>
          <w:tcPr>
            <w:tcW w:w="4951" w:type="dxa"/>
            <w:tcBorders/>
          </w:tcPr>
          <w:p>
            <w:pPr>
              <w:pStyle w:val="Normal"/>
              <w:widowControl w:val="false"/>
              <w:spacing w:lineRule="auto" w:line="276"/>
              <w:rPr>
                <w:color w:val="auto"/>
                <w:sz w:val="24"/>
                <w:szCs w:val="24"/>
              </w:rPr>
            </w:pPr>
            <w:r>
              <w:rPr>
                <w:color w:val="auto"/>
                <w:sz w:val="24"/>
                <w:szCs w:val="24"/>
              </w:rPr>
              <w:t>Согласовано:</w:t>
            </w:r>
          </w:p>
          <w:p>
            <w:pPr>
              <w:pStyle w:val="Normal"/>
              <w:widowControl w:val="false"/>
              <w:spacing w:lineRule="auto" w:line="276"/>
              <w:rPr>
                <w:sz w:val="22"/>
                <w:szCs w:val="22"/>
              </w:rPr>
            </w:pPr>
            <w:r>
              <w:rPr>
                <w:sz w:val="22"/>
                <w:szCs w:val="22"/>
              </w:rPr>
              <w:t>Руководитель группы ГТСиПЗ</w:t>
            </w:r>
          </w:p>
          <w:p>
            <w:pPr>
              <w:pStyle w:val="Normal"/>
              <w:widowControl w:val="false"/>
              <w:spacing w:lineRule="auto" w:line="276"/>
              <w:rPr>
                <w:sz w:val="22"/>
                <w:szCs w:val="22"/>
              </w:rPr>
            </w:pPr>
            <w:r>
              <w:rPr>
                <w:sz w:val="22"/>
                <w:szCs w:val="22"/>
              </w:rPr>
            </w:r>
          </w:p>
          <w:p>
            <w:pPr>
              <w:pStyle w:val="Normal"/>
              <w:widowControl w:val="false"/>
              <w:spacing w:lineRule="auto" w:line="276"/>
              <w:rPr>
                <w:sz w:val="22"/>
                <w:szCs w:val="22"/>
              </w:rPr>
            </w:pPr>
            <w:r>
              <w:rPr>
                <w:sz w:val="22"/>
                <w:szCs w:val="22"/>
              </w:rPr>
              <w:t>___________ / А.В. Солдатов/</w:t>
            </w:r>
          </w:p>
          <w:p>
            <w:pPr>
              <w:pStyle w:val="Normal"/>
              <w:widowControl w:val="false"/>
              <w:spacing w:lineRule="auto" w:line="276"/>
              <w:rPr>
                <w:sz w:val="22"/>
                <w:szCs w:val="22"/>
              </w:rPr>
            </w:pPr>
            <w:r>
              <w:rPr>
                <w:sz w:val="22"/>
                <w:szCs w:val="22"/>
              </w:rPr>
              <w:t xml:space="preserve">      </w:t>
            </w:r>
            <w:r>
              <w:rPr>
                <w:sz w:val="22"/>
                <w:szCs w:val="22"/>
              </w:rPr>
              <w:t>подпись                 Ф.И.О.</w:t>
            </w:r>
          </w:p>
          <w:p>
            <w:pPr>
              <w:pStyle w:val="Normal"/>
              <w:widowControl w:val="false"/>
              <w:tabs>
                <w:tab w:val="clear" w:pos="720"/>
                <w:tab w:val="left" w:pos="567" w:leader="none"/>
              </w:tabs>
              <w:rPr>
                <w:sz w:val="22"/>
                <w:szCs w:val="22"/>
              </w:rPr>
            </w:pPr>
            <w:r>
              <w:rPr>
                <w:sz w:val="22"/>
                <w:szCs w:val="22"/>
              </w:rPr>
              <w:t>«____»___________  20___ г.</w:t>
            </w:r>
          </w:p>
          <w:p>
            <w:pPr>
              <w:pStyle w:val="Normal"/>
              <w:widowControl w:val="false"/>
              <w:snapToGrid w:val="false"/>
              <w:spacing w:lineRule="auto" w:line="276"/>
              <w:rPr>
                <w:color w:val="auto"/>
                <w:sz w:val="24"/>
                <w:szCs w:val="24"/>
              </w:rPr>
            </w:pPr>
            <w:r>
              <w:rPr/>
            </w:r>
          </w:p>
        </w:tc>
      </w:tr>
    </w:tbl>
    <w:p>
      <w:pPr>
        <w:pStyle w:val="Normal"/>
        <w:rPr>
          <w:rFonts w:eastAsia="Calibri"/>
          <w:b/>
          <w:iCs/>
          <w:lang w:val="x-none" w:eastAsia="x-none"/>
        </w:rPr>
      </w:pPr>
      <w:r>
        <w:rPr>
          <w:rFonts w:eastAsia="Calibri"/>
          <w:b/>
          <w:iCs/>
          <w:lang w:val="x-none" w:eastAsia="x-none"/>
        </w:rPr>
      </w:r>
    </w:p>
    <w:sectPr>
      <w:headerReference w:type="default" r:id="rId12"/>
      <w:headerReference w:type="first" r:id="rId13"/>
      <w:footerReference w:type="default" r:id="rId14"/>
      <w:footerReference w:type="first" r:id="rId15"/>
      <w:type w:val="nextPage"/>
      <w:pgSz w:w="11906" w:h="16838"/>
      <w:pgMar w:left="1134" w:right="992" w:gutter="0" w:header="225" w:top="396" w:footer="0" w:bottom="173"/>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Liberation Mono">
    <w:altName w:val="Courier New"/>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7</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17</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38" w:hanging="360"/>
      </w:pPr>
      <w:rPr>
        <w:smallCaps w:val="false"/>
        <w:caps w:val="false"/>
        <w:dstrike w:val="false"/>
        <w:strike w:val="false"/>
        <w:vertAlign w:val="baseline"/>
        <w:position w:val="0"/>
        <w:sz w:val="24"/>
        <w:sz w:val="24"/>
        <w:spacing w:val="0"/>
        <w:i w:val="false"/>
        <w:u w:val="none"/>
        <w:b/>
        <w:effect w:val="none"/>
        <w:szCs w:val="24"/>
        <w:iCs w:val="false"/>
        <w:bCs w:val="false"/>
        <w:em w:val="none"/>
        <w:vanish w:val="false"/>
        <w:rFonts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999" w:hanging="432"/>
      </w:pPr>
      <w:rPr>
        <w:sz w:val="24"/>
        <w:b w:val="false"/>
        <w:szCs w:val="24"/>
        <w:bCs/>
        <w:color w:val="auto"/>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5038" w:hanging="360"/>
      </w:pPr>
      <w:rPr>
        <w:smallCaps w:val="false"/>
        <w:caps w:val="false"/>
        <w:dstrike w:val="false"/>
        <w:strike w:val="false"/>
        <w:vertAlign w:val="baseline"/>
        <w:position w:val="0"/>
        <w:sz w:val="24"/>
        <w:sz w:val="24"/>
        <w:spacing w:val="0"/>
        <w:i w:val="false"/>
        <w:u w:val="none"/>
        <w:b/>
        <w:effect w:val="none"/>
        <w:szCs w:val="24"/>
        <w:iCs w:val="false"/>
        <w:bCs w:val="false"/>
        <w:em w:val="none"/>
        <w:vanish w:val="false"/>
        <w:rFonts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Heading3"/>
    <w:link w:val="11"/>
    <w:qFormat/>
    <w:rsid w:val="00353a27"/>
    <w:pPr>
      <w:outlineLvl w:val="0"/>
    </w:pPr>
    <w:rPr>
      <w:sz w:val="28"/>
      <w:szCs w:val="28"/>
    </w:rPr>
  </w:style>
  <w:style w:type="paragraph" w:styleId="Heading2">
    <w:name w:val="Heading 2"/>
    <w:basedOn w:val="Heading4"/>
    <w:qFormat/>
    <w:rsid w:val="00ea61a8"/>
    <w:pPr>
      <w:tabs>
        <w:tab w:val="clear" w:pos="0"/>
      </w:tabs>
      <w:outlineLvl w:val="1"/>
    </w:pPr>
    <w:rPr/>
  </w:style>
  <w:style w:type="paragraph" w:styleId="Heading3">
    <w:name w:val="Heading 3"/>
    <w:basedOn w:val="Normal"/>
    <w:link w:val="31"/>
    <w:autoRedefine/>
    <w:qFormat/>
    <w:rsid w:val="00035e96"/>
    <w:pPr>
      <w:keepNext w:val="true"/>
      <w:tabs>
        <w:tab w:val="clear" w:pos="720"/>
        <w:tab w:val="left" w:pos="0" w:leader="none"/>
      </w:tabs>
      <w:spacing w:before="120" w:after="60"/>
      <w:ind w:hanging="57"/>
      <w:outlineLvl w:val="2"/>
    </w:pPr>
    <w:rPr>
      <w:rFonts w:eastAsia="Calibri"/>
      <w:b/>
      <w:sz w:val="24"/>
      <w:szCs w:val="24"/>
      <w:lang w:val="x-none" w:eastAsia="x-none"/>
    </w:rPr>
  </w:style>
  <w:style w:type="paragraph" w:styleId="Heading4">
    <w:name w:val="Heading 4"/>
    <w:basedOn w:val="Heading3"/>
    <w:link w:val="4"/>
    <w:qFormat/>
    <w:rsid w:val="006629c9"/>
    <w:pPr>
      <w:outlineLvl w:val="3"/>
    </w:pPr>
    <w:rPr>
      <w:bCs/>
    </w:rPr>
  </w:style>
  <w:style w:type="paragraph" w:styleId="Heading5">
    <w:name w:val="Heading 5"/>
    <w:basedOn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basedOn w:val="DefaultParagraphFont"/>
    <w:uiPriority w:val="99"/>
    <w:unhideWhenUsed/>
    <w:rsid w:val="007450ef"/>
    <w:rPr>
      <w:color w:val="0563C1" w:themeColor="hyperlink"/>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uiPriority w:val="99"/>
    <w:qFormat/>
    <w:rsid w:val="00d22f6d"/>
    <w:rPr>
      <w:rFonts w:eastAsia="Calibri"/>
      <w:sz w:val="24"/>
      <w:szCs w:val="24"/>
    </w:rPr>
  </w:style>
  <w:style w:type="character" w:styleId="11" w:customStyle="1">
    <w:name w:val="Заголовок 1 Знак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uiPriority w:val="34"/>
    <w:qFormat/>
    <w:locked/>
    <w:rsid w:val="00310eb4"/>
    <w:rPr>
      <w:rFonts w:eastAsia="Calibri"/>
      <w:sz w:val="24"/>
      <w:szCs w:val="24"/>
    </w:rPr>
  </w:style>
  <w:style w:type="character" w:styleId="Style8" w:customStyle="1">
    <w:name w:val="комментарий"/>
    <w:qFormat/>
    <w:rsid w:val="0025139e"/>
    <w:rPr>
      <w:i/>
      <w:shd w:fill="FFFF99" w:val="clear"/>
    </w:rPr>
  </w:style>
  <w:style w:type="character" w:styleId="Style9" w:customStyle="1">
    <w:name w:val="Подподпункт Знак"/>
    <w:qFormat/>
    <w:locked/>
    <w:rsid w:val="0025139e"/>
    <w:rPr>
      <w:sz w:val="26"/>
      <w:szCs w:val="26"/>
    </w:rPr>
  </w:style>
  <w:style w:type="character" w:styleId="31" w:customStyle="1">
    <w:name w:val="Заголовок 3 Знак1"/>
    <w:qFormat/>
    <w:rsid w:val="00b56f46"/>
    <w:rPr>
      <w:rFonts w:eastAsia="Calibri"/>
      <w:b/>
      <w:color w:val="00000A"/>
      <w:sz w:val="24"/>
      <w:szCs w:val="24"/>
      <w:lang w:val="x-none" w:eastAsia="x-none"/>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22" w:customStyle="1">
    <w:name w:val="Пункт2 Знак"/>
    <w:link w:val="25"/>
    <w:qFormat/>
    <w:rsid w:val="00de52bc"/>
    <w:rPr>
      <w:b/>
      <w:sz w:val="28"/>
    </w:rPr>
  </w:style>
  <w:style w:type="character" w:styleId="12" w:customStyle="1">
    <w:name w:val="УРОВЕНЬ_1. Знак"/>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главление 3 Знак"/>
    <w:qFormat/>
    <w:rsid w:val="00c36f30"/>
    <w:rPr>
      <w:sz w:val="16"/>
      <w:szCs w:val="16"/>
    </w:rPr>
  </w:style>
  <w:style w:type="character" w:styleId="Style14" w:customStyle="1">
    <w:name w:val="Ссылка указателя"/>
    <w:qFormat/>
    <w:rPr/>
  </w:style>
  <w:style w:type="character" w:styleId="Style15" w:customStyle="1">
    <w:name w:val="Символы концевой сноски"/>
    <w:qFormat/>
    <w:rPr/>
  </w:style>
  <w:style w:type="paragraph" w:styleId="Style16">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uiPriority w:val="35"/>
    <w:qFormat/>
    <w:rsid w:val="00d22f6d"/>
    <w:pPr/>
    <w:rPr>
      <w:rFonts w:eastAsia="Calibri"/>
      <w:b/>
      <w:bCs/>
      <w:color w:val="4F81BD"/>
      <w:sz w:val="18"/>
      <w:szCs w:val="18"/>
    </w:rPr>
  </w:style>
  <w:style w:type="paragraph" w:styleId="Indexheading1111" w:customStyle="1">
    <w:name w:val="index heading1111"/>
    <w:basedOn w:val="Normal"/>
    <w:qFormat/>
    <w:pPr>
      <w:suppressLineNumbers/>
    </w:pPr>
    <w:rPr/>
  </w:style>
  <w:style w:type="paragraph" w:styleId="Style18" w:customStyle="1">
    <w:name w:val="Название раздела инструкции"/>
    <w:basedOn w:val="Normal"/>
    <w:autoRedefine/>
    <w:qFormat/>
    <w:rsid w:val="00275328"/>
    <w:pPr>
      <w:jc w:val="center"/>
    </w:pPr>
    <w:rPr>
      <w:b/>
    </w:rPr>
  </w:style>
  <w:style w:type="paragraph" w:styleId="Style19" w:customStyle="1">
    <w:name w:val="Раздел положения"/>
    <w:basedOn w:val="Normal"/>
    <w:autoRedefine/>
    <w:qFormat/>
    <w:rsid w:val="007475ee"/>
    <w:pPr>
      <w:spacing w:before="80" w:after="80"/>
      <w:jc w:val="center"/>
    </w:pPr>
    <w:rPr>
      <w:b/>
      <w:sz w:val="32"/>
      <w:szCs w:val="32"/>
    </w:rPr>
  </w:style>
  <w:style w:type="paragraph" w:styleId="Style20" w:customStyle="1">
    <w:name w:val="Подраздел раздела положения"/>
    <w:basedOn w:val="Normal"/>
    <w:autoRedefine/>
    <w:qFormat/>
    <w:rsid w:val="007475ee"/>
    <w:pPr>
      <w:spacing w:before="80" w:after="80"/>
      <w:jc w:val="both"/>
    </w:pPr>
    <w:rPr/>
  </w:style>
  <w:style w:type="paragraph" w:styleId="FootnoteText">
    <w:name w:val="Footnote Text"/>
    <w:basedOn w:val="Normal"/>
    <w:pPr/>
    <w:rPr/>
  </w:style>
  <w:style w:type="paragraph" w:styleId="14" w:customStyle="1">
    <w:name w:val="Шапка 1"/>
    <w:basedOn w:val="Normal"/>
    <w:qFormat/>
    <w:rsid w:val="00d561d9"/>
    <w:pPr>
      <w:pBdr>
        <w:bottom w:val="thickThinSmallGap" w:sz="24" w:space="1" w:color="00000A"/>
      </w:pBdr>
      <w:spacing w:before="0" w:after="240"/>
      <w:jc w:val="center"/>
    </w:pPr>
    <w:rPr>
      <w:sz w:val="22"/>
      <w:szCs w:val="22"/>
    </w:rPr>
  </w:style>
  <w:style w:type="paragraph" w:styleId="211" w:customStyle="1">
    <w:name w:val="Заголовок 2 Знак1"/>
    <w:basedOn w:val="Normal"/>
    <w:qFormat/>
    <w:rsid w:val="00d561d9"/>
    <w:pPr>
      <w:pBdr>
        <w:bottom w:val="thickThinSmallGap" w:sz="24" w:space="1" w:color="00000A"/>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A"/>
      </w:pBdr>
      <w:spacing w:before="240" w:after="360"/>
      <w:jc w:val="center"/>
    </w:pPr>
    <w:rPr>
      <w:b/>
      <w:sz w:val="24"/>
      <w:szCs w:val="24"/>
    </w:rPr>
  </w:style>
  <w:style w:type="paragraph" w:styleId="15" w:customStyle="1">
    <w:name w:val="Название1"/>
    <w:basedOn w:val="Normal"/>
    <w:uiPriority w:val="10"/>
    <w:qFormat/>
    <w:rsid w:val="00bd4014"/>
    <w:pPr>
      <w:jc w:val="center"/>
    </w:pPr>
    <w:rPr>
      <w:szCs w:val="20"/>
      <w:lang w:val="x-none" w:eastAsia="x-none"/>
    </w:rPr>
  </w:style>
  <w:style w:type="paragraph" w:styleId="Style21" w:customStyle="1">
    <w:name w:val="Колонтитул"/>
    <w:basedOn w:val="Normal"/>
    <w:qFormat/>
    <w:pPr/>
    <w:rPr/>
  </w:style>
  <w:style w:type="paragraph" w:styleId="Header">
    <w:name w:val="Header"/>
    <w:basedOn w:val="Normal"/>
    <w:rsid w:val="0076353a"/>
    <w:pPr>
      <w:tabs>
        <w:tab w:val="clear" w:pos="720"/>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20"/>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2" w:customStyle="1">
    <w:name w:val="Подпункт"/>
    <w:basedOn w:val="Normal"/>
    <w:qFormat/>
    <w:rsid w:val="0076353a"/>
    <w:pPr>
      <w:tabs>
        <w:tab w:val="clear" w:pos="720"/>
        <w:tab w:val="left" w:pos="1134" w:leader="none"/>
      </w:tabs>
      <w:snapToGrid w:val="false"/>
      <w:spacing w:lineRule="auto" w:line="360"/>
      <w:ind w:hanging="1134" w:left="1134"/>
      <w:jc w:val="both"/>
    </w:pPr>
    <w:rPr>
      <w:szCs w:val="20"/>
      <w:lang w:val="x-none" w:eastAsia="x-none"/>
    </w:rPr>
  </w:style>
  <w:style w:type="paragraph" w:styleId="23" w:customStyle="1">
    <w:name w:val="Пункт2"/>
    <w:basedOn w:val="Normal"/>
    <w:qFormat/>
    <w:rsid w:val="0076353a"/>
    <w:pPr>
      <w:keepNext w:val="true"/>
      <w:tabs>
        <w:tab w:val="clear" w:pos="720"/>
        <w:tab w:val="left" w:pos="1134" w:leader="none"/>
      </w:tabs>
      <w:snapToGrid w:val="false"/>
      <w:spacing w:before="240" w:after="120"/>
      <w:ind w:hanging="1134" w:left="1134"/>
      <w:outlineLvl w:val="2"/>
    </w:pPr>
    <w:rPr>
      <w:b/>
      <w:szCs w:val="20"/>
    </w:rPr>
  </w:style>
  <w:style w:type="paragraph" w:styleId="TOC1">
    <w:name w:val="TOC 1"/>
    <w:basedOn w:val="Normal"/>
    <w:autoRedefine/>
    <w:uiPriority w:val="39"/>
    <w:rsid w:val="00421b6b"/>
    <w:pPr>
      <w:spacing w:before="120" w:after="0"/>
    </w:pPr>
    <w:rPr>
      <w:rFonts w:cs="Calibri Light (Заголовки)"/>
      <w:b/>
      <w:bCs/>
      <w:sz w:val="24"/>
      <w:szCs w:val="24"/>
    </w:rPr>
  </w:style>
  <w:style w:type="paragraph" w:styleId="TOC3">
    <w:name w:val="TOC 3"/>
    <w:basedOn w:val="Normal"/>
    <w:link w:val="32"/>
    <w:autoRedefine/>
    <w:uiPriority w:val="39"/>
    <w:rsid w:val="00c01756"/>
    <w:pPr>
      <w:ind w:hanging="0" w:left="280"/>
    </w:pPr>
    <w:rPr>
      <w:rFonts w:cs="Calibri" w:cstheme="minorHAnsi"/>
      <w:sz w:val="20"/>
      <w:szCs w:val="20"/>
    </w:rPr>
  </w:style>
  <w:style w:type="paragraph" w:styleId="Style23" w:customStyle="1">
    <w:name w:val="Раздел регламента"/>
    <w:basedOn w:val="Normal"/>
    <w:qFormat/>
    <w:rsid w:val="00e228fa"/>
    <w:pPr/>
    <w:rPr/>
  </w:style>
  <w:style w:type="paragraph" w:styleId="Style24" w:customStyle="1">
    <w:name w:val="Приложение к регламенту"/>
    <w:basedOn w:val="Normal"/>
    <w:qFormat/>
    <w:rsid w:val="00e228fa"/>
    <w:pPr>
      <w:jc w:val="right"/>
    </w:pPr>
    <w:rPr/>
  </w:style>
  <w:style w:type="paragraph" w:styleId="TOC2">
    <w:name w:val="TOC 2"/>
    <w:basedOn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semiHidden/>
    <w:qFormat/>
    <w:rsid w:val="00b714b0"/>
    <w:pPr/>
    <w:rPr>
      <w:sz w:val="20"/>
      <w:szCs w:val="20"/>
    </w:rPr>
  </w:style>
  <w:style w:type="paragraph" w:styleId="Annotationsubject">
    <w:name w:val="annotation subject"/>
    <w:basedOn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autoRedefine/>
    <w:uiPriority w:val="39"/>
    <w:rsid w:val="00c01756"/>
    <w:pPr>
      <w:ind w:hanging="0" w:left="560"/>
    </w:pPr>
    <w:rPr>
      <w:rFonts w:cs="Calibri" w:cstheme="minorHAnsi"/>
      <w:sz w:val="20"/>
      <w:szCs w:val="20"/>
    </w:rPr>
  </w:style>
  <w:style w:type="paragraph" w:styleId="24" w:customStyle="1">
    <w:name w:val="Раздел положения 2"/>
    <w:basedOn w:val="Normal"/>
    <w:qFormat/>
    <w:rsid w:val="002c1e0e"/>
    <w:pPr>
      <w:pageBreakBefore/>
      <w:jc w:val="both"/>
      <w:outlineLvl w:val="0"/>
    </w:pPr>
    <w:rPr>
      <w:b/>
    </w:rPr>
  </w:style>
  <w:style w:type="paragraph" w:styleId="Style25"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Subtitle">
    <w:name w:val="Subtitle"/>
    <w:basedOn w:val="Normal"/>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uiPriority w:val="34"/>
    <w:qFormat/>
    <w:rsid w:val="00d22f6d"/>
    <w:pPr>
      <w:spacing w:before="0" w:after="0"/>
      <w:ind w:hanging="0" w:left="720"/>
      <w:contextualSpacing/>
    </w:pPr>
    <w:rPr>
      <w:rFonts w:eastAsia="Calibri"/>
      <w:sz w:val="24"/>
      <w:szCs w:val="24"/>
    </w:rPr>
  </w:style>
  <w:style w:type="paragraph" w:styleId="Quote">
    <w:name w:val="Quote"/>
    <w:basedOn w:val="Normal"/>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6"/>
    <w:pPr/>
    <w:rPr/>
  </w:style>
  <w:style w:type="paragraph" w:styleId="TOCHeading">
    <w:name w:val="TOC Heading"/>
    <w:basedOn w:val="Heading1"/>
    <w:uiPriority w:val="39"/>
    <w:qFormat/>
    <w:rsid w:val="00d22f6d"/>
    <w:pPr>
      <w:keepLines/>
      <w:tabs>
        <w:tab w:val="clear" w:pos="0"/>
      </w:tabs>
      <w:spacing w:before="480" w:after="60"/>
    </w:pPr>
    <w:rPr>
      <w:rFonts w:ascii="Cambria" w:hAnsi="Cambria"/>
      <w:bCs/>
      <w:color w:val="365F91"/>
    </w:rPr>
  </w:style>
  <w:style w:type="paragraph" w:styleId="E-mailSignature">
    <w:name w:val="E-mail Signature"/>
    <w:basedOn w:val="Normal"/>
    <w:uiPriority w:val="99"/>
    <w:unhideWhenUsed/>
    <w:qFormat/>
    <w:rsid w:val="00d22f6d"/>
    <w:pPr/>
    <w:rPr>
      <w:rFonts w:eastAsia="Calibri"/>
      <w:sz w:val="24"/>
      <w:szCs w:val="24"/>
      <w:lang w:val="x-none" w:eastAsia="x-none"/>
    </w:rPr>
  </w:style>
  <w:style w:type="paragraph" w:styleId="Style26"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Основной текст с отступом 3 Знак"/>
    <w:basedOn w:val="Normal"/>
    <w:qFormat/>
    <w:rsid w:val="00d22f6d"/>
    <w:pPr>
      <w:jc w:val="both"/>
    </w:pPr>
    <w:rPr>
      <w:rFonts w:ascii="Garamond" w:hAnsi="Garamond"/>
      <w:sz w:val="24"/>
      <w:szCs w:val="20"/>
    </w:rPr>
  </w:style>
  <w:style w:type="paragraph" w:styleId="41" w:customStyle="1">
    <w:name w:val="Маркированный список 41"/>
    <w:basedOn w:val="Normal"/>
    <w:qFormat/>
    <w:rsid w:val="00d22f6d"/>
    <w:pPr>
      <w:spacing w:before="120" w:after="0"/>
      <w:jc w:val="both"/>
    </w:pPr>
    <w:rPr>
      <w:rFonts w:ascii="Garamond" w:hAnsi="Garamond"/>
      <w:sz w:val="24"/>
      <w:szCs w:val="20"/>
    </w:rPr>
  </w:style>
  <w:style w:type="paragraph" w:styleId="25" w:customStyle="1">
    <w:name w:val="Нумерованный список ур2"/>
    <w:basedOn w:val="Normal"/>
    <w:link w:val="22"/>
    <w:qFormat/>
    <w:rsid w:val="00d22f6d"/>
    <w:p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00000A"/>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00000A"/>
      <w:kern w:val="0"/>
      <w:sz w:val="28"/>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7" w:customStyle="1">
    <w:name w:val="Пункт"/>
    <w:basedOn w:val="Normal"/>
    <w:qFormat/>
    <w:rsid w:val="00d22f6d"/>
    <w:pPr>
      <w:widowControl w:val="false"/>
      <w:tabs>
        <w:tab w:val="clear" w:pos="720"/>
        <w:tab w:val="left" w:pos="1134" w:leader="none"/>
      </w:tabs>
      <w:spacing w:lineRule="auto" w:line="360" w:before="120" w:after="0"/>
      <w:ind w:hanging="1134" w:left="1134" w:right="800"/>
      <w:jc w:val="both"/>
    </w:pPr>
    <w:rPr>
      <w:rFonts w:ascii="Arial" w:hAnsi="Arial"/>
      <w:b/>
      <w:i/>
      <w:szCs w:val="20"/>
    </w:rPr>
  </w:style>
  <w:style w:type="paragraph" w:styleId="17"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8"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9" w:customStyle="1">
    <w:name w:val="Таблица шапка"/>
    <w:basedOn w:val="Normal"/>
    <w:qFormat/>
    <w:rsid w:val="00f64089"/>
    <w:pPr>
      <w:keepNext w:val="true"/>
      <w:spacing w:before="40" w:after="40"/>
      <w:ind w:hanging="0" w:left="57" w:right="57"/>
    </w:pPr>
    <w:rPr>
      <w:sz w:val="22"/>
      <w:szCs w:val="26"/>
    </w:rPr>
  </w:style>
  <w:style w:type="paragraph" w:styleId="Style30" w:customStyle="1">
    <w:name w:val="Подподпункт"/>
    <w:basedOn w:val="Style22"/>
    <w:qFormat/>
    <w:rsid w:val="0025139e"/>
    <w:pPr>
      <w:tabs>
        <w:tab w:val="left" w:pos="1134" w:leader="none"/>
        <w:tab w:val="left" w:pos="5104" w:leader="none"/>
      </w:tabs>
      <w:snapToGrid w:val="true"/>
      <w:spacing w:lineRule="auto" w:line="240" w:before="120" w:after="0"/>
      <w:ind w:hanging="567" w:left="5104"/>
    </w:pPr>
    <w:rPr>
      <w:sz w:val="26"/>
      <w:szCs w:val="26"/>
      <w:lang w:val="ru-RU" w:eastAsia="ru-RU"/>
    </w:rPr>
  </w:style>
  <w:style w:type="paragraph" w:styleId="Style31" w:customStyle="1">
    <w:name w:val="УРОВЕНЬ_(а)"/>
    <w:basedOn w:val="ListParagraph"/>
    <w:qFormat/>
    <w:rsid w:val="00b56f46"/>
    <w:pPr>
      <w:spacing w:lineRule="exact" w:line="360" w:before="120" w:after="0"/>
      <w:contextualSpacing/>
      <w:jc w:val="both"/>
      <w:outlineLvl w:val="3"/>
    </w:pPr>
    <w:rPr>
      <w:sz w:val="26"/>
      <w:szCs w:val="28"/>
      <w:lang w:eastAsia="en-US"/>
    </w:rPr>
  </w:style>
  <w:style w:type="paragraph" w:styleId="-" w:customStyle="1">
    <w:name w:val="УРОВЕНЬ_-"/>
    <w:basedOn w:val="ListParagraph"/>
    <w:qFormat/>
    <w:rsid w:val="00b56f46"/>
    <w:pPr>
      <w:spacing w:lineRule="exact" w:line="360" w:before="120" w:after="0"/>
      <w:contextualSpacing/>
      <w:jc w:val="both"/>
      <w:outlineLvl w:val="4"/>
    </w:pPr>
    <w:rPr>
      <w:sz w:val="26"/>
      <w:szCs w:val="28"/>
      <w:lang w:eastAsia="en-US"/>
    </w:rPr>
  </w:style>
  <w:style w:type="paragraph" w:styleId="26" w:customStyle="1">
    <w:name w:val="УРОВЕНЬ_Абзац_тип2"/>
    <w:basedOn w:val="ListParagraph"/>
    <w:qFormat/>
    <w:rsid w:val="00b56f46"/>
    <w:pPr>
      <w:spacing w:lineRule="exact" w:line="360" w:before="120" w:after="0"/>
      <w:contextualSpacing/>
      <w:jc w:val="both"/>
    </w:pPr>
    <w:rPr>
      <w:sz w:val="26"/>
      <w:szCs w:val="28"/>
      <w:lang w:eastAsia="en-US"/>
    </w:rPr>
  </w:style>
  <w:style w:type="paragraph" w:styleId="36" w:customStyle="1">
    <w:name w:val="УРОВЕНЬ_Абзац_тип3"/>
    <w:basedOn w:val="ListParagraph"/>
    <w:qFormat/>
    <w:rsid w:val="00b56f46"/>
    <w:pPr>
      <w:spacing w:lineRule="exact" w:line="360" w:before="120" w:after="0"/>
      <w:contextualSpacing/>
      <w:jc w:val="both"/>
    </w:pPr>
    <w:rPr>
      <w:sz w:val="26"/>
      <w:szCs w:val="28"/>
      <w:lang w:eastAsia="en-US"/>
    </w:rPr>
  </w:style>
  <w:style w:type="paragraph" w:styleId="Style32" w:customStyle="1">
    <w:name w:val="УРОВЕНЬ_Подпись"/>
    <w:basedOn w:val="ListParagraph"/>
    <w:qFormat/>
    <w:rsid w:val="00b56f46"/>
    <w:pPr>
      <w:keepNext w:val="true"/>
      <w:spacing w:lineRule="exact" w:line="360" w:before="120" w:after="120"/>
      <w:contextualSpacing/>
      <w:jc w:val="right"/>
      <w:outlineLvl w:val="3"/>
    </w:pPr>
    <w:rPr>
      <w:sz w:val="26"/>
      <w:szCs w:val="28"/>
      <w:lang w:eastAsia="en-US"/>
    </w:rPr>
  </w:style>
  <w:style w:type="paragraph" w:styleId="18" w:customStyle="1">
    <w:name w:val="Стиль Заголовок 1 + по ширине"/>
    <w:basedOn w:val="Heading1"/>
    <w:qFormat/>
    <w:rsid w:val="005773b2"/>
    <w:pPr>
      <w:keepLines/>
      <w:tabs>
        <w:tab w:val="clear" w:pos="0"/>
        <w:tab w:val="left" w:pos="567" w:leader="none"/>
      </w:tabs>
      <w:spacing w:before="480" w:after="240"/>
      <w:ind w:hanging="567" w:left="567"/>
      <w:jc w:val="both"/>
    </w:pPr>
    <w:rPr>
      <w:rFonts w:ascii="Arial" w:hAnsi="Arial" w:eastAsia="Times New Roman"/>
      <w:bCs/>
      <w:sz w:val="40"/>
      <w:szCs w:val="20"/>
      <w:lang w:val="ru-RU" w:eastAsia="ru-RU"/>
    </w:rPr>
  </w:style>
  <w:style w:type="paragraph" w:styleId="EndnoteText">
    <w:name w:val="Endnote Text"/>
    <w:basedOn w:val="Normal"/>
    <w:qFormat/>
    <w:rsid w:val="003879d4"/>
    <w:pPr/>
    <w:rPr>
      <w:sz w:val="20"/>
      <w:szCs w:val="20"/>
    </w:rPr>
  </w:style>
  <w:style w:type="paragraph" w:styleId="27" w:customStyle="1">
    <w:name w:val="Заголовок 2 КВВ"/>
    <w:basedOn w:val="Normal"/>
    <w:qFormat/>
    <w:rsid w:val="00cb35e8"/>
    <w:pPr>
      <w:keepNext w:val="true"/>
      <w:spacing w:before="120" w:after="120"/>
      <w:jc w:val="both"/>
      <w:outlineLvl w:val="0"/>
    </w:pPr>
    <w:rPr>
      <w:b/>
      <w:sz w:val="24"/>
      <w:szCs w:val="20"/>
      <w:lang w:eastAsia="x-none"/>
    </w:rPr>
  </w:style>
  <w:style w:type="paragraph" w:styleId="Style33"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qFormat/>
    <w:rsid w:val="004a17ae"/>
    <w:pPr>
      <w:keepNext w:val="true"/>
      <w:keepLines/>
      <w:spacing w:lineRule="auto" w:line="276" w:before="240" w:after="120"/>
      <w:ind w:hanging="0" w:left="0"/>
      <w:contextualSpacing/>
      <w:jc w:val="both"/>
      <w:outlineLvl w:val="0"/>
    </w:pPr>
    <w:rPr>
      <w:caps/>
      <w:sz w:val="28"/>
      <w:szCs w:val="28"/>
      <w:lang w:eastAsia="en-US"/>
    </w:rPr>
  </w:style>
  <w:style w:type="paragraph" w:styleId="TOC6">
    <w:name w:val="TOC 6"/>
    <w:basedOn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4" w:customStyle="1">
    <w:name w:val="Содержимое таблицы"/>
    <w:basedOn w:val="Normal"/>
    <w:qFormat/>
    <w:pPr/>
    <w:rPr/>
  </w:style>
  <w:style w:type="paragraph" w:styleId="Style35" w:customStyle="1">
    <w:name w:val="Заголовок таблицы"/>
    <w:basedOn w:val="Style34"/>
    <w:qFormat/>
    <w:pPr/>
    <w:rPr/>
  </w:style>
  <w:style w:type="paragraph" w:styleId="Style36" w:customStyle="1">
    <w:name w:val="Текст в заданном формате"/>
    <w:basedOn w:val="Normal"/>
    <w:qFormat/>
    <w:pPr/>
    <w:rPr>
      <w:rFonts w:ascii="Liberation Mono" w:hAnsi="Liberation Mono" w:eastAsia="Liberation Mono" w:cs="Liberation Mono"/>
      <w:sz w:val="20"/>
      <w:szCs w:val="20"/>
    </w:rPr>
  </w:style>
  <w:style w:type="paragraph" w:styleId="Default" w:customStyle="1">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8" w:customStyle="1">
    <w:name w:val="Стиль2"/>
    <w:uiPriority w:val="99"/>
    <w:qFormat/>
    <w:rsid w:val="006629c9"/>
  </w:style>
  <w:style w:type="table" w:default="1" w:styleId="a1">
    <w:name w:val="Normal Table"/>
    <w:uiPriority w:val="99"/>
    <w:semiHidden/>
    <w:unhideWhenUsed/>
    <w:tblPr>
      <w:tblCellMar>
        <w:top w:w="0" w:type="dxa"/>
        <w:left w:w="108" w:type="dxa"/>
        <w:bottom w:w="0" w:type="dxa"/>
        <w:right w:w="108" w:type="dxa"/>
      </w:tblCellMar>
    </w:tblPr>
  </w:style>
  <w:style w:type="table" w:styleId="affff8">
    <w:name w:val="Table Grid"/>
    <w:basedOn w:val="a1"/>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1"/>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54496-0CD8-4521-88D2-82A71F8A8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Application>AlterOffice/2026.2.0.0$Linux_X86_64 LibreOffice_project/bc4ef1adf80b36c7a6365f8ed6cbf29021361edd</Application>
  <AppVersion>15.0000</AppVersion>
  <Pages>19</Pages>
  <Words>2636</Words>
  <Characters>18015</Characters>
  <CharactersWithSpaces>20734</CharactersWithSpaces>
  <Paragraphs>365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2026-07-10T11:34:00Z</dcterms:created>
  <dc:creator>Быстров Олег Геннадьевич</dc:creator>
  <dc:description/>
  <dc:language>ru-RU</dc:language>
  <cp:lastModifiedBy>igoshevov@corp.gidroogk.com</cp:lastModifiedBy>
  <cp:lastPrinted>2024-10-29T14:50:00Z</cp:lastPrinted>
  <dcterms:modified xsi:type="dcterms:W3CDTF">2026-11-03T15:31:03Z</dcterms:modified>
  <cp:revision>20</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