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9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tbl>
      <w:tblPr>
        <w:tblStyle w:val="affa"/>
        <w:tblW w:w="1529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097"/>
        <w:gridCol w:w="5098"/>
        <w:gridCol w:w="5098"/>
      </w:tblGrid>
      <w:tr>
        <w:trPr/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pacing w:val="2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spacing w:val="20"/>
                <w:kern w:val="0"/>
                <w:sz w:val="22"/>
                <w:szCs w:val="28"/>
                <w:lang w:val="ru-RU" w:eastAsia="ru-RU" w:bidi="ar-SA"/>
              </w:rPr>
              <w:t>«УТВЕРЖДАЮ»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Главный инженер ЦЭС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ПАО «Якутскэнерго»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  <w:u w:val="single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eastAsia="SimSun" w:cs="Times New Roman"/>
                <w:kern w:val="0"/>
                <w:sz w:val="22"/>
                <w:lang w:val="ru-RU" w:eastAsia="ru-RU" w:bidi="ar-SA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 xml:space="preserve"> М. В. Варейкис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eastAsia="SimSun" w:cs="Times New Roman"/>
                <w:kern w:val="0"/>
                <w:sz w:val="22"/>
                <w:lang w:val="ru-RU" w:eastAsia="ru-RU" w:bidi="ar-SA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«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»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2026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«УТВЕРЖДАЮ»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Главный инженер ЦЭС</w:t>
            </w:r>
          </w:p>
          <w:p>
            <w:pPr>
              <w:pStyle w:val="Normal"/>
              <w:widowControl w:val="false"/>
              <w:suppressAutoHyphens w:val="true"/>
              <w:spacing w:lineRule="auto" w:line="48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ПАО «Якутскэнерго»</w:t>
            </w:r>
          </w:p>
          <w:p>
            <w:pPr>
              <w:pStyle w:val="Normal"/>
              <w:widowControl w:val="false"/>
              <w:suppressAutoHyphens w:val="true"/>
              <w:spacing w:lineRule="auto" w:line="48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______________ /М. В. Варейкис/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«___»_________________ 2024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6"/>
          <w:lang w:eastAsia="ru-RU"/>
        </w:rPr>
        <w:t>Технические требования на выполнение работ</w:t>
      </w:r>
      <w:r>
        <w:rPr>
          <w:rFonts w:ascii="Times New Roman" w:hAnsi="Times New Roman"/>
          <w:b/>
          <w:sz w:val="26"/>
          <w:szCs w:val="26"/>
          <w:lang w:eastAsia="ru-RU"/>
        </w:rPr>
        <w:t>: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C2D2E"/>
          <w:spacing w:val="0"/>
          <w:sz w:val="26"/>
          <w:szCs w:val="26"/>
          <w:lang w:eastAsia="ru-RU"/>
        </w:rPr>
        <w:t>ОКПД2 71.12.19.000 Проведение проектно-изыскательских работ для создания Системы сбора и передачи информации на подстанции 110 киловольт  Солнечный в рамках  инвестиционного проекта P_508-92537</w:t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sz w:val="26"/>
          <w:szCs w:val="26"/>
        </w:rPr>
        <w:t>Лот 12901-ТПИР ОБСЛ-2027-ЯЭ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center"/>
        <w:rPr>
          <w:rFonts w:ascii="Times New Roman" w:hAnsi="Times New Roman" w:eastAsia="Times New Roman"/>
          <w:b/>
          <w:i/>
          <w:i/>
          <w:sz w:val="26"/>
          <w:szCs w:val="26"/>
          <w:shd w:fill="FFFF99" w:val="clear"/>
          <w:lang w:eastAsia="ru-RU"/>
        </w:rPr>
      </w:pPr>
      <w:r>
        <w:rPr>
          <w:rFonts w:eastAsia="Times New Roman" w:ascii="Times New Roman" w:hAnsi="Times New Roman"/>
          <w:b/>
          <w:i/>
          <w:sz w:val="26"/>
          <w:szCs w:val="26"/>
          <w:shd w:fill="FFFF99" w:val="clear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ind w:left="6663" w:hanging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СОДЕРЖАНИЕ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tbl>
      <w:tblPr>
        <w:tblW w:w="10200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9764"/>
        <w:gridCol w:w="435"/>
      </w:tblGrid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right" w:pos="10196" w:leader="dot"/>
              </w:tabs>
              <w:rPr/>
            </w:pPr>
            <w:hyperlink w:anchor="_Toc138770041">
              <w:r>
                <w:rPr>
                  <w:rFonts w:ascii="Times New Roman" w:hAnsi="Times New Roman"/>
                </w:rPr>
                <w:t>1</w:t>
              </w:r>
            </w:hyperlink>
            <w:r>
              <w:rPr>
                <w:rFonts w:ascii="Times New Roman" w:hAnsi="Times New Roman"/>
              </w:rPr>
              <w:t>. Общие сведения……………………………………………………………………………………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2">
              <w:r>
                <w:rPr>
                  <w:rFonts w:ascii="Times New Roman" w:hAnsi="Times New Roman"/>
                  <w:iCs/>
                </w:rPr>
                <w:t>1.</w:t>
              </w:r>
            </w:hyperlink>
            <w:r>
              <w:rPr>
                <w:rFonts w:ascii="Times New Roman" w:hAnsi="Times New Roman"/>
                <w:iCs/>
              </w:rPr>
              <w:t>1. Наименование закупаемой продукции…………………………………………………..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3">
              <w:r>
                <w:rPr>
                  <w:rFonts w:cs="Times New Roman" w:ascii="Times New Roman" w:hAnsi="Times New Roman"/>
                  <w:iCs/>
                </w:rPr>
                <w:t>1.2.</w:t>
              </w:r>
              <w:r>
                <w:rPr>
                  <w:rFonts w:eastAsia="PMingLiU" w:cs="Times New Roman" w:ascii="Times New Roman" w:hAnsi="Times New Roman"/>
                </w:rPr>
                <w:t xml:space="preserve"> Заказчик (подразделение заказчика)……………………………………………………</w:t>
              </w:r>
            </w:hyperlink>
            <w:r>
              <w:rPr>
                <w:rFonts w:eastAsia="PMingLiU" w:cs="Times New Roman" w:ascii="Times New Roman" w:hAnsi="Times New Roman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4">
              <w:r>
                <w:rPr>
                  <w:rFonts w:ascii="Times New Roman" w:hAnsi="Times New Roman"/>
                  <w:iCs/>
                </w:rPr>
                <w:t>1.3. Цель выполнения работ…………………………………………………………………</w:t>
              </w:r>
            </w:hyperlink>
            <w:r>
              <w:rPr>
                <w:rFonts w:eastAsia="PMingLiU" w:cs="Arial" w:ascii="Calibri" w:hAnsi="Calibri"/>
                <w:iCs/>
                <w:sz w:val="22"/>
                <w:szCs w:val="22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5">
              <w:r>
                <w:rPr>
                  <w:rFonts w:ascii="Times New Roman" w:hAnsi="Times New Roman"/>
                  <w:iCs/>
                </w:rPr>
                <w:t>1.4. Существующее положение………………………………………………………………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right" w:pos="10196" w:leader="dot"/>
              </w:tabs>
              <w:rPr/>
            </w:pPr>
            <w:hyperlink w:anchor="_Toc138770047">
              <w:r>
                <w:rPr>
                  <w:rFonts w:ascii="Times New Roman" w:hAnsi="Times New Roman"/>
                </w:rPr>
                <w:t>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  <w:iCs/>
                </w:rPr>
                <w:t>Требования к продукции…………………………………………………………………………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8">
              <w:r>
                <w:rPr>
                  <w:rFonts w:ascii="Times New Roman" w:hAnsi="Times New Roman"/>
                  <w:iCs/>
                </w:rPr>
                <w:t>2.1.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объемам и срокам выполнения работ……………………………………</w:t>
              </w:r>
            </w:hyperlink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3"/>
              <w:widowControl w:val="false"/>
              <w:tabs>
                <w:tab w:val="clear" w:pos="708"/>
                <w:tab w:val="left" w:pos="1400" w:leader="none"/>
                <w:tab w:val="right" w:pos="10476" w:leader="dot"/>
              </w:tabs>
              <w:ind w:left="993" w:hanging="0"/>
              <w:rPr/>
            </w:pPr>
            <w:hyperlink w:anchor="_Toc138770049">
              <w:r>
                <w:rPr>
                  <w:rFonts w:ascii="Times New Roman" w:hAnsi="Times New Roman"/>
                </w:rPr>
                <w:t>2.1.1.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видам и объемам работ……………………………………………</w:t>
              </w:r>
            </w:hyperlink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3"/>
              <w:widowControl w:val="false"/>
              <w:tabs>
                <w:tab w:val="clear" w:pos="708"/>
                <w:tab w:val="left" w:pos="1400" w:leader="none"/>
                <w:tab w:val="right" w:pos="10476" w:leader="dot"/>
              </w:tabs>
              <w:ind w:left="993" w:hanging="0"/>
              <w:rPr/>
            </w:pPr>
            <w:hyperlink w:anchor="_Toc138770051">
              <w:r>
                <w:rPr>
                  <w:rFonts w:ascii="Times New Roman" w:hAnsi="Times New Roman"/>
                </w:rPr>
                <w:t>2.1.2.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срокам выполнения работ…………………………………………</w:t>
              </w:r>
            </w:hyperlink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8">
              <w:r>
                <w:rPr>
                  <w:rFonts w:ascii="Times New Roman" w:hAnsi="Times New Roman"/>
                  <w:iCs/>
                </w:rPr>
                <w:t>2.2.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eastAsia="PMingLiU" w:cs="Arial" w:ascii="Times New Roman" w:hAnsi="Times New Roman"/>
                  <w:b w:val="false"/>
                  <w:sz w:val="24"/>
                  <w:szCs w:val="24"/>
                </w:rPr>
                <w:t xml:space="preserve">Требования к </w:t>
              </w:r>
              <w:r>
                <w:rPr>
                  <w:rFonts w:eastAsia="PMingLiU" w:cs="Arial" w:ascii="Times New Roman" w:hAnsi="Times New Roman"/>
                  <w:b w:val="false"/>
                  <w:sz w:val="24"/>
                  <w:szCs w:val="24"/>
                  <w:lang w:eastAsia="ru-RU"/>
                </w:rPr>
                <w:t>качеству работ……………………………………………………………</w:t>
              </w:r>
            </w:hyperlink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rPr/>
            </w:pPr>
            <w:hyperlink w:anchor="_Toc138770054">
              <w:r>
                <w:rPr>
                  <w:rFonts w:ascii="Times New Roman" w:hAnsi="Times New Roman"/>
                  <w:iCs/>
                </w:rPr>
                <w:t>3.</w:t>
              </w:r>
              <w:r>
                <w:rPr>
                  <w:rFonts w:eastAsia="PMingLiU" w:cs="Arial" w:ascii="Calibri" w:hAnsi="Calibri"/>
                  <w:iCs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  <w:iCs/>
                </w:rPr>
                <w:t>Требования к документации по ценообразованию на этапе закупки…………………………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left" w:pos="9981" w:leader="none"/>
                <w:tab w:val="right" w:pos="10196" w:leader="dot"/>
              </w:tabs>
              <w:ind w:right="-227" w:hanging="0"/>
              <w:rPr>
                <w:rFonts w:ascii="Times New Roman" w:hAnsi="Times New Roman"/>
              </w:rPr>
            </w:pPr>
            <w:hyperlink w:anchor="_Toc138770062">
              <w:r>
                <w:rPr>
                  <w:rFonts w:ascii="Times New Roman" w:hAnsi="Times New Roman"/>
                  <w:iCs/>
                </w:rPr>
                <w:t>4</w:t>
              </w:r>
            </w:hyperlink>
            <w:r>
              <w:rPr>
                <w:rFonts w:ascii="Times New Roman" w:hAnsi="Times New Roman"/>
                <w:iCs/>
              </w:rPr>
              <w:t>. Условия составления сметной документации (при заключении договора ….</w:t>
            </w:r>
            <w:hyperlink w:anchor="_Toc138770062">
              <w:r>
                <w:rPr>
                  <w:rFonts w:ascii="Times New Roman" w:hAnsi="Times New Roman"/>
                  <w:iCs/>
                </w:rPr>
                <w:t>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right" w:pos="10196" w:leader="dot"/>
              </w:tabs>
              <w:rPr/>
            </w:pPr>
            <w:r>
              <w:rPr>
                <w:iCs/>
              </w:rPr>
              <w:t>5. Приложения………………………………………………………………………………………...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>
      <w:pPr>
        <w:pStyle w:val="Normal"/>
        <w:tabs>
          <w:tab w:val="clear" w:pos="708"/>
          <w:tab w:val="left" w:pos="560" w:leader="none"/>
          <w:tab w:val="right" w:pos="10196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4"/>
          <w:lang w:eastAsia="ru-RU"/>
        </w:rPr>
      </w:pPr>
      <w:r>
        <w:rPr>
          <w:rFonts w:eastAsia="Times New Roman" w:ascii="Times New Roman" w:hAnsi="Times New Roman"/>
          <w:b/>
          <w:sz w:val="20"/>
          <w:szCs w:val="24"/>
          <w:lang w:eastAsia="ru-RU"/>
        </w:rPr>
        <w:t>ОБОЗНАЧЕНИЯ И СОКРАЩЕНИЯ</w:t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120"/>
        <w:ind w:left="0" w:hanging="0"/>
        <w:jc w:val="both"/>
        <w:outlineLvl w:val="0"/>
        <w:rPr>
          <w:rFonts w:ascii="Times New Roman" w:hAnsi="Times New Roman" w:eastAsia="Times New Roman"/>
          <w:b/>
          <w:bCs/>
          <w:iCs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bCs/>
          <w:iCs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ПС  - Подстанция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shd w:fill="auto" w:val="clear"/>
          <w:lang w:eastAsia="ru-RU"/>
        </w:rPr>
        <w:t>СДТУ - средства диспетчерского и технологического управления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 xml:space="preserve">ОПУ -  обще подстанционный пункт управления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ОРУ - открытое распределительное устройство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РДУ - Региональное диспетчерское управление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ССПИ - Система сбора и передачи информации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ОИК - Оперативно-информационный комплекс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ДП - Диспетчерский пункт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ТИ - Телеизмерения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ТС - Телесигнализация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ТУ - Телеуправление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i/>
          <w:i/>
          <w:sz w:val="24"/>
          <w:szCs w:val="24"/>
          <w:lang w:eastAsia="ru-RU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Heading1"/>
        <w:keepLines/>
        <w:widowControl w:val="false"/>
        <w:numPr>
          <w:ilvl w:val="0"/>
          <w:numId w:val="8"/>
        </w:numPr>
        <w:tabs>
          <w:tab w:val="clear" w:pos="708"/>
          <w:tab w:val="left" w:pos="357" w:leader="none"/>
        </w:tabs>
        <w:spacing w:before="240" w:after="120"/>
        <w:jc w:val="left"/>
        <w:textAlignment w:val="baseline"/>
        <w:rPr>
          <w:bCs/>
          <w:color w:val="000000"/>
          <w:szCs w:val="24"/>
          <w:lang w:eastAsia="ru-RU"/>
        </w:rPr>
      </w:pPr>
      <w:r>
        <w:rPr>
          <w:iCs/>
          <w:szCs w:val="24"/>
        </w:rPr>
        <w:t>Общие</w:t>
      </w:r>
      <w:r>
        <w:rPr>
          <w:bCs/>
          <w:color w:val="000000"/>
          <w:szCs w:val="24"/>
          <w:lang w:eastAsia="ru-RU"/>
        </w:rPr>
        <w:t xml:space="preserve"> сведения</w:t>
      </w:r>
    </w:p>
    <w:p>
      <w:pPr>
        <w:pStyle w:val="Normal"/>
        <w:widowControl w:val="false"/>
        <w:spacing w:lineRule="exact" w:line="281" w:before="0" w:after="0"/>
        <w:ind w:right="40" w:hanging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1.1.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Наименование закупаемой продукции (товаров, работ, услуг): </w:t>
      </w:r>
    </w:p>
    <w:p>
      <w:pPr>
        <w:pStyle w:val="Normal"/>
        <w:widowControl w:val="false"/>
        <w:spacing w:lineRule="exact" w:line="281"/>
        <w:ind w:right="40" w:hanging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>ОКПД2 71.12.19.000 Проведение проектно-изыскательских работ для создания Системы сбора и передачи информации на подстанции 110 киловольт  Солнечный в рамках  инвестиционного проекта P_508-92537.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20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1.2. Заказчик (подразделение Заказчика).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81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Наименование филиала: Центральные электрические сети ПАО «Якутскэнерго».</w:t>
      </w:r>
    </w:p>
    <w:p>
      <w:pPr>
        <w:pStyle w:val="Normal"/>
        <w:widowControl w:val="false"/>
        <w:spacing w:lineRule="exact" w:line="281"/>
        <w:ind w:right="40" w:hanging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Подразделение-куратор: </w:t>
      </w: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Служба средств диспетчерского и технологического управления</w:t>
      </w:r>
      <w:r>
        <w:rPr>
          <w:rFonts w:eastAsia="Times New Roman" w:ascii="Times New Roman" w:hAnsi="Times New Roman"/>
          <w:bCs/>
          <w:iCs/>
          <w:color w:val="000000"/>
          <w:sz w:val="24"/>
          <w:szCs w:val="24"/>
          <w:lang w:eastAsia="ru-RU"/>
        </w:rPr>
        <w:t>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1.3. Цель выполнения работ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shd w:fill="auto" w:val="clear"/>
        </w:rPr>
        <w:t>создание систем сбора и передачи информации с целью соответствия объемов передаваемой телеинформации на верхний уровень управления в соответствии с Целевой программой наблюдаемости ПС 35 кВ и выше.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проектировании должны быть достигнуты следующие цели: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оперативный контроль параметров оборудования;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прием, обработка, передача и хранение телеметрических данных о состоянии оборудования подстанции и предоставление полученной информации оперативно-диспетчерскому персоналу;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коммутационными аппаратами и их квитирование после аварийных отключений с ДП Эльдиканского РЭС;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надежное получение данных о текущем режиме работы подстанции, высокопроизводительной обработки поступающей информации и выдачи всех изменений режима, состояния оборудования и аварийно-предупредительных сообщений в темпе поступления информации;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1.4. Существующее положение.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настоящий момент на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ПС 110 кВ Солнечный,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Система сбора и передачи информации (ССПИ) отсутствует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 В ДП Эльдиканского РЭС используется оперативно-информационный комплекс на базе телемеханики «Конус». Ведется реконструкция ССПИ по смежному проекту.</w:t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 В ДП ЦЭС используется оперативно-информационный комплекс «</w:t>
      </w:r>
      <w:r>
        <w:rPr>
          <w:rFonts w:ascii="Times New Roman" w:hAnsi="Times New Roman"/>
          <w:color w:val="000000"/>
          <w:sz w:val="24"/>
          <w:szCs w:val="24"/>
          <w:lang w:val="en-US" w:bidi="ru-RU"/>
        </w:rPr>
        <w:t>Intouch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» на базе телемеханики «Конус» г.Москва оборудование расположено на территории Центрального РЭС г.Якутск.</w:t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1"/>
        <w:keepLines/>
        <w:spacing w:before="0" w:after="60"/>
        <w:jc w:val="left"/>
        <w:rPr>
          <w:b w:val="false"/>
        </w:rPr>
      </w:pPr>
      <w:r>
        <w:rPr>
          <w:b w:val="false"/>
          <w:szCs w:val="24"/>
        </w:rPr>
        <w:t>Таблица 1</w:t>
      </w:r>
      <w:r>
        <w:rPr>
          <w:b w:val="false"/>
          <w:szCs w:val="24"/>
          <w:lang w:eastAsia="ru-RU"/>
        </w:rPr>
        <w:t>.</w:t>
      </w:r>
      <w:r>
        <w:rPr>
          <w:b w:val="false"/>
          <w:szCs w:val="24"/>
        </w:rPr>
        <w:t xml:space="preserve"> </w:t>
      </w:r>
      <w:r>
        <w:rPr>
          <w:b w:val="false"/>
          <w:szCs w:val="24"/>
          <w:lang w:eastAsia="ru-RU"/>
        </w:rPr>
        <w:t>Перечень объектов заказчика</w:t>
      </w:r>
    </w:p>
    <w:tbl>
      <w:tblPr>
        <w:tblW w:w="10304" w:type="dxa"/>
        <w:jc w:val="left"/>
        <w:tblInd w:w="-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9"/>
        <w:gridCol w:w="3400"/>
        <w:gridCol w:w="3374"/>
        <w:gridCol w:w="311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Расположение объекта </w:t>
              <w:br/>
              <w:t>(место производства работ)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919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360"/>
              <w:contextualSpacing w:val="false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ПС 110 кВ Солнечный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Эльдиканский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РЭС 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РС (Я), п.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bidi="ru-RU"/>
              </w:rPr>
              <w:t>Солнечный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ПС 110 кВ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bidi="ru-RU"/>
              </w:rPr>
              <w:t>Солнечный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ОРУ-110 кВ, ОРУ-35 кВ, ЗРУ-10 кВ, ГТЭ-4 (Г1, Г2), ПАЭС-2500 (Г3, Г4, Г5)</w:t>
            </w:r>
          </w:p>
        </w:tc>
      </w:tr>
    </w:tbl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iCs/>
          <w:szCs w:val="24"/>
        </w:rPr>
      </w:pPr>
      <w:r>
        <w:rPr>
          <w:iCs/>
          <w:szCs w:val="24"/>
        </w:rPr>
        <w:t>Требования к продукции</w:t>
      </w:r>
    </w:p>
    <w:p>
      <w:pPr>
        <w:pStyle w:val="Heading4"/>
        <w:tabs>
          <w:tab w:val="clear" w:pos="708"/>
          <w:tab w:val="left" w:pos="1224" w:leader="none"/>
        </w:tabs>
        <w:spacing w:lineRule="auto" w:line="240" w:before="240" w:after="120"/>
        <w:textAlignment w:val="baseline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2.1. Требования к объемам и срокам </w:t>
      </w:r>
      <w:r>
        <w:rPr>
          <w:rFonts w:ascii="Times New Roman" w:hAnsi="Times New Roman"/>
          <w:b w:val="false"/>
          <w:sz w:val="24"/>
          <w:szCs w:val="24"/>
          <w:lang w:eastAsia="ru-RU"/>
        </w:rPr>
        <w:t>выполнения работ</w:t>
      </w:r>
    </w:p>
    <w:p>
      <w:pPr>
        <w:pStyle w:val="Heading3"/>
        <w:keepLines w:val="false"/>
        <w:tabs>
          <w:tab w:val="clear" w:pos="708"/>
          <w:tab w:val="left" w:pos="1224" w:leader="none"/>
        </w:tabs>
        <w:spacing w:lineRule="auto" w:line="240" w:before="240" w:after="120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2.1.1. Требования к видам и объемам работ</w:t>
      </w:r>
    </w:p>
    <w:p>
      <w:pPr>
        <w:pStyle w:val="Heading1"/>
        <w:keepLines/>
        <w:spacing w:before="0" w:after="60"/>
        <w:jc w:val="left"/>
        <w:rPr>
          <w:b w:val="false"/>
          <w:sz w:val="16"/>
          <w:szCs w:val="24"/>
        </w:rPr>
      </w:pPr>
      <w:r>
        <w:rPr>
          <w:b w:val="false"/>
          <w:sz w:val="16"/>
          <w:szCs w:val="24"/>
        </w:rPr>
      </w:r>
    </w:p>
    <w:p>
      <w:pPr>
        <w:pStyle w:val="Heading1"/>
        <w:keepLines/>
        <w:spacing w:before="0" w:after="60"/>
        <w:jc w:val="left"/>
        <w:rPr>
          <w:b w:val="false"/>
        </w:rPr>
      </w:pPr>
      <w:r>
        <w:rPr>
          <w:b w:val="false"/>
          <w:szCs w:val="24"/>
        </w:rPr>
        <w:t xml:space="preserve">Таблица </w:t>
      </w:r>
      <w:r>
        <w:rPr>
          <w:b w:val="false"/>
          <w:szCs w:val="24"/>
          <w:lang w:eastAsia="ru-RU"/>
        </w:rPr>
        <w:t>2.</w:t>
      </w:r>
      <w:r>
        <w:rPr>
          <w:b w:val="false"/>
          <w:szCs w:val="24"/>
        </w:rPr>
        <w:t xml:space="preserve"> </w:t>
      </w:r>
      <w:r>
        <w:rPr>
          <w:b w:val="false"/>
          <w:szCs w:val="24"/>
          <w:lang w:eastAsia="ru-RU"/>
        </w:rPr>
        <w:t>Перечень и объем выполняемых работ</w:t>
      </w:r>
    </w:p>
    <w:tbl>
      <w:tblPr>
        <w:tblW w:w="10415" w:type="dxa"/>
        <w:jc w:val="left"/>
        <w:tblInd w:w="-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14"/>
        <w:gridCol w:w="6462"/>
        <w:gridCol w:w="1569"/>
        <w:gridCol w:w="1469"/>
      </w:tblGrid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Предпроектные работы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Предпроектное документальное и натурное обследование ПС 110 кВ Солнечный и оформление отдельного отчета об обследовании каждого объекта. Разработка, обоснование и согласование с Заказчиком основных технических решений по проектируемому объекту.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ind w:lef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Отчет</w:t>
            </w:r>
          </w:p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ind w:lef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Определить и оценить: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состав оборудования, требующего модернизации/ замены/ установки в части первичного формирования сигналов телеизмерений (далее - ТИ) и телесигнализации (далее - ТС);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разработать технические решения по модернизации/замене либо установке измерительного оборудования нижнего уровня, оборудования контроля состояния положения коммутационных аппаратов, иных средств контроля и измерения, необходимого для осуществления передачи всего состава телеметрической информации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проектом предусмотреть установку ТН-110 кВ;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для организации ТС с приводов КА проектом предусмотреть восстановление или замену приводов КСА;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- разработать технические решения по организации двух независимых, резервируемых каналов технологической связи между ПС 110 кВ Солнечный </w:t>
            </w:r>
            <w:r>
              <w:rPr>
                <w:rFonts w:ascii="Times New Roman" w:hAnsi="Times New Roman"/>
                <w:iCs/>
                <w:color w:val="000000"/>
                <w:sz w:val="22"/>
                <w:szCs w:val="22"/>
                <w:lang w:bidi="ru-RU"/>
              </w:rPr>
              <w:t>и ДП Эльдиканского РЭС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с диспетчерским пунктом ЦЭС.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предусмотреть защиту существующих и проектируемых каналов связи, ОИК ЦЭС посредством установки (или использования существующих) аппаратных межсетевых экранов, сертифицированных Федеральной службой по технологическому и экспортному контролю (ФСТЭК России) по как минимум: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- 4 уровню доверия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требованиям к МЭ по профилю защиты А, Б 4-го класса защиты;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требованиям к СОВ по профилю защиты СОВ уровня сети 4-го класса защиты.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Межсетевые экраны должны быть включены в перечень разрешенного оборудования для применения на территории РФ (https://gisp.gov.ru) и соответствовать требованиям приказа ПАО «РусГидро» от 28.02.2025 г. №173 «Об утверждении перечней, применяемых в Группе РусГидро типовых технических решений информационно-технологической инфраструктуры и рабочих мест Группы РусГидро, а также запрещенных к использованию типов программного обеспечения» с изменениями.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Для применения на значимых объектах критической информационной инфраструктуры III категории и АСУ ТП 3 класса защищенности.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Проработка требований к обеспечению защиты информации должна быть выполнена участником на этапе разработки технического задания.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Отчет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1.3.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Предпроектные работы проводятся проектной организацией самостоятельно, с выездом специалистов на объект. Заказчик обеспечивает доступ на объект и оказывает необходимое содействие в сборе исходных данных.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1.4.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Результат предпроектных работ представить на рассмотрение Заказчику в объеме, необходимом для принятия технических решений.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направлении на согласование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1.5.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Предпроектные работы считаются выполненным после согласования основных технических решений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1.6.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Основные технические решения, разработанные на этапе предпроектных работ, могут быть скорректированы на этапе проектирования. Указанные изменения должны быть согласованы со всеми лицами, участвующими в согласовании основных технических решений.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2.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 технического задания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Разработка </w:t>
            </w:r>
            <w:r>
              <w:rPr>
                <w:rFonts w:ascii="Times New Roman" w:hAnsi="Times New Roman"/>
                <w:sz w:val="22"/>
                <w:szCs w:val="22"/>
                <w:shd w:fill="auto" w:val="clear"/>
              </w:rPr>
              <w:t>технического задания дол</w:t>
            </w:r>
            <w:r>
              <w:rPr>
                <w:rFonts w:ascii="Times New Roman" w:hAnsi="Times New Roman"/>
                <w:sz w:val="22"/>
                <w:szCs w:val="22"/>
              </w:rPr>
              <w:t>жна быть выполнена на основании основных технических решений, разработанных на этапе предпроектных работ, и в соответствии с нормативными требованиями, в том числе с требованиями ГОСТ 34.602-2020 «Техническое задание на создание автоматизированной системы».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Техническое задание должно быть согласовано с Заказчиком 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 Якутским РДУ для ПС в ведении СО ЕЭС.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3.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 проектной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3.1.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проектной документации должна быть выполнена на основании технического задания, разработанного на предыдущем этапе и в соответствии с нормативными требованиями, в том числе в соответствии с требованиями постановления Правительства РФ от 16.02.2008 № 87 «О составе разделов проектной документации и требованиях к их содержанию».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3.2.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ходе разработки проектной документации необходимо: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определить конструктивные и компоновочные решения в части оборудования формирования сигналов ТИ и ТС;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структурную схему ССПИ;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спроектировать систему гарантированного электропитания ССПИ и оборудования связи;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организации системы обеспечения единого времени;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средствам защиты информации;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организации каналов связи;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при проектировании системы гарантированного электропитания (далее - СГЭ) необходимо учесть наличие СОПТ на ПС и необходимость формирования СГЭ на базе АБП с резервированием от СОПТ. 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независимые комплекты оборудования каналов связи и оборудования ССПИ должны иметь независимые СГЭ.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при формировании шкафов ССПИ и связи дублированное оборудование ССПИ и связи размещать по разным шкафам, допускается совмещение полукомплектов  оборудования связи и ССПИ в одном шкафу.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>
          <w:trHeight w:val="498" w:hRule="atLeast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4.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рабочей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Разработка рабочей документации выполняется на основании утвержденной проектной документации, и данных о поставляемом, основном электротехническом оборудовании и материалах, определенных на этапе предпроектных работ с максимальным применением типовых решений, рекомендуемых производителями оборудования. Применение не типовых решений, ведущих к увеличению стоимости ПИР и СМР допускается только при соответствующем основании. Рабочая документация, должна быть согласована в требуемом объеме с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20" w:after="20"/>
              <w:ind w:left="0" w:hanging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20" w:after="20"/>
              <w:ind w:left="0" w:hanging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 разработке рабочей документации в части телекоммуникационного оборудования требуется предусмотреть следующее: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применять стандартные протоколы с возможностью включения и передачи меток времени (МЭК 60870-5- 104, МЭК-61850);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независимость каналов связи в каждом направлении связи должна достигаться за счет организации каналов связи в разных линиях связи, не имеющих общих линейно-кабельных сооружений, или в разных средах распространения с соответствующим выбором трасс прохождения каналов;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-выполнение требования по независимости, в том числе электропитания, для независимых комплектов оборудования ССПИ (АСУТП) и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обеспечение разнесения дублированных полукомплектов оборудования ССПИ (АСУТП) и связи по разным шкафам. Допускается совмещение в одном шкафу оборудования ССПИ (АСУТП) и связи одного полукомплекта;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сетевые коммутаторы, шлюзы должны располагаться в одном конструктиве с блоками питания;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линии электропитания сетевых коммутаторов должны быть защищены от механических повреждений и несанкционированных отключений;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 качестве шины управления используется связь на основе сети Ethernet;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 тракте телеизмерений должны использоваться многофункциональные измерительные преобразователи с классом точности не хуже 0,5S, подключаемые к кернам измерительных трансформаторов класса точности не хуже 0,5S. Аналоговые стрелочные приборы (амперметры, вольтметры и др.) следует оставить, т. е. не заменять на новые МИП, а МИП монтировать отдельно;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проектом предусмотреть необходимый запас МИП, количество определить проектом;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проектом предусмотреть приобретение поверочной переносной установки — УПП8531М/5;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телеинформация должна содержать метки единого астрономического времени от устройства обеспечения единого времени;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суммарное время измерения и передачи телеинформации на верхние уровни управления не должно превышать 1 (одну) секунду;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радиоэлектронное оборудование должно быть включено в один из следующих реестров и иметь действующую выписку: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1) в реестр промышленной продукции, произведенной на территории Российской Федерации, предусмотренном постановлением Правительства Российской Федерации от 30.04.2020 № 616 «Об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государства»;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2) в единый реестр российской радиоэлектронной продукции, предусмотренном постановлением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№ 925 и признании утратившими силу некоторых актов Правительства Российской Федерации».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при выборе оборудования необходимо учитывать Перечень типовых технических решений информационно-технологической инфраструктуры и рабочих мест Группы РусГидро, утверждённый Приказом ПАО «РусГидро» от 18.08.2025 «О внесении изменения в приказ ПАО «РусГидро» от 28.02.2025 №173 «Об утверждении перечней применяемых в Группе РусГидро типовых технических решений информационно-технологической инфраструктуры и рабочих мест Группы РусГидро, а также запрещённых к использованию типов программного обеспечения».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2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2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4.3.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Рабочая документация должна включать: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пояснительную записку;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комплект чертежей с прилагаемыми документами;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структурную схему ССПИ;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каналов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таблицу информационных потоков;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бесперебойного электропитания ССПИ и оборудования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формуляр согласования приема-передачи данных;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спецификации оборудования;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спецификации программного обеспечения;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паспорта измерительных приборов;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инструкции по эксплуатации;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структурных и функциональных схем;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принципиальных электрических схем;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сборочных и габаритных чертежей;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схем расположения оборудования и кабельных проводок;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чертежей общего вида;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алгоритмов функционирования подсистем;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кабельные журналы.;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программы и методики испытаний;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ведомости объемов работ;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информационного обмена на физическом и канальном уровнях;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информационного обмена на сетевом уровне;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свидетельства о поверке МИП и СИ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4.4.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В составе рабочей документация необходимо разработать план-график работ на ПС 110 кВ Солнечный с декомпозиционной разбивкой, учитывающей мероприятия по строительно-монтажным работам, пуско-наладочным работам и вводу в эксплуатацию.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План-график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4.5.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Рабочая документация согласовывается и утверждается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сметной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Разработка сметной документации выполняется на основании утвержденной рабочей документации.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Сметная документация согласовывается и утверждается Заказчиком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</w:tbl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3"/>
        <w:keepLines w:val="false"/>
        <w:widowControl w:val="false"/>
        <w:shd w:val="clear" w:color="auto" w:fill="FFFFFF"/>
        <w:tabs>
          <w:tab w:val="clear" w:pos="708"/>
          <w:tab w:val="left" w:pos="1224" w:leader="none"/>
        </w:tabs>
        <w:spacing w:lineRule="auto" w:line="240" w:before="120" w:after="120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2.1.2. Требования к срокам выполнения работ</w:t>
      </w:r>
    </w:p>
    <w:tbl>
      <w:tblPr>
        <w:tblW w:w="10055" w:type="dxa"/>
        <w:jc w:val="left"/>
        <w:tblInd w:w="-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9"/>
        <w:gridCol w:w="3686"/>
        <w:gridCol w:w="2831"/>
        <w:gridCol w:w="2978"/>
      </w:tblGrid>
      <w:tr>
        <w:trPr/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2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2"/>
                <w:szCs w:val="22"/>
              </w:rPr>
              <w:t>Предпроектные работы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</w:rPr>
              <w:t>С даты заключения  договора, но не ранее 25.01.2027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</w:rPr>
              <w:t>15.04.2027</w:t>
            </w:r>
          </w:p>
        </w:tc>
      </w:tr>
      <w:tr>
        <w:trPr>
          <w:trHeight w:val="487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технического задания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16.04.2027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31.07.2027</w:t>
            </w:r>
          </w:p>
        </w:tc>
      </w:tr>
      <w:tr>
        <w:trPr>
          <w:trHeight w:val="45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проектной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01.08.2027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14.09.2027</w:t>
            </w:r>
          </w:p>
        </w:tc>
      </w:tr>
      <w:tr>
        <w:trPr>
          <w:trHeight w:val="51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рабочей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15.09.2027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31.10.2027</w:t>
            </w:r>
          </w:p>
        </w:tc>
      </w:tr>
      <w:tr>
        <w:trPr>
          <w:trHeight w:val="51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сметной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01.11.2027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10.12.2027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567" w:gutter="0" w:header="0" w:top="568" w:footer="709" w:bottom="766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Heading4"/>
        <w:ind w:left="426" w:right="40" w:hanging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2.2. </w:t>
      </w:r>
      <w:bookmarkStart w:id="0" w:name="_Toc138770052"/>
      <w:bookmarkStart w:id="1" w:name="_Toc513396981"/>
      <w:r>
        <w:rPr>
          <w:rFonts w:ascii="Times New Roman" w:hAnsi="Times New Roman"/>
          <w:b w:val="false"/>
          <w:sz w:val="24"/>
          <w:szCs w:val="24"/>
        </w:rPr>
        <w:t xml:space="preserve">Требования к </w:t>
      </w:r>
      <w:r>
        <w:rPr>
          <w:rFonts w:ascii="Times New Roman" w:hAnsi="Times New Roman"/>
          <w:b w:val="false"/>
          <w:sz w:val="24"/>
          <w:szCs w:val="24"/>
          <w:lang w:eastAsia="ru-RU"/>
        </w:rPr>
        <w:t>качеству работ</w:t>
      </w:r>
    </w:p>
    <w:p>
      <w:pPr>
        <w:pStyle w:val="Heading1"/>
        <w:keepLines/>
        <w:spacing w:before="0" w:after="60"/>
        <w:jc w:val="left"/>
        <w:rPr>
          <w:rFonts w:ascii="Times New Roman" w:hAnsi="Times New Roman"/>
        </w:rPr>
      </w:pPr>
      <w:bookmarkStart w:id="2" w:name="_Toc513396982"/>
      <w:bookmarkEnd w:id="2"/>
      <w:r>
        <w:rPr>
          <w:b w:val="false"/>
          <w:szCs w:val="24"/>
        </w:rPr>
        <w:t xml:space="preserve">Таблица 4. Требования к </w:t>
      </w:r>
      <w:r>
        <w:rPr>
          <w:b w:val="false"/>
          <w:szCs w:val="24"/>
          <w:lang w:eastAsia="ru-RU"/>
        </w:rPr>
        <w:t>качеству работ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ОКПД2 71.12.19.000 Проведение проектно-изыскательских работ для создания Системы сбора и передачи информации на подстанции 110 киловольт  Солнечный в рамках  инвестиционного проекта P_508-92537</w:t>
      </w:r>
    </w:p>
    <w:tbl>
      <w:tblPr>
        <w:tblW w:w="1541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76"/>
        <w:gridCol w:w="2161"/>
        <w:gridCol w:w="9975"/>
        <w:gridCol w:w="2499"/>
      </w:tblGrid>
      <w:tr>
        <w:trPr>
          <w:trHeight w:val="562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Наименование параметра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Требование заказчика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Согласие с требованием</w:t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297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выполнению работ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</w:t>
            </w:r>
          </w:p>
        </w:tc>
      </w:tr>
      <w:tr>
        <w:trPr>
          <w:trHeight w:val="417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выполнению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3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1.1.1.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Общие требования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Проектно-изыскательские работы должны быть выполнены в таком объёме и с такой детализацией, чтобы по их результатам можно было сразу приступить к строительству/монтажу и ввести объект в эксплуатацию без дополнительных изысканий и допроектирования.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rFonts w:ascii="Times New Roman" w:hAnsi="Times New Roman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1191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1.2.1.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организации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Подрядчик должен соблюдать требования Регламента РГ-00-032.06-24 ПАО «Якутскэнерго» «Допуск подрядных организаций к выполнению работ на объектах ПАО «Якутскэнерго»; Стандарта ПАО «Якутскэнерго» «Положение по обращению с отходами», размещенных на сайте компании по адресу   https://yakutskenergo.ru/company/integrirovannaya-sistema-menedzhmenta/;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Определение и согласование со службами заказчика мест подключения коммуникаций;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0" w:after="160"/>
              <w:ind w:left="0" w:hanging="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Контроль и ответственность за соблюдение правил техники безопасности персоналом Подрядчика, при проведении работ по сбору исходных данных возлагается на Подрядчика.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1191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1199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контролю качества работ и материалов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1.3.1.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выполняются в соответствии с: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Вся рабочая, исполнительная и эксплуатационная документация разрабатывается в соответствии с национальными, отраслевыми и корпоративными (ПАО «РусГидро») нормативно-техническими документами; Нормативно-технические документы (НТД), определяющие требования к оформлению и содержанию разрабатываемой документации: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- Техническая политика Группы «РусГидро»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;</w:t>
            </w:r>
          </w:p>
          <w:p>
            <w:pPr>
              <w:pStyle w:val="Normal"/>
              <w:widowControl w:val="false"/>
              <w:spacing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bCs/>
                <w:szCs w:val="20"/>
              </w:rPr>
              <w:t xml:space="preserve">Правила 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технологического функционирования электроэнергетических систем </w:t>
            </w:r>
            <w:r>
              <w:rPr>
                <w:rFonts w:ascii="Times New Roman" w:hAnsi="Times New Roman"/>
                <w:color w:val="000000"/>
                <w:szCs w:val="20"/>
              </w:rPr>
              <w:t>от 13 августа 2018 г. № 937;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34.201-2020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«Виды, комплектность и обозначения документов при создании автоматизированных систем»;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1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Р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21.101-2026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СПДС.</w:t>
              <w:tab/>
              <w:t>«Основные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ГОСТ Р 59795—2021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«Автоматизированные системы. Требования к содержанию документов»;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33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21.408-2013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 «Правила выполнения рабочей документации автоматизации технологических процессов»;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21.208-2013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СПДС. «Автоматизация технологических процессов. Обозначения условные приборов и средств автоматизации в схемах»;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2.701-2008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ЕСКД. «Схемы. Виды и типы. Общие требования к выполнению»;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Р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2.601-2019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(Эксплуатационные документы);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ГОСТ Р 71962-2025 Средства  диспетчерского и технологического управления. Исполнительные схемы организации информационного обмена с диспетчерскими центрами субъекта оперативно-диспетчерского управления в электроэнергетике. Нормы и требования;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Приказ ПАО «РусГидро» от 18.08.2025 №682 Об утверждении перечней, применяемых в Группе РусГидро типовых технических решений информационно- технологической инфраструктуры и рабочих мест Группы РусГидро, а также запрещенных к использованию типов программного обеспечения»;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действующие в ПАО «Якутскэнерго» нормативно-технические документы;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действующие федеральные законодательные документы РФ;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Отраслевые НТД: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по охране труда при эксплуатации электроустановок;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02" w:leader="none"/>
                <w:tab w:val="right" w:pos="5231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устройства электроустановок (ПУЭ, действующее издание);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02" w:leader="none"/>
                <w:tab w:val="right" w:pos="5231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технической эксплуатации электрических станций и сетей РФ (действующее издание);</w:t>
            </w:r>
          </w:p>
          <w:p>
            <w:pPr>
              <w:pStyle w:val="ListParagraph"/>
              <w:widowControl w:val="false"/>
              <w:spacing w:before="0" w:after="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Приказ Минстроя РФ от 16.05.2023 №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1.4.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rPr>
                <w:rFonts w:ascii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2"/>
              </w:rPr>
              <w:t>Требования к персоналу подрядчика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31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</w:rPr>
              <w:t>1.4.1.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Выполнение Работ осуществляется специалистами, сведения о которых включены в Национальный реестр специалистов в области инженерных изысканий и архитектурно-строительного проектирования (не менее трех специалистов)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1.5.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1.5.1.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Cs w:val="24"/>
              </w:rPr>
              <w:t>Подрядчик должен: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Требования</w:t>
            </w:r>
            <w:r>
              <w:rPr>
                <w:rFonts w:ascii="Times New Roman" w:hAnsi="Times New Roman"/>
                <w:bCs/>
                <w:szCs w:val="24"/>
              </w:rPr>
              <w:t xml:space="preserve"> к результатам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Общие требования к результатам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</w:t>
            </w:r>
            <w:r>
              <w:rPr>
                <w:rFonts w:ascii="Times New Roman" w:hAnsi="Times New Roman"/>
                <w:iCs/>
              </w:rPr>
              <w:t xml:space="preserve"> требования к проектной документации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Вся проектная и/или рабочая документация разрабатывается с соблюдением требований Регламента РГ-00-032.05-22 ПАО «Якутскэнерго» «Допуск подрядных организаций и командированного персонала для выполнения работ на объектах ПАО «Якутскэнерго»; Стандарта ПАО «Якутскэнерго» «Положение по обращению с отходами», размещенных на сайте компании;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Определение и согласование со службами заказчика мест подключения коммуникаций;</w:t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Контроль и ответственность за соблюдение правил техники безопасности персоналом Подрядчика, при проведении работ по сбору исходных данных возлагается на Подрядчика.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Особые требования к разработке проектной и рабочей документации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1) Должен обеспечиваться сбор и передача в ДП Эльдиканского РЭС и ДП ЦЭС, точек измерения и состава телеметрической информации, которые необходимо определить и уточнить на этапе предпроектного обследования.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2) Для организации информационного обмена должны максимально использоваться существующие технические средства каналов связи.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3) При разработке рабочей документации требуется предусмотреть следующее: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Сетевые коммутаторы, шлюзы должны располагаться в одном конструктиве с блоками питания.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Линии электропитания сетевых коммутаторов должны быть защищены от механических повреждений и несанкционированных отключений.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 xml:space="preserve">4) Решение по каналам связи между </w:t>
            </w:r>
            <w:r>
              <w:rPr>
                <w:rFonts w:eastAsia="Calibri" w:cs="Times New Roman" w:ascii="Times New Roman" w:hAnsi="Times New Roman"/>
                <w:bCs/>
                <w:iCs/>
                <w:color w:val="000000"/>
                <w:sz w:val="22"/>
                <w:szCs w:val="22"/>
                <w:lang w:eastAsia="ru-RU"/>
              </w:rPr>
              <w:t>ПС 110 кВ Солнечный</w:t>
            </w: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, ДП Эльдиканского РЭС и ДП ЦЭС должно включать расчет параметров каналов связи, обеспечивать совместимость с действующим оборудованием, обеспечивать необходимую пропускную способность с требуемым быстродействием и надёжность каналов.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5) Используемая в проекте радиоэлектронная продукция должна быть включена в один из следующих реестров: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в реестр промышленной продукции, произведенной на территории Российской Федерации, предусмотренном постановлением Правительства Российской Федерации от от 11 декабря 2024 г. N 1762 «О внесении изменений в некоторые акты Правительства Российской Федерации»;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в единый реестр российской радиоэлектронной продукции, предусмотренном постановлением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№ 925 и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6) Всё программное обеспечение должно быть включено в Единый реестр российских программ для электронных вычислительных машин и баз данных Минкомсвязи России (https://reestr.minsvyaz.ru/reestr/).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40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2.1.3.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Требования к соблюдению нормативной базы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bCs/>
                <w:iCs/>
                <w:sz w:val="22"/>
              </w:rPr>
              <w:t>Результаты работ должны быть выполнены в соответствии с ГОСТ Р 21.101-2026 "Система проектной документации для строительства. Основные требования к проектной и рабочей документации» утверждён приказом Росстандарта от 12 февраля 2026 года № 129-ст., Постановлением Правительства РФ № 87 от 16.02.2008 «О составе разделов проектной документации и требованиях к их содержанию» и  достаточны для прохождения экспертизы в государственных органах и получения необходимых разрешений на выполнение работ.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оформлению документации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Требования к результату разработки проектной документации (ПД):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ПД выполнить в 2 экземплярах в бумажном виде (графические приложения на формате А0, А1, А2, текстовые и табличные - А4), а также 1 экземпляр на электронном носителе (CD, DVD, flash-диск):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текстовая часть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DOC</w:t>
            </w:r>
            <w:r>
              <w:rPr>
                <w:rFonts w:ascii="Times New Roman" w:hAnsi="Times New Roman"/>
                <w:iCs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XLS</w:t>
            </w:r>
            <w:r>
              <w:rPr>
                <w:rFonts w:ascii="Times New Roman" w:hAnsi="Times New Roman"/>
                <w:iCs/>
                <w:szCs w:val="24"/>
              </w:rPr>
              <w:t>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графическая часть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DWG</w:t>
            </w:r>
            <w:r>
              <w:rPr>
                <w:rFonts w:ascii="Times New Roman" w:hAnsi="Times New Roman"/>
                <w:iCs/>
                <w:szCs w:val="24"/>
              </w:rPr>
              <w:t>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в виде скан-образов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PDF</w:t>
            </w:r>
            <w:r>
              <w:rPr>
                <w:rFonts w:ascii="Times New Roman" w:hAnsi="Times New Roman"/>
                <w:iCs/>
                <w:szCs w:val="24"/>
              </w:rPr>
              <w:t>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Вся документация должна быть выполнена и предоставлена на русском языке.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Все бумажные экземпляры должны быть сброшюрованы.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Передача согласованной документации осуществляется в С СДТУ  ЦЭС ПАО «Якутскэнерго» по акту сдачи-приемки выполненных работ. Качество выполняемых проектной организацией работ должно соответствовать условиям и требованиям настоящих технических требований.</w:t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Обнаруженные при приемке работ замечания, Проектная организация устраняет за свой счет и в сроки, указанные приемочной комиссией. При направлении откорректированных материалов ПСД проектной организацией должен быть приложен перечень направляемых томов (разделов) с указанием страниц, в которые были внесены изменения.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700" w:hRule="atLeast"/>
        </w:trPr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2.2.2.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Требования к результату  разработки сметной документации (СД) </w:t>
            </w:r>
          </w:p>
        </w:tc>
        <w:tc>
          <w:tcPr>
            <w:tcW w:w="9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нормативов ценообразования, не зарегистрированных и не вошедших в ФРСН, не допускается, кроме случаев, прямо указанных в настоящих требованиях.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Версия программного комплекса «Гранд-Смета» (далее-ПК «Гранд-смета») должна быть не ниже 2025.2.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составлении смет руководствоваться «Методикой определения сметной стоимости строительства»,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Методика 2020 определения сметной стоимости строительства) с учетом изменений и дополнений.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сметной стоимости ресурсно-индексным методом, работ, на строительство и работ по реконструкции объектов капитального строительства -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составляющим единичных расценок в базисном уровне цен. Сметная стоимость, определенная с применением ресурсно-индексного метода, приводится в ЛСР (ЛС) в текущем уровне цен.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определении сметной стоимости ресурсно-индексным методом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ресурсно-индексного метода: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сметных цен на перевозку грузов -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сметной стоимости оборудования - применяются к сметной стоимости оборудования;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сметной стоимости, рассчитываемые для применения к сметной стоимости отдельных видов прочих работ и затрат.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отсутствии информации о сметных ценах в ФГИС ЦС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Приказ от 21.11.2024 г. №806, Приложение №3 в редакции Приказа №2365 от 28.11.2024 (далее - Методика ПЦ).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этом предпочтительно применение информации в техническом задании о сметных нормативах на материально-технические ресурсы и оборудование, приведенной в классификаторе строительных ресурсов.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цена материальных ресурсов и оборудования принимается на основании информации, размещенной в ФГИС ЦС и учитывает затраты, связанные с их приобретением (в том числе стоимость тары, упаковки, реквизита (при наличии таковых), для оборудования также -стоимости комплекта запасных частей на гарантийный срок эксплуатации), заготовительно-складские расходы, стоимость перевозки.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материально-технических ресурсов (далее-МТР), не учтенных в расценках, определяется по сборнику сметных цен на материалы (далее - ССЦ), утвержденному в установленном порядке и внесенному в ФРСН. Номенклатура принимаемых по сборнику МТР должна строго соответствовать номенклатуре, определенной проектом, «применительное» использование расценок сборника не допускается.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Транспортные затраты определяются следующими методами: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результатам конъюнктурного анализа с учетом данных о стоимости услуг, полученных не менее чем от 2-х (двух) поставщиков (производителей) таких услуг, либо на основании данных по 1 (одному) поставщику транспортных услуг, который является производителем или поставщиком материальных ресурсов или оборудования (при отсутствии информации в ФГИС ЦС);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размере до 3-х процентов от отпускной цены оборудования (при невозможности определить затраты расчетом или по результатам конъюнктурного анализа), по решению заказчика.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Если транспортировка осуществляется заказчиком самостоятельно (самовывоз), данный показатель не учитывается.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Заготовительно-складские расходы определяются в % от суммы отпускной цены материалов, изделий, конструкций, оборудования и транспортных затрат: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2% - для материальных ресурсов (кроме металлоконструкций);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0,75% - для металлоконструкций;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1,2% - для оборудования.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формировании сметной стоимости с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указываются по позиционно. 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По решению заказчика дополнительно может быть разработан отдельный сводный сметный расчет, определяющий сметную стоимость изменений. Локальные сметные расчеты (сметы) разрабатываются отдельно на исключаемые и дополнительные объемы работ.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локальных сметных расчетах построчные и итоговые суммы округлять: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ресурсно-индексном и ресурсным методах, а также в сметных расчетах на отдельные виды затрат - в рублях до целых единиц;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документация должна быть представлена на электронном носителе (в форматах «xml», ПК «Гранд-Смета», «Excel», «pdf»);</w:t>
            </w:r>
          </w:p>
          <w:p>
            <w:pPr>
              <w:pStyle w:val="ListParagraph"/>
              <w:widowControl w:val="false"/>
              <w:spacing w:before="0" w:after="160"/>
              <w:ind w:left="-4" w:right="-2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документация в формате «Excel» должна быть представлена в одном файле с внесением СР, ОС, ЛСР и других расчетов на отдельные листы (вкладки) документа.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20" w:after="1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00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Гарантийный срок на результат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Срок гарантии выполненных работ устанавливается 24 месяца со дня подписания сторонами Акта сдачи-приемки выполненных работ.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  <w:bookmarkStart w:id="3" w:name="_Toc513396982_Копия_1"/>
            <w:bookmarkStart w:id="4" w:name="_Toc513396982_Копия_1"/>
            <w:bookmarkEnd w:id="0"/>
            <w:bookmarkEnd w:id="1"/>
            <w:bookmarkEnd w:id="4"/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709" w:right="568" w:gutter="0" w:header="0" w:top="1134" w:footer="709" w:bottom="766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Normal"/>
        <w:widowControl w:val="false"/>
        <w:spacing w:lineRule="exact" w:line="274" w:before="0"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Normal"/>
        <w:widowControl w:val="false"/>
        <w:spacing w:lineRule="exact" w:line="274" w:before="0"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Требования к документации по ценообразованию на этапе закупки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Стоимость предложений участников определяется по формуле:</w:t>
      </w:r>
    </w:p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P=N*k,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где P - стоимость предложения участника;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N - начальная (максимальная) цена договора (цена лота), определенная в соответствии со сметной документацией Заказчика, представленной в составе Документации о закупке (приложение № 2 к ТТ);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k - понижающий коэффициент, заявленный участником в расчете цены заявки, величину данного коэффициента рекомендуется учитывать с округлением до 7 знаков после запятой.</w:t>
      </w:r>
    </w:p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5" w:name="_Toc138770061"/>
      <w:bookmarkStart w:id="6" w:name="_Toc138770059"/>
      <w:bookmarkStart w:id="7" w:name="_Toc138770057"/>
      <w:bookmarkStart w:id="8" w:name="_Toc533933121"/>
      <w:bookmarkStart w:id="9" w:name="_Toc1350424071"/>
      <w:bookmarkStart w:id="10" w:name="_Toc138770060"/>
      <w:bookmarkStart w:id="11" w:name="_Toc138770058"/>
      <w:bookmarkStart w:id="12" w:name="_Toc138770054"/>
      <w:bookmarkStart w:id="13" w:name="_Toc138770056"/>
      <w:bookmarkStart w:id="14" w:name="_Toc138770055"/>
      <w:r>
        <w:rPr>
          <w:rFonts w:ascii="Times New Roman" w:hAnsi="Times New Roman"/>
          <w:color w:val="000000"/>
          <w:sz w:val="24"/>
          <w:szCs w:val="24"/>
          <w:lang w:eastAsia="ru-RU"/>
        </w:rPr>
        <w:t>3.2. Дополнительные документы по ценообразованию (сметная документация) в состав заявки Участника не включается.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rFonts w:eastAsia="SimSun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Условия</w:t>
      </w:r>
      <w:r>
        <w:rPr>
          <w:rFonts w:eastAsia="SimSun"/>
          <w:color w:val="000000"/>
          <w:szCs w:val="24"/>
          <w:lang w:eastAsia="ru-RU"/>
        </w:rPr>
        <w:t xml:space="preserve"> составления сметной документации (при заключении договора)</w:t>
      </w:r>
    </w:p>
    <w:p>
      <w:pPr>
        <w:pStyle w:val="Heading1"/>
        <w:keepLines/>
        <w:widowControl w:val="false"/>
        <w:numPr>
          <w:ilvl w:val="1"/>
          <w:numId w:val="4"/>
        </w:numPr>
        <w:tabs>
          <w:tab w:val="clear" w:pos="708"/>
          <w:tab w:val="left" w:pos="357" w:leader="none"/>
        </w:tabs>
        <w:spacing w:before="240" w:after="120"/>
        <w:jc w:val="both"/>
        <w:textAlignment w:val="baseline"/>
        <w:rPr>
          <w:rFonts w:eastAsia="SimSun"/>
          <w:b w:val="false"/>
          <w:color w:val="000000"/>
          <w:szCs w:val="24"/>
          <w:lang w:eastAsia="ru-RU"/>
        </w:rPr>
      </w:pPr>
      <w:r>
        <w:rPr>
          <w:rFonts w:eastAsia="SimSun"/>
          <w:b w:val="false"/>
          <w:color w:val="000000"/>
          <w:szCs w:val="24"/>
          <w:lang w:eastAsia="ru-RU"/>
        </w:rPr>
        <w:t>Сметная документация составлена Заказчиком в рамках определения начальной (максимальной) цены договора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итогах.</w:t>
      </w:r>
    </w:p>
    <w:p>
      <w:pPr>
        <w:pStyle w:val="Heading1"/>
        <w:keepLines/>
        <w:widowControl w:val="false"/>
        <w:numPr>
          <w:ilvl w:val="1"/>
          <w:numId w:val="4"/>
        </w:numPr>
        <w:tabs>
          <w:tab w:val="clear" w:pos="708"/>
          <w:tab w:val="left" w:pos="357" w:leader="none"/>
        </w:tabs>
        <w:spacing w:before="240" w:after="120"/>
        <w:jc w:val="both"/>
        <w:textAlignment w:val="baseline"/>
        <w:rPr>
          <w:rFonts w:eastAsia="SimSun"/>
          <w:b w:val="false"/>
          <w:color w:val="000000"/>
          <w:szCs w:val="24"/>
          <w:lang w:eastAsia="ru-RU"/>
        </w:rPr>
      </w:pPr>
      <w:r>
        <w:rPr>
          <w:rFonts w:eastAsia="SimSun"/>
          <w:b w:val="false"/>
          <w:color w:val="000000"/>
          <w:szCs w:val="24"/>
          <w:lang w:eastAsia="ru-RU"/>
        </w:rPr>
        <w:t xml:space="preserve"> </w:t>
      </w:r>
      <w:r>
        <w:rPr>
          <w:rFonts w:eastAsia="SimSun"/>
          <w:b w:val="false"/>
          <w:color w:val="000000"/>
          <w:szCs w:val="24"/>
          <w:lang w:eastAsia="ru-RU"/>
        </w:rPr>
        <w:t>Внесение изменений в сметную документацию Заказчика (Приложение №2 к ТТ), кроме применения понижающего коэффициента в соответствии с п. 4.1, не допускается.</w:t>
      </w:r>
    </w:p>
    <w:p>
      <w:pPr>
        <w:pStyle w:val="Heading1"/>
        <w:keepLines/>
        <w:widowControl w:val="false"/>
        <w:tabs>
          <w:tab w:val="clear" w:pos="708"/>
          <w:tab w:val="left" w:pos="357" w:leader="none"/>
        </w:tabs>
        <w:spacing w:before="240" w:after="120"/>
        <w:jc w:val="left"/>
        <w:textAlignment w:val="baseline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5. Приложения: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Перечень необходимой телеметрической информации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Сметная документация.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Разработал: Ст. Мастер С СДТУ </w:t>
        <w:tab/>
        <w:t>Левин В. В.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7660" w:leader="none"/>
        </w:tabs>
        <w:suppressAutoHyphens w:val="true"/>
        <w:bidi w:val="0"/>
        <w:spacing w:lineRule="auto" w:line="240" w:before="0" w:after="0"/>
        <w:ind w:left="0" w:right="0" w:firstLine="45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главного инженера ЦЭС </w:t>
        <w:tab/>
        <w:t>В. А. Козлов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С СДТУ ЦЭС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А. А. Соколов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 РЗАМ ЦЭС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С. В. Павлов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5"/>
          <w:footerReference w:type="first" r:id="rId6"/>
          <w:type w:val="nextPage"/>
          <w:pgSz w:w="11906" w:h="16838"/>
          <w:pgMar w:left="1134" w:right="567" w:gutter="0" w:header="0" w:top="568" w:footer="709" w:bottom="766"/>
          <w:pgNumType w:fmt="decimal"/>
          <w:formProt w:val="false"/>
          <w:textDirection w:val="lrTb"/>
          <w:docGrid w:type="default" w:linePitch="360" w:charSpace="8192"/>
        </w:sect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ОДС ЦЭС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М. Ю. Колодезников</w:t>
      </w:r>
    </w:p>
    <w:p>
      <w:pPr>
        <w:pStyle w:val="Normal"/>
        <w:spacing w:lineRule="auto" w:line="240" w:before="0" w:after="0"/>
        <w:ind w:firstLine="426"/>
        <w:jc w:val="right"/>
        <w:rPr>
          <w:rFonts w:ascii="Times New Roman" w:hAnsi="Times New Roman" w:eastAsia="Calibri"/>
          <w:b/>
          <w:i/>
          <w:i/>
          <w:color w:val="000000"/>
          <w:sz w:val="24"/>
          <w:szCs w:val="24"/>
        </w:rPr>
      </w:pPr>
      <w:r>
        <w:rPr>
          <w:rFonts w:eastAsia="Calibri" w:ascii="Times New Roman" w:hAnsi="Times New Roman"/>
          <w:b/>
          <w:i/>
          <w:color w:val="000000"/>
          <w:sz w:val="24"/>
          <w:szCs w:val="24"/>
          <w:lang w:eastAsia="ru-RU"/>
        </w:rPr>
        <w:t xml:space="preserve">Приложение № </w:t>
      </w:r>
      <w:r>
        <w:rPr>
          <w:rFonts w:eastAsia="Calibri" w:ascii="Times New Roman" w:hAnsi="Times New Roman"/>
          <w:b/>
          <w:i/>
          <w:color w:val="000000"/>
          <w:sz w:val="24"/>
          <w:szCs w:val="24"/>
        </w:rPr>
        <w:t>1 к ТТ</w:t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firstLine="4536"/>
        <w:jc w:val="right"/>
        <w:rPr>
          <w:rFonts w:ascii="Times New Roman" w:hAnsi="Times New Roman" w:eastAsia="Calibri"/>
          <w:color w:val="000000"/>
          <w:sz w:val="28"/>
          <w:szCs w:val="24"/>
        </w:rPr>
      </w:pPr>
      <w:r>
        <w:rPr>
          <w:rFonts w:eastAsia="Calibri" w:ascii="Times New Roman" w:hAnsi="Times New Roman"/>
          <w:color w:val="000000"/>
          <w:sz w:val="24"/>
          <w:szCs w:val="24"/>
        </w:rPr>
        <w:t>«ОКПД2 71.12.19.000 Проведение проектно-изыскательских работ для создания Системы сбора и передачи информации на ПС 110 кВ Солнечный в рамках инвестиционного проекта P_508-92537»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eastAsia="Calibri"/>
          <w:b/>
          <w:color w:val="000000"/>
          <w:szCs w:val="24"/>
          <w:lang w:eastAsia="ru-RU"/>
        </w:rPr>
      </w:pPr>
      <w:r>
        <w:rPr>
          <w:rFonts w:eastAsia="Calibri" w:ascii="Times New Roman" w:hAnsi="Times New Roman"/>
          <w:b/>
          <w:color w:val="000000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 необходимой телеметрической информации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ПС 110 кВ Солнечный:</w:t>
      </w:r>
    </w:p>
    <w:tbl>
      <w:tblPr>
        <w:tblW w:w="15021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560"/>
        <w:gridCol w:w="3063"/>
        <w:gridCol w:w="3184"/>
        <w:gridCol w:w="5561"/>
        <w:gridCol w:w="2653"/>
      </w:tblGrid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элемента схемы энергообъекта (точка измерения)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Телеизмерения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(ТИ)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Телесигнализация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(ТС)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Телеуправление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(ТУ)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063" w:type="dxa"/>
            <w:tcBorders/>
            <w:shd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ВЛ 110 кВ Л-120 (Эльдикан-Солнечный)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ЗНЛ-120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Трансформатор 1Т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Положение РПН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ЗОН-110-1Т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 положения РПН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Трансформатор 2Т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Положение РПН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ЗОН-110-2Т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 положения РПН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В-120-1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В-120-1, положение ключа ДУ, РЛ-120-1, ЗНВ-120-1А,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ЗНВ-120-1Б, РШ-110-1, РТ-110-1Т, ЗНТ-110-1Т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В-120-1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В-120-2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В-120-2, положение ключа ДУ, РЛ-120-2, ЗНВ-120-2Б,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РШ-110-2, РТ-110-2Т, ЗНТ-110-2Т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В-120-2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СП-110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СР-1, ЗНС-110-1, СР-2, ЗНС-110-2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В-35-1Т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В-35-1Т, положение ключа ДУ, РТ-35-1Т, ЗНВ-1Т-1,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ЗНВ-1Т-2, РШ-35-1Т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В-35-1Т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В-35-2Т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В-35-2Т, положение ключа ДУ, РТ-35-2Т, ЗНВ-2Т-1,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ЗНВ-2Т-2, РШ-35-2Т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В-35-2Т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В-31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В-31, положение ключа ДУ, РШ-31, ЗНВ-31-2, ЗНВ-31-1,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РЛ-31, ЗНЛ-31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В-31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В-32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В-32, положение ключа ДУ, РШ-32, ЗНВ-32-2, ЗНВ-32-1,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РЛ-32, ЗНЛ-32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В-32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В-33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В-33, положение ключа ДУ, РШ-33, ЗНВ-33-2, ЗНВ-33-1,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РЛ-33, ЗНЛ-33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В-33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В-35-5Т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В-35-5Т, положение ключа ДУ, РШ-35-5Т, ЗНВ-5Т-2,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ЗНВ-5Т-1, РТ-35-5Т, ЗНЛ-5Т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В-35-5Т</w:t>
            </w:r>
          </w:p>
        </w:tc>
      </w:tr>
      <w:tr>
        <w:trPr>
          <w:trHeight w:val="322" w:hRule="atLeast"/>
        </w:trPr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СВ-35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СВ-35, положение ключа ДУ, СР-35-1, ЗНВ-35-1, СР-35-2, ЗНВ-35-2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22"/>
              </w:rPr>
            </w:pPr>
            <w:r>
              <w:rPr>
                <w:rFonts w:ascii="Times New Roman" w:hAnsi="Times New Roman"/>
                <w:sz w:val="18"/>
                <w:szCs w:val="22"/>
              </w:rPr>
              <w:t>СВ-35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В-10-3Т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В-10-3Т, положение ключа ДУ, ЗНВ-10-3Т, РВ-3Т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В-10-3Т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В-10-4Т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В-10-4Т, положение ключа ДУ, ЗНТ-10-4Т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В-10-4Т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СВ-10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СВ-10,  положение ключа ДУ, СР-10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СВ-10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Отходящие линии 10 кВ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(5 ячеек)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Положение КА, положение ключа ДУ, положение РШ, положение ЗНВ, положение РЛ, положение ЗНЛ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В-10 кВ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В-6-4Т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В-6-4Т,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В-6-4Т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В-6-5Т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В-6-5Т,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В-6-5Т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Отходящие линии 6 кВ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(3 ячейки)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Положение КА, положение ключа ДУ, положение РШ, положение ЗНВ, положение РЛ, положение ЗНЛ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В-6 кВ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В-6-Г-1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В-6-Г-1,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В-6-Г-1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В-6-Г-2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В-6-Г-2, положение ключа ДУ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В-6-Г-2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В-6-Г-3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В-6-Г-3, положение ключа ДУ, Р-6-Г-3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В-6-Г-3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В-6-Г-4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В-6-Г-4, положение ключа ДУ, Р-6-Г-4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В-6-Г-4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В-6-Г-5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В-6-Г-5, положение ключа ДУ, Р-6-Г-5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В-6-Г-5</w:t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 СШ 35 кВ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Р-ТН-3, ЗНШ-35-1, ЗН-ТН-3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 СШ 35 кВ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</w:t>
            </w: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Сводный перечень объектов проектирования</w:t>
            </w: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 xml:space="preserve">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Р-ТН-4, ЗНШ-35-2, ЗН-ТН-4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 СШ 10 кВ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 СШ 10 кВ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СШ 6 кВ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Uab, Ubc, Uca, Uao, Ubo,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Р-ТН-6-ТП 35/6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СШ 6 кВ ГТЭ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Uab, Ubc, Uca, Uao, Ubo, Uco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Р-ТСН-3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 кВ ТСН-1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Uао, Ubo, Uco, Uab, Ubc, Uca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Неисправность напряжения 0,4 кВ 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 кВ ТСН-2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Uао, Ubo, Uco, Uab, Ubc, Uca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Неисправность напряжения 0,4 кВ 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 кВ ТСН-3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Uао, Ubo, Uco, Uab, Ubc, Uca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Неисправность напряжения 0,4 кВ 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Оперативный ток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Uопер.ток</w:t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Неисправность оперативного тока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6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АПС</w:t>
            </w:r>
          </w:p>
        </w:tc>
        <w:tc>
          <w:tcPr>
            <w:tcW w:w="318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561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Авария на ПС, Неисправность</w:t>
            </w:r>
            <w:r>
              <w:rPr>
                <w:rFonts w:eastAsia="Calibri" w:ascii="Times New Roman" w:hAnsi="Times New Roman"/>
                <w:sz w:val="18"/>
                <w:szCs w:val="18"/>
              </w:rPr>
              <w:t xml:space="preserve"> на ПС, Земля в сети 35 кВ, Земля в сети 10 кВ, Земля в сети 6 кВ</w:t>
            </w:r>
          </w:p>
        </w:tc>
        <w:tc>
          <w:tcPr>
            <w:tcW w:w="2653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МИП </w:t>
            </w:r>
            <w:r>
              <w:rPr>
                <w:rFonts w:eastAsia="Times New Roman" w:ascii="Times New Roman" w:hAnsi="Times New Roman"/>
                <w:color w:val="000000"/>
                <w:sz w:val="18"/>
                <w:szCs w:val="18"/>
              </w:rPr>
              <w:t>≈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38</w:t>
            </w:r>
          </w:p>
        </w:tc>
        <w:tc>
          <w:tcPr>
            <w:tcW w:w="82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УСПД </w:t>
            </w:r>
            <w:r>
              <w:rPr>
                <w:rFonts w:eastAsia="Times New Roman" w:ascii="Times New Roman" w:hAnsi="Times New Roman"/>
                <w:sz w:val="18"/>
                <w:szCs w:val="18"/>
              </w:rPr>
              <w:t>≈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 контроллер ТМ, 14 модулей ТС, 4 модулей ТУ</w:t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851" w:right="992" w:gutter="0" w:header="0" w:top="993" w:footer="709" w:bottom="766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hanging="0"/>
        <w:jc w:val="right"/>
        <w:rPr/>
      </w:pPr>
      <w:r>
        <w:rPr/>
      </w:r>
    </w:p>
    <w:sectPr>
      <w:footerReference w:type="default" r:id="rId9"/>
      <w:footerReference w:type="first" r:id="rId10"/>
      <w:type w:val="nextPage"/>
      <w:pgSz w:w="11906" w:h="16838"/>
      <w:pgMar w:left="1134" w:right="567" w:gutter="0" w:header="0" w:top="568" w:footer="709" w:bottom="766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55865002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3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92939394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17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right"/>
      <w:rPr>
        <w:rFonts w:ascii="Times New Roman" w:hAnsi="Times New Roman"/>
      </w:rPr>
    </w:pPr>
    <w:r>
      <w:rPr>
        <w:rFonts w:ascii="Times New Roman" w:hAnsi="Times New Roman"/>
      </w:rPr>
      <w:t>10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right"/>
      <w:rPr>
        <w:rFonts w:ascii="Times New Roman" w:hAnsi="Times New Roman"/>
      </w:rPr>
    </w:pPr>
    <w:r>
      <w:rPr>
        <w:rFonts w:ascii="Times New Roman" w:hAnsi="Times New Roman"/>
      </w:rPr>
      <w:t>18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69027738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20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2328335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0" w:hanging="432"/>
      </w:pPr>
      <w:rPr>
        <w:b w:val="false"/>
        <w:bCs w:val="false"/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0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8" w:hanging="1440"/>
      </w:pPr>
      <w:rPr>
        <w:rFonts w:cs="Times New Roman"/>
      </w:r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5"/>
    <w:lvlOverride w:ilvl="0">
      <w:startOverride w:val="1"/>
    </w:lvlOverride>
  </w:num>
  <w:num w:numId="9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194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/>
      <w:b/>
      <w:sz w:val="24"/>
      <w:szCs w:val="2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2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3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4" w:customStyle="1">
    <w:name w:val="Текст концевой сноски Знак"/>
    <w:uiPriority w:val="99"/>
    <w:qFormat/>
    <w:rPr>
      <w:sz w:val="20"/>
    </w:rPr>
  </w:style>
  <w:style w:type="character" w:styleId="Style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harStyle12" w:customStyle="1">
    <w:name w:val="Char Style 12"/>
    <w:basedOn w:val="DefaultParagraphFont"/>
    <w:link w:val="Style111"/>
    <w:qFormat/>
    <w:rPr>
      <w:rFonts w:cs="Times New Roman"/>
      <w:shd w:fill="FFFFFF" w:val="clear"/>
    </w:rPr>
  </w:style>
  <w:style w:type="character" w:styleId="CharStyle21" w:customStyle="1">
    <w:name w:val="Char Style 21"/>
    <w:basedOn w:val="CharStyle12"/>
    <w:uiPriority w:val="99"/>
    <w:qFormat/>
    <w:rPr>
      <w:rFonts w:ascii="Times New Roman" w:hAnsi="Times New Roman" w:cs="Times New Roman"/>
      <w:color w:val="000000"/>
      <w:spacing w:val="0"/>
      <w:shd w:fill="FFFFFF" w:val="clear"/>
      <w:lang w:val="ru-RU" w:eastAsia="ru-RU"/>
    </w:rPr>
  </w:style>
  <w:style w:type="character" w:styleId="Annotationreference">
    <w:name w:val="annotation reference"/>
    <w:basedOn w:val="DefaultParagraphFont"/>
    <w:uiPriority w:val="99"/>
    <w:semiHidden/>
    <w:qFormat/>
    <w:rPr>
      <w:rFonts w:cs="Times New Roman"/>
      <w:sz w:val="16"/>
      <w:szCs w:val="16"/>
    </w:rPr>
  </w:style>
  <w:style w:type="character" w:styleId="Style6" w:customStyle="1">
    <w:name w:val="Текст примечания Знак"/>
    <w:basedOn w:val="DefaultParagraphFont"/>
    <w:link w:val="Annotationtext"/>
    <w:uiPriority w:val="99"/>
    <w:semiHidden/>
    <w:qFormat/>
    <w:rPr>
      <w:rFonts w:cs="Times New Roman"/>
      <w:sz w:val="20"/>
      <w:szCs w:val="20"/>
    </w:rPr>
  </w:style>
  <w:style w:type="character" w:styleId="Style7" w:customStyle="1">
    <w:name w:val="Тема примечания Знак"/>
    <w:basedOn w:val="Style6"/>
    <w:link w:val="Annotationsubject"/>
    <w:uiPriority w:val="99"/>
    <w:semiHidden/>
    <w:qFormat/>
    <w:rPr>
      <w:rFonts w:cs="Times New Roman"/>
      <w:b/>
      <w:bCs/>
      <w:sz w:val="20"/>
      <w:szCs w:val="20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CharStyle7" w:customStyle="1">
    <w:name w:val="Char Style 7"/>
    <w:basedOn w:val="DefaultParagraphFont"/>
    <w:uiPriority w:val="99"/>
    <w:qFormat/>
    <w:rPr>
      <w:rFonts w:ascii="Times New Roman" w:hAnsi="Times New Roman" w:cs="Times New Roman"/>
      <w:b/>
      <w:bCs/>
      <w:i/>
      <w:iCs/>
      <w:color w:val="000000"/>
      <w:spacing w:val="0"/>
      <w:sz w:val="26"/>
      <w:szCs w:val="26"/>
      <w:u w:val="none"/>
      <w:lang w:val="en-US" w:eastAsia="en-US"/>
    </w:rPr>
  </w:style>
  <w:style w:type="character" w:styleId="Style9" w:customStyle="1">
    <w:name w:val="Верхний колонтитул Знак"/>
    <w:basedOn w:val="DefaultParagraphFont"/>
    <w:uiPriority w:val="99"/>
    <w:qFormat/>
    <w:rPr>
      <w:lang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Pr>
      <w:lang w:eastAsia="en-US"/>
    </w:rPr>
  </w:style>
  <w:style w:type="character" w:styleId="1" w:customStyle="1">
    <w:name w:val="Заголовок 1 Знак"/>
    <w:basedOn w:val="DefaultParagraphFont"/>
    <w:uiPriority w:val="9"/>
    <w:qFormat/>
    <w:rPr>
      <w:rFonts w:ascii="Times New Roman" w:hAnsi="Times New Roman" w:eastAsia="Times New Roman"/>
      <w:b/>
      <w:sz w:val="24"/>
      <w:szCs w:val="20"/>
    </w:rPr>
  </w:style>
  <w:style w:type="character" w:styleId="Style11" w:customStyle="1">
    <w:name w:val="Текст сноски Знак"/>
    <w:basedOn w:val="DefaultParagraphFont"/>
    <w:link w:val="Footnote"/>
    <w:uiPriority w:val="99"/>
    <w:qFormat/>
    <w:rPr>
      <w:rFonts w:ascii="Times New Roman" w:hAnsi="Times New Roman" w:eastAsia="Times New Roman"/>
      <w:sz w:val="20"/>
      <w:szCs w:val="20"/>
    </w:rPr>
  </w:style>
  <w:style w:type="character" w:styleId="LineNumber">
    <w:name w:val="Line Number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ru-RU" w:bidi="ar-SA"/>
    </w:rPr>
  </w:style>
  <w:style w:type="paragraph" w:styleId="Subtitle">
    <w:name w:val="Subtitle"/>
    <w:basedOn w:val="Normal"/>
    <w:next w:val="Normal"/>
    <w:link w:val="Style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Style4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Style111" w:customStyle="1">
    <w:name w:val="Style 11"/>
    <w:basedOn w:val="Normal"/>
    <w:link w:val="CharStyle12"/>
    <w:qFormat/>
    <w:pPr>
      <w:widowControl w:val="false"/>
      <w:shd w:val="clear" w:color="auto" w:fill="FFFFFF"/>
      <w:spacing w:lineRule="exact" w:line="281" w:before="240" w:after="240"/>
      <w:ind w:hanging="860"/>
      <w:jc w:val="both"/>
    </w:pPr>
    <w:rPr/>
  </w:style>
  <w:style w:type="paragraph" w:styleId="Annotationtext">
    <w:name w:val="annotation text"/>
    <w:basedOn w:val="Normal"/>
    <w:link w:val="Style6"/>
    <w:uiPriority w:val="99"/>
    <w:semiHidden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7"/>
    <w:uiPriority w:val="99"/>
    <w:semiHidden/>
    <w:qFormat/>
    <w:pPr/>
    <w:rPr>
      <w:b/>
      <w:bCs/>
    </w:rPr>
  </w:style>
  <w:style w:type="paragraph" w:styleId="BalloonText">
    <w:name w:val="Balloon Text"/>
    <w:basedOn w:val="Normal"/>
    <w:link w:val="Style8"/>
    <w:uiPriority w:val="99"/>
    <w:semiHidden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0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15" w:customStyle="1">
    <w:name w:val="Раздел положения"/>
    <w:basedOn w:val="Normal"/>
    <w:qFormat/>
    <w:pPr>
      <w:spacing w:lineRule="auto" w:line="240" w:before="80" w:after="80"/>
    </w:pPr>
    <w:rPr>
      <w:rFonts w:ascii="Times New Roman" w:hAnsi="Times New Roman" w:eastAsia="Times New Roman"/>
      <w:sz w:val="20"/>
      <w:szCs w:val="32"/>
      <w:lang w:eastAsia="ru-RU"/>
    </w:rPr>
  </w:style>
  <w:style w:type="paragraph" w:styleId="FootnoteText">
    <w:name w:val="Footnote Text"/>
    <w:basedOn w:val="Normal"/>
    <w:uiPriority w:val="99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Style16" w:customStyle="1">
    <w:name w:val="Содержимое врезки"/>
    <w:basedOn w:val="Normal"/>
    <w:qFormat/>
    <w:rsid w:val="00c95577"/>
    <w:pPr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Standard" w:customStyle="1">
    <w:name w:val="Standard"/>
    <w:qFormat/>
    <w:rsid w:val="00e818a9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31" w:customStyle="1">
    <w:name w:val="Абзац списка3"/>
    <w:basedOn w:val="Standard"/>
    <w:qFormat/>
    <w:rsid w:val="0091194b"/>
    <w:pPr>
      <w:ind w:left="720" w:hanging="0"/>
    </w:pPr>
    <w:rPr>
      <w:rFonts w:ascii="Times New Roman" w:hAnsi="Times New Roman" w:eastAsia="Calibri" w:cs="Times New Roman"/>
    </w:rPr>
  </w:style>
  <w:style w:type="paragraph" w:styleId="Footnote" w:customStyle="1">
    <w:name w:val="Footnote"/>
    <w:basedOn w:val="Standard"/>
    <w:link w:val="Style11"/>
    <w:qFormat/>
    <w:rsid w:val="0091194b"/>
    <w:pPr/>
    <w:rPr/>
  </w:style>
  <w:style w:type="paragraph" w:styleId="Style17" w:customStyle="1">
    <w:name w:val="Таблица"/>
    <w:basedOn w:val="Caption11"/>
    <w:qFormat/>
    <w:rsid w:val="00a3247d"/>
    <w:pPr>
      <w:spacing w:lineRule="auto" w:line="240" w:before="0" w:after="0"/>
      <w:textAlignment w:val="baseline"/>
    </w:pPr>
    <w:rPr>
      <w:rFonts w:ascii="Times New Roman" w:hAnsi="Times New Roman" w:eastAsia="Calibri"/>
      <w:color w:val="4F81BD"/>
      <w:kern w:val="2"/>
      <w:lang w:eastAsia="zh-CN" w:bidi="hi-IN"/>
    </w:rPr>
  </w:style>
  <w:style w:type="paragraph" w:styleId="Contents1" w:customStyle="1">
    <w:name w:val="Contents 1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Contents4" w:customStyle="1">
    <w:name w:val="Contents 4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Contents3" w:customStyle="1">
    <w:name w:val="Contents 3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styleId="24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a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1"/>
    <w:basedOn w:val="a1"/>
    <w:uiPriority w:val="39"/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">
    <w:name w:val="Сетка таблицы2"/>
    <w:basedOn w:val="a1"/>
    <w:rsid w:val="00f0143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1D78D-777A-4E91-8669-1468028B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2330</TotalTime>
  <Application>AlterOffice/3.4.0.9$Linux_X86_64 LibreOffice_project/b8daf9e823b1a5463a2f48435ddc2e8696e7d4fc</Application>
  <AppVersion>15.0000</AppVersion>
  <Pages>21</Pages>
  <Words>4921</Words>
  <Characters>33344</Characters>
  <CharactersWithSpaces>37654</CharactersWithSpaces>
  <Paragraphs>640</Paragraphs>
  <Company>ОАО АК "Якутскэнерго"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2025-11-14T07:50:00Z</dcterms:created>
  <dc:creator>Левин Владимир Владимирович</dc:creator>
  <dc:description/>
  <dc:language>ru-RU</dc:language>
  <cp:lastModifiedBy>levinvv</cp:lastModifiedBy>
  <cp:lastPrinted>2024-05-08T03:06:00Z</cp:lastPrinted>
  <dcterms:modified xsi:type="dcterms:W3CDTF">2026-11-05T16:04:19Z</dcterms:modified>
  <cp:revision>78</cp:revision>
  <dc:subject/>
  <dc:title>УТВЕРЖДАЮ: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