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before="360" w:after="120"/>
        <w:ind w:left="425" w:hanging="0"/>
        <w:jc w:val="center"/>
        <w:rPr/>
      </w:pPr>
      <w:bookmarkStart w:id="0" w:name="_GoBack"/>
      <w:bookmarkEnd w:id="0"/>
      <w:r>
        <w:rPr>
          <w:rFonts w:eastAsia="Calibri" w:cs="Times New Roman" w:ascii="Times New Roman" w:hAnsi="Times New Roman"/>
          <w:b/>
          <w:caps/>
        </w:rPr>
        <w:t>ОБОСНОВАНИЕ начальной (максимальной) цены договора</w:t>
      </w:r>
      <w:r>
        <w:rPr>
          <w:rFonts w:eastAsia="Calibri" w:cs="Times New Roman" w:ascii="Times New Roman" w:hAnsi="Times New Roman"/>
          <w:sz w:val="26"/>
          <w:szCs w:val="26"/>
        </w:rPr>
        <w:t xml:space="preserve"> / </w:t>
      </w:r>
      <w:r>
        <w:rPr>
          <w:rFonts w:eastAsia="Calibri" w:cs="Times New Roman" w:ascii="Times New Roman" w:hAnsi="Times New Roman"/>
          <w:b/>
          <w:caps/>
        </w:rPr>
        <w:t>цены единицы товара, работы, услуги</w:t>
      </w:r>
    </w:p>
    <w:p>
      <w:pPr>
        <w:pStyle w:val="Standard"/>
        <w:numPr>
          <w:ilvl w:val="0"/>
          <w:numId w:val="7"/>
        </w:numPr>
        <w:spacing w:lineRule="exact" w:line="360" w:before="120" w:after="120"/>
        <w:ind w:left="714" w:hanging="357"/>
        <w:jc w:val="both"/>
        <w:rPr/>
      </w:pPr>
      <w:r>
        <w:rPr>
          <w:rFonts w:eastAsia="Calibri" w:cs="Times New Roman" w:ascii="Times New Roman" w:hAnsi="Times New Roman"/>
          <w:b/>
          <w:sz w:val="26"/>
          <w:szCs w:val="26"/>
        </w:rPr>
        <w:t>Общая информация</w:t>
      </w:r>
    </w:p>
    <w:tbl>
      <w:tblPr>
        <w:tblW w:w="13695" w:type="dxa"/>
        <w:jc w:val="left"/>
        <w:tblInd w:w="2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154"/>
        <w:gridCol w:w="2205"/>
        <w:gridCol w:w="10336"/>
      </w:tblGrid>
      <w:tr>
        <w:trPr/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№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п/п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0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Информация по лоту</w:t>
            </w:r>
          </w:p>
        </w:tc>
      </w:tr>
      <w:tr>
        <w:trPr/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numPr>
                <w:ilvl w:val="1"/>
                <w:numId w:val="8"/>
              </w:numPr>
              <w:suppressAutoHyphens w:val="false"/>
              <w:snapToGrid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:lang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Наименование лота</w:t>
            </w:r>
          </w:p>
        </w:tc>
        <w:tc>
          <w:tcPr>
            <w:tcW w:w="10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«ОКПД2 71.20.11.190 Услуги по анализу масел для нужд филиала ПАО «РусГидро» - «Каскад Кубанских ГЭС»</w:t>
            </w:r>
          </w:p>
        </w:tc>
      </w:tr>
      <w:tr>
        <w:trPr/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numPr>
                <w:ilvl w:val="1"/>
                <w:numId w:val="9"/>
              </w:numPr>
              <w:suppressAutoHyphens w:val="false"/>
              <w:snapToGrid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:lang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Номер лота</w:t>
            </w:r>
          </w:p>
        </w:tc>
        <w:tc>
          <w:tcPr>
            <w:tcW w:w="10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121013-ЭКСП ПРОД-2027-ККГЭС</w:t>
            </w:r>
          </w:p>
        </w:tc>
      </w:tr>
      <w:tr>
        <w:trPr/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numPr>
                <w:ilvl w:val="1"/>
                <w:numId w:val="10"/>
              </w:numPr>
              <w:suppressAutoHyphens w:val="false"/>
              <w:snapToGrid w:val="fals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Calibri" w:cs="Times New Roman"/>
                <w:kern w:val="0"/>
                <w:sz w:val="22"/>
                <w:szCs w:val="22"/>
                <w:lang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НМЦ лота</w:t>
            </w:r>
          </w:p>
        </w:tc>
        <w:tc>
          <w:tcPr>
            <w:tcW w:w="10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uppressAutoHyphens w:val="fals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3 500 000,00 руб. без НДС</w:t>
            </w:r>
          </w:p>
        </w:tc>
      </w:tr>
    </w:tbl>
    <w:p>
      <w:pPr>
        <w:pStyle w:val="Standard"/>
        <w:spacing w:lineRule="exact" w:line="360" w:before="120" w:after="0"/>
        <w:jc w:val="both"/>
        <w:rPr/>
      </w:pPr>
      <w:r>
        <w:rPr/>
      </w:r>
    </w:p>
    <w:p>
      <w:pPr>
        <w:pStyle w:val="Standard"/>
        <w:numPr>
          <w:ilvl w:val="0"/>
          <w:numId w:val="11"/>
        </w:numPr>
        <w:spacing w:lineRule="exact" w:line="360" w:before="120" w:after="120"/>
        <w:ind w:left="714" w:hanging="357"/>
        <w:jc w:val="both"/>
        <w:rPr/>
      </w:pPr>
      <w:r>
        <w:rPr>
          <w:rFonts w:eastAsia="Calibri" w:cs="Times New Roman" w:ascii="Times New Roman" w:hAnsi="Times New Roman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>
      <w:pPr>
        <w:pStyle w:val="Standard"/>
        <w:jc w:val="both"/>
        <w:rPr/>
      </w:pPr>
      <w:r>
        <w:rPr/>
      </w:r>
    </w:p>
    <w:p>
      <w:pPr>
        <w:pStyle w:val="Standard"/>
        <w:spacing w:before="0" w:after="120"/>
        <w:jc w:val="both"/>
        <w:rPr/>
      </w:pPr>
      <w:r>
        <w:rPr>
          <w:rFonts w:eastAsia="Calibri" w:cs="Times New Roman" w:ascii="Times New Roman" w:hAnsi="Times New Roman"/>
          <w:sz w:val="26"/>
          <w:szCs w:val="26"/>
        </w:rPr>
        <w:t>Метод анализа технико-коммерческих предложений</w:t>
      </w:r>
    </w:p>
    <w:p>
      <w:pPr>
        <w:pStyle w:val="Standard"/>
        <w:spacing w:before="0" w:after="120"/>
        <w:jc w:val="both"/>
        <w:rPr/>
      </w:pPr>
      <w:r>
        <w:rPr>
          <w:rFonts w:eastAsia="Calibri" w:cs="Times New Roman" w:ascii="Times New Roman" w:hAnsi="Times New Roman"/>
          <w:sz w:val="26"/>
          <w:szCs w:val="26"/>
        </w:rPr>
        <w:t>Обоснование расчета НМЦ:</w:t>
      </w:r>
    </w:p>
    <w:tbl>
      <w:tblPr>
        <w:tblW w:w="1374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184"/>
        <w:gridCol w:w="2956"/>
        <w:gridCol w:w="2773"/>
        <w:gridCol w:w="1982"/>
        <w:gridCol w:w="1847"/>
      </w:tblGrid>
      <w:tr>
        <w:trPr>
          <w:trHeight w:val="70" w:hRule="atLeast"/>
        </w:trPr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Наименование товара/ работы/ услуги в составе лота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Наименование источника ценовой информации (ИЦИ)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Цена из соответствующего ИЦИ, в руб. без НДС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lang w:eastAsia="ru-RU"/>
              </w:rPr>
              <w:t>Цена итоговая, в руб. без НДС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lang w:val="en-US" w:eastAsia="ru-RU"/>
              </w:rPr>
              <w:t>Комментарии</w:t>
            </w:r>
          </w:p>
        </w:tc>
      </w:tr>
      <w:tr>
        <w:trPr>
          <w:trHeight w:val="70" w:hRule="atLeast"/>
        </w:trPr>
        <w:tc>
          <w:tcPr>
            <w:tcW w:w="4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>«ОКПД2 71.20.11.190 Услуги по анализу масел для нужд филиала ПАО «РусГидро» - «Каскад Кубанских ГЭС»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>ТКП №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2"/>
                <w:szCs w:val="22"/>
                <w:lang w:val="en-US" w:eastAsia="ru-RU"/>
              </w:rPr>
              <w:t>1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3 500 000,00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bidi="ar-SA"/>
              </w:rPr>
              <w:t>3 500 000,00</w:t>
            </w:r>
          </w:p>
        </w:tc>
        <w:tc>
          <w:tcPr>
            <w:tcW w:w="1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2"/>
                <w:szCs w:val="22"/>
                <w:lang w:val="en-US" w:eastAsia="ru-RU"/>
              </w:rPr>
            </w:r>
          </w:p>
        </w:tc>
      </w:tr>
    </w:tbl>
    <w:p>
      <w:pPr>
        <w:pStyle w:val="Standard"/>
        <w:jc w:val="both"/>
        <w:rPr/>
      </w:pPr>
      <w:r>
        <w:rPr/>
      </w:r>
    </w:p>
    <w:sectPr>
      <w:type w:val="nextPage"/>
      <w:pgSz w:orient="landscape" w:w="16838" w:h="11906"/>
      <w:pgMar w:left="1701" w:right="709" w:gutter="0" w:header="0" w:top="1418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  <w:lvlOverride w:ilvl="0">
      <w:startOverride w:val="1"/>
    </w:lvlOverride>
  </w:num>
  <w:num w:numId="8">
    <w:abstractNumId w:val="2"/>
  </w:num>
  <w:num w:numId="9">
    <w:abstractNumId w:val="2"/>
  </w:num>
  <w:num w:numId="10">
    <w:abstractNumId w:val="2"/>
  </w:num>
  <w:num w:numId="11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" w:hAnsi="Liberation Serif;Times New Roma" w:eastAsia="Arial Unicode MS;Arial" w:cs="Arial Unicode MS;Ari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Standard"/>
    <w:next w:val="Textbody"/>
    <w:qFormat/>
    <w:pPr>
      <w:keepNext w:val="true"/>
      <w:spacing w:before="240" w:after="120"/>
    </w:pPr>
    <w:rPr>
      <w:rFonts w:ascii="Liberation Sans" w:hAnsi="Liberation Sans" w:cs="Liberation Sans"/>
      <w:sz w:val="28"/>
      <w:szCs w:val="28"/>
    </w:rPr>
  </w:style>
  <w:style w:type="paragraph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;Times New Roma" w:hAnsi="Liberation Serif;Times New Roma" w:eastAsia="Arial Unicode MS;Arial" w:cs="Arial Unicode MS;Arial"/>
      <w:color w:val="auto"/>
      <w:kern w:val="2"/>
      <w:sz w:val="24"/>
      <w:szCs w:val="24"/>
      <w:lang w:val="ru-RU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Style1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 w:customStyle="1">
    <w:name w:val="Заголовок таблицы"/>
    <w:basedOn w:val="Style1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AlterOffice/3.4.0.9$Linux_X86_64 LibreOffice_project/b8daf9e823b1a5463a2f48435ddc2e8696e7d4fc</Application>
  <AppVersion>15.0000</AppVersion>
  <Pages>1</Pages>
  <Words>121</Words>
  <Characters>710</Characters>
  <CharactersWithSpaces>803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2024-12-03T15:55:00Z</dcterms:created>
  <dc:creator>klokovev@corp.gidroogk.com</dc:creator>
  <dc:description/>
  <dc:language>ru-RU</dc:language>
  <cp:lastModifiedBy>kovalevaev@corp.gidroogk.com</cp:lastModifiedBy>
  <dcterms:modified xsi:type="dcterms:W3CDTF">2026-11-03T10:04:36Z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1</vt:bool>
  </property>
</Properties>
</file>