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3.xml" ContentType="application/vnd.openxmlformats-officedocument.wordprocessingml.header+xml"/>
  <Override PartName="/word/embeddings/oleObject1.xlsx" ContentType="application/vnd.openxmlformats-officedocument.spreadsheetml.sheet"/>
  <Override PartName="/word/embeddings/oleObject2.xlsx" ContentType="application/vnd.openxmlformats-officedocument.spreadsheetml.sheet"/>
  <Override PartName="/word/embeddings/oleObject3.xlsx" ContentType="application/vnd.openxmlformats-officedocument.spreadsheetml.sheet"/>
  <Override PartName="/word/header8.xml" ContentType="application/vnd.openxmlformats-officedocument.wordprocessingml.header+xml"/>
  <Override PartName="/word/header20.xml" ContentType="application/vnd.openxmlformats-officedocument.wordprocessingml.header+xml"/>
  <Override PartName="/word/header11.xml" ContentType="application/vnd.openxmlformats-officedocument.wordprocessingml.header+xml"/>
  <Override PartName="/word/header10.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14.xml" ContentType="application/vnd.openxmlformats-officedocument.wordprocessingml.header+xml"/>
  <Override PartName="/word/document.xml" ContentType="application/vnd.openxmlformats-officedocument.wordprocessingml.document.main+xml"/>
  <Override PartName="/word/header1.xml" ContentType="application/vnd.openxmlformats-officedocument.wordprocessingml.header+xml"/>
  <Override PartName="/word/_rels/document.xml.rels" ContentType="application/vnd.openxmlformats-package.relationships+xml"/>
  <Override PartName="/word/header12.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header9.xml" ContentType="application/vnd.openxmlformats-officedocument.wordprocessingml.header+xml"/>
  <Override PartName="/word/media/image4.png" ContentType="image/png"/>
  <Override PartName="/word/media/image5.wmf" ContentType="image/x-wmf"/>
  <Override PartName="/word/media/image1.wmf" ContentType="image/x-wmf"/>
  <Override PartName="/word/media/image2.wmf" ContentType="image/x-wmf"/>
  <Override PartName="/word/media/image3.png" ContentType="image/png"/>
  <Override PartName="/word/header21.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settings.xml" ContentType="application/vnd.openxmlformats-officedocument.wordprocessingml.settings+xml"/>
  <Override PartName="/word/header22.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header25.xml" ContentType="application/vnd.openxmlformats-officedocument.wordprocessingml.header+xml"/>
  <Override PartName="/word/footer5.xml" ContentType="application/vnd.openxmlformats-officedocument.wordprocessingml.footer+xml"/>
  <Override PartName="/word/header24.xml" ContentType="application/vnd.openxmlformats-officedocument.wordprocessingml.header+xml"/>
  <Override PartName="/word/footer4.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3.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tabs>
          <w:tab w:val="clear" w:pos="708"/>
          <w:tab w:val="left" w:pos="9438" w:leader="none"/>
        </w:tabs>
        <w:ind w:left="6237" w:right="0" w:hanging="0"/>
        <w:rPr>
          <w:sz w:val="24"/>
          <w:szCs w:val="24"/>
        </w:rPr>
      </w:pPr>
      <w:r>
        <w:rPr>
          <w:sz w:val="24"/>
          <w:szCs w:val="24"/>
        </w:rPr>
      </w:r>
    </w:p>
    <w:p>
      <w:pPr>
        <w:pStyle w:val="Normal"/>
        <w:tabs>
          <w:tab w:val="clear" w:pos="708"/>
          <w:tab w:val="left" w:pos="9438" w:leader="none"/>
        </w:tabs>
        <w:ind w:left="6237" w:right="0" w:hanging="0"/>
        <w:rPr>
          <w:sz w:val="24"/>
          <w:szCs w:val="24"/>
        </w:rPr>
      </w:pPr>
      <w:r>
        <w:rPr>
          <w:sz w:val="24"/>
          <w:szCs w:val="24"/>
        </w:rPr>
      </w:r>
    </w:p>
    <w:p>
      <w:pPr>
        <w:pStyle w:val="Normal"/>
        <w:tabs>
          <w:tab w:val="clear" w:pos="708"/>
          <w:tab w:val="left" w:pos="9438" w:leader="none"/>
        </w:tabs>
        <w:ind w:left="6237" w:right="0" w:hanging="0"/>
        <w:rPr>
          <w:sz w:val="24"/>
          <w:szCs w:val="24"/>
        </w:rPr>
      </w:pPr>
      <w:r>
        <w:rPr>
          <w:sz w:val="24"/>
          <w:szCs w:val="24"/>
        </w:rPr>
      </w:r>
    </w:p>
    <w:p>
      <w:pPr>
        <w:pStyle w:val="Normal"/>
        <w:tabs>
          <w:tab w:val="clear" w:pos="708"/>
          <w:tab w:val="left" w:pos="9438" w:leader="none"/>
        </w:tabs>
        <w:ind w:left="6237" w:right="0" w:hanging="0"/>
        <w:rPr>
          <w:sz w:val="24"/>
          <w:szCs w:val="24"/>
        </w:rPr>
      </w:pPr>
      <w:r>
        <w:rPr>
          <w:sz w:val="24"/>
          <w:szCs w:val="24"/>
        </w:rPr>
      </w:r>
    </w:p>
    <w:p>
      <w:pPr>
        <w:pStyle w:val="Normal"/>
        <w:tabs>
          <w:tab w:val="clear" w:pos="708"/>
          <w:tab w:val="left" w:pos="9438" w:leader="none"/>
        </w:tabs>
        <w:ind w:left="6237" w:right="0" w:hanging="0"/>
        <w:rPr>
          <w:sz w:val="24"/>
          <w:szCs w:val="24"/>
        </w:rPr>
      </w:pPr>
      <w:r>
        <w:rPr>
          <w:sz w:val="24"/>
          <w:szCs w:val="24"/>
        </w:rPr>
      </w:r>
    </w:p>
    <w:p>
      <w:pPr>
        <w:pStyle w:val="Normal"/>
        <w:tabs>
          <w:tab w:val="clear" w:pos="708"/>
          <w:tab w:val="left" w:pos="9438" w:leader="none"/>
        </w:tabs>
        <w:ind w:left="6237" w:right="0" w:hanging="0"/>
        <w:rPr>
          <w:sz w:val="24"/>
          <w:szCs w:val="24"/>
        </w:rPr>
      </w:pPr>
      <w:r>
        <w:rPr>
          <w:sz w:val="24"/>
          <w:szCs w:val="24"/>
        </w:rPr>
      </w:r>
      <w:bookmarkStart w:id="0" w:name="_GoBack"/>
      <w:bookmarkStart w:id="1" w:name="_GoBack"/>
      <w:bookmarkEnd w:id="1"/>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4"/>
          <w:szCs w:val="24"/>
        </w:rPr>
      </w:pPr>
      <w:r>
        <w:rPr>
          <w:rFonts w:eastAsia="Calibri"/>
          <w:b/>
          <w:sz w:val="24"/>
          <w:szCs w:val="24"/>
        </w:rPr>
      </w:r>
    </w:p>
    <w:p>
      <w:pPr>
        <w:pStyle w:val="Normal"/>
        <w:keepNext w:val="true"/>
        <w:keepLines/>
        <w:jc w:val="center"/>
        <w:rPr>
          <w:rFonts w:eastAsia="Calibri"/>
          <w:b/>
          <w:sz w:val="24"/>
          <w:szCs w:val="24"/>
        </w:rPr>
      </w:pPr>
      <w:r>
        <w:rPr>
          <w:rFonts w:eastAsia="Calibri"/>
          <w:b/>
          <w:sz w:val="24"/>
          <w:szCs w:val="24"/>
        </w:rPr>
      </w:r>
    </w:p>
    <w:p>
      <w:pPr>
        <w:pStyle w:val="Normal"/>
        <w:keepNext w:val="true"/>
        <w:keepLines/>
        <w:jc w:val="center"/>
        <w:rPr>
          <w:rFonts w:eastAsia="Calibri"/>
          <w:b/>
          <w:sz w:val="24"/>
          <w:szCs w:val="24"/>
        </w:rPr>
      </w:pPr>
      <w:r>
        <w:rPr>
          <w:rFonts w:eastAsia="Calibri"/>
          <w:b/>
          <w:sz w:val="24"/>
          <w:szCs w:val="24"/>
        </w:rPr>
      </w:r>
    </w:p>
    <w:p>
      <w:pPr>
        <w:pStyle w:val="Normal"/>
        <w:keepNext w:val="true"/>
        <w:keepLines/>
        <w:jc w:val="center"/>
        <w:rPr>
          <w:rFonts w:eastAsia="Calibri"/>
          <w:b/>
          <w:bCs/>
          <w:sz w:val="28"/>
          <w:szCs w:val="28"/>
        </w:rPr>
      </w:pPr>
      <w:r>
        <w:rPr>
          <w:rFonts w:eastAsia="Calibri"/>
          <w:b/>
          <w:bCs/>
          <w:sz w:val="28"/>
          <w:szCs w:val="28"/>
        </w:rPr>
        <w:t>Технические требования на оказание услуг</w:t>
      </w:r>
    </w:p>
    <w:p>
      <w:pPr>
        <w:pStyle w:val="Normal"/>
        <w:keepNext w:val="true"/>
        <w:keepLines/>
        <w:jc w:val="center"/>
        <w:rPr>
          <w:rFonts w:eastAsia="Calibri"/>
          <w:sz w:val="24"/>
          <w:szCs w:val="24"/>
        </w:rPr>
      </w:pPr>
      <w:r>
        <w:rPr>
          <w:rFonts w:eastAsia="Calibri"/>
          <w:sz w:val="24"/>
          <w:szCs w:val="24"/>
        </w:rPr>
        <w:t>«ОКПД 71.20.11.190 Услуги по анализу масел филиала ПАО «РусГидро»-«Каскад Кубанских ГЭС»</w:t>
      </w:r>
    </w:p>
    <w:p>
      <w:pPr>
        <w:pStyle w:val="Normal"/>
        <w:keepNext w:val="true"/>
        <w:keepLines/>
        <w:jc w:val="center"/>
        <w:rPr>
          <w:sz w:val="24"/>
          <w:szCs w:val="24"/>
        </w:rPr>
      </w:pPr>
      <w:r>
        <w:rPr>
          <w:rFonts w:eastAsia="Calibri"/>
          <w:sz w:val="24"/>
          <w:szCs w:val="24"/>
        </w:rPr>
        <w:t>Лот № 121013-ЭКСП ПРОД-2027-ККГЭС</w:t>
      </w:r>
    </w:p>
    <w:p>
      <w:pPr>
        <w:sectPr>
          <w:headerReference w:type="default" r:id="rId2"/>
          <w:type w:val="nextPage"/>
          <w:pgSz w:w="11906" w:h="16838"/>
          <w:pgMar w:left="1134" w:right="851" w:gutter="0" w:header="680" w:top="1134" w:footer="0" w:bottom="992"/>
          <w:pgNumType w:fmt="decimal"/>
          <w:formProt w:val="false"/>
          <w:textDirection w:val="lrTb"/>
          <w:docGrid w:type="default" w:linePitch="360" w:charSpace="0"/>
        </w:sectPr>
        <w:pStyle w:val="Normal"/>
        <w:jc w:val="center"/>
        <w:rPr>
          <w:rFonts w:eastAsia="Calibri"/>
          <w:sz w:val="24"/>
          <w:szCs w:val="24"/>
        </w:rPr>
      </w:pPr>
      <w:r>
        <w:rPr>
          <w:rFonts w:eastAsia="Calibri"/>
          <w:sz w:val="24"/>
          <w:szCs w:val="24"/>
        </w:rPr>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08"/>
              <w:tab w:val="right" w:pos="10209" w:leader="dot"/>
            </w:tabs>
            <w:rPr/>
          </w:pPr>
          <w:r>
            <w:fldChar w:fldCharType="begin"/>
          </w:r>
          <w:r>
            <w:rPr>
              <w:rStyle w:val="Style14"/>
            </w:rPr>
            <w:instrText xml:space="preserve"> TOC \o "1-4" \h</w:instrText>
          </w:r>
          <w:r>
            <w:rPr>
              <w:rStyle w:val="Style14"/>
            </w:rPr>
            <w:fldChar w:fldCharType="separate"/>
          </w:r>
          <w:hyperlink w:anchor="__RefHeading___Toc17091_3859023711">
            <w:r>
              <w:rPr>
                <w:rStyle w:val="Style14"/>
              </w:rPr>
              <w:t>1. Общие сведения</w:t>
              <w:tab/>
              <w:t>3</w:t>
            </w:r>
          </w:hyperlink>
        </w:p>
        <w:p>
          <w:pPr>
            <w:pStyle w:val="TOC4"/>
            <w:tabs>
              <w:tab w:val="clear" w:pos="1120"/>
              <w:tab w:val="clear" w:pos="9911"/>
              <w:tab w:val="right" w:pos="10209" w:leader="dot"/>
            </w:tabs>
            <w:rPr/>
          </w:pPr>
          <w:hyperlink w:anchor="__RefHeading___Toc17093_3859023711">
            <w:r>
              <w:rPr>
                <w:rStyle w:val="Style14"/>
              </w:rPr>
              <w:t>1.1. Обозначения и сокращения</w:t>
              <w:tab/>
              <w:t>3</w:t>
            </w:r>
          </w:hyperlink>
        </w:p>
        <w:p>
          <w:pPr>
            <w:pStyle w:val="TOC4"/>
            <w:tabs>
              <w:tab w:val="clear" w:pos="1120"/>
              <w:tab w:val="clear" w:pos="9911"/>
              <w:tab w:val="right" w:pos="10209" w:leader="dot"/>
            </w:tabs>
            <w:rPr/>
          </w:pPr>
          <w:hyperlink w:anchor="__RefHeading___Toc17095_3859023711">
            <w:r>
              <w:rPr>
                <w:rStyle w:val="Style14"/>
              </w:rPr>
              <w:t>1.2. Наименование закупаемой продукции</w:t>
              <w:tab/>
              <w:t>3</w:t>
            </w:r>
          </w:hyperlink>
        </w:p>
        <w:p>
          <w:pPr>
            <w:pStyle w:val="TOC4"/>
            <w:tabs>
              <w:tab w:val="clear" w:pos="1120"/>
              <w:tab w:val="clear" w:pos="9911"/>
              <w:tab w:val="right" w:pos="10209" w:leader="dot"/>
            </w:tabs>
            <w:rPr/>
          </w:pPr>
          <w:hyperlink w:anchor="__RefHeading___Toc17097_3859023711">
            <w:r>
              <w:rPr>
                <w:rStyle w:val="Style14"/>
              </w:rPr>
              <w:t>1.3. Цель оказания услуг</w:t>
              <w:tab/>
              <w:t>3</w:t>
            </w:r>
          </w:hyperlink>
        </w:p>
        <w:p>
          <w:pPr>
            <w:pStyle w:val="TOC1"/>
            <w:tabs>
              <w:tab w:val="clear" w:pos="708"/>
              <w:tab w:val="right" w:pos="10209" w:leader="dot"/>
            </w:tabs>
            <w:rPr/>
          </w:pPr>
          <w:hyperlink w:anchor="__RefHeading___Toc17099_3859023711">
            <w:r>
              <w:rPr>
                <w:rStyle w:val="Style14"/>
              </w:rPr>
              <w:t>Таблица 1. Перечень объектов заказчика</w:t>
              <w:tab/>
              <w:t>3</w:t>
            </w:r>
          </w:hyperlink>
        </w:p>
        <w:p>
          <w:pPr>
            <w:pStyle w:val="TOC1"/>
            <w:tabs>
              <w:tab w:val="clear" w:pos="708"/>
              <w:tab w:val="right" w:pos="10209" w:leader="dot"/>
            </w:tabs>
            <w:rPr/>
          </w:pPr>
          <w:hyperlink w:anchor="__RefHeading___Toc17101_3859023711">
            <w:r>
              <w:rPr>
                <w:rStyle w:val="Style14"/>
              </w:rPr>
              <w:t xml:space="preserve">2. </w:t>
            </w:r>
            <w:r>
              <w:rPr>
                <w:rStyle w:val="Style14"/>
                <w:iCs/>
              </w:rPr>
              <w:t>Требования</w:t>
            </w:r>
            <w:r>
              <w:rPr>
                <w:rStyle w:val="Style14"/>
                <w:iCs/>
              </w:rPr>
              <w:t xml:space="preserve"> к продукции</w:t>
            </w:r>
            <w:r>
              <w:rPr>
                <w:rStyle w:val="Style14"/>
              </w:rPr>
              <w:tab/>
              <w:t>4</w:t>
            </w:r>
          </w:hyperlink>
        </w:p>
        <w:p>
          <w:pPr>
            <w:pStyle w:val="TOC4"/>
            <w:tabs>
              <w:tab w:val="clear" w:pos="1120"/>
              <w:tab w:val="clear" w:pos="9911"/>
              <w:tab w:val="right" w:pos="10209" w:leader="dot"/>
            </w:tabs>
            <w:rPr/>
          </w:pPr>
          <w:hyperlink w:anchor="__RefHeading___Toc17103_3859023711">
            <w:r>
              <w:rPr>
                <w:rStyle w:val="Style14"/>
              </w:rPr>
              <w:t>2.1. Требования к объемам и срокам оказания услуг</w:t>
              <w:tab/>
              <w:t>4</w:t>
            </w:r>
          </w:hyperlink>
        </w:p>
        <w:p>
          <w:pPr>
            <w:pStyle w:val="TOC3"/>
            <w:tabs>
              <w:tab w:val="clear" w:pos="708"/>
              <w:tab w:val="right" w:pos="10209" w:leader="dot"/>
            </w:tabs>
            <w:rPr/>
          </w:pPr>
          <w:hyperlink w:anchor="__RefHeading___Toc17105_3859023711">
            <w:r>
              <w:rPr>
                <w:rStyle w:val="Style14"/>
              </w:rPr>
              <w:t>2.1.1. Требования к перечню и объему услуг</w:t>
              <w:tab/>
              <w:t>4</w:t>
            </w:r>
          </w:hyperlink>
        </w:p>
        <w:p>
          <w:pPr>
            <w:pStyle w:val="TOC1"/>
            <w:tabs>
              <w:tab w:val="clear" w:pos="708"/>
              <w:tab w:val="right" w:pos="10209" w:leader="dot"/>
            </w:tabs>
            <w:rPr/>
          </w:pPr>
          <w:hyperlink w:anchor="__RefHeading___Toc17107_3859023711">
            <w:r>
              <w:rPr>
                <w:rStyle w:val="Style14"/>
              </w:rPr>
              <w:t>Таблица 2. Перечень и объем оказываемых услуг</w:t>
              <w:tab/>
              <w:t>4</w:t>
            </w:r>
          </w:hyperlink>
        </w:p>
        <w:p>
          <w:pPr>
            <w:pStyle w:val="TOC3"/>
            <w:tabs>
              <w:tab w:val="clear" w:pos="708"/>
              <w:tab w:val="right" w:pos="10209" w:leader="dot"/>
            </w:tabs>
            <w:rPr/>
          </w:pPr>
          <w:hyperlink w:anchor="__RefHeading___Toc17109_3859023711">
            <w:r>
              <w:rPr>
                <w:rStyle w:val="Style14"/>
              </w:rPr>
              <w:t>2.1.2. Требования к срокам оказания услуг</w:t>
              <w:tab/>
              <w:t>4</w:t>
            </w:r>
          </w:hyperlink>
        </w:p>
        <w:p>
          <w:pPr>
            <w:pStyle w:val="TOC1"/>
            <w:tabs>
              <w:tab w:val="clear" w:pos="708"/>
              <w:tab w:val="right" w:pos="10209" w:leader="dot"/>
            </w:tabs>
            <w:rPr/>
          </w:pPr>
          <w:hyperlink w:anchor="__RefHeading___Toc17111_3859023711">
            <w:r>
              <w:rPr>
                <w:rStyle w:val="Style14"/>
              </w:rPr>
              <w:t>Таблица 3. Требования к срокам оказания услуг</w:t>
              <w:tab/>
              <w:t>4</w:t>
            </w:r>
          </w:hyperlink>
        </w:p>
        <w:p>
          <w:pPr>
            <w:pStyle w:val="TOC4"/>
            <w:tabs>
              <w:tab w:val="clear" w:pos="1120"/>
              <w:tab w:val="clear" w:pos="9911"/>
              <w:tab w:val="right" w:pos="10209" w:leader="dot"/>
            </w:tabs>
            <w:rPr/>
          </w:pPr>
          <w:hyperlink w:anchor="__RefHeading___Toc17113_3859023711">
            <w:r>
              <w:rPr>
                <w:rStyle w:val="Style14"/>
              </w:rPr>
              <w:t>2.2. Требования к качеству продукции</w:t>
              <w:tab/>
              <w:t>5</w:t>
            </w:r>
          </w:hyperlink>
        </w:p>
        <w:p>
          <w:pPr>
            <w:pStyle w:val="TOC1"/>
            <w:tabs>
              <w:tab w:val="clear" w:pos="708"/>
              <w:tab w:val="right" w:pos="10209" w:leader="dot"/>
            </w:tabs>
            <w:rPr/>
          </w:pPr>
          <w:hyperlink w:anchor="__RefHeading___Toc17115_3859023711">
            <w:r>
              <w:rPr>
                <w:rStyle w:val="Style14"/>
              </w:rPr>
              <w:t>Таблица 4. Требования к качеству продукции</w:t>
              <w:tab/>
              <w:t>5</w:t>
            </w:r>
          </w:hyperlink>
        </w:p>
        <w:p>
          <w:pPr>
            <w:pStyle w:val="TOC1"/>
            <w:tabs>
              <w:tab w:val="clear" w:pos="708"/>
              <w:tab w:val="right" w:pos="10209" w:leader="dot"/>
            </w:tabs>
            <w:rPr/>
          </w:pPr>
          <w:hyperlink w:anchor="__RefHeading___Toc9421_4190695750">
            <w:r>
              <w:rPr>
                <w:rStyle w:val="Style14"/>
              </w:rPr>
              <w:t>3. Требования к документации по ценообразованию на этапе закупки</w:t>
              <w:tab/>
              <w:t>8</w:t>
            </w:r>
          </w:hyperlink>
        </w:p>
        <w:p>
          <w:pPr>
            <w:pStyle w:val="TOC1"/>
            <w:tabs>
              <w:tab w:val="clear" w:pos="708"/>
              <w:tab w:val="right" w:pos="10209" w:leader="dot"/>
            </w:tabs>
            <w:rPr/>
          </w:pPr>
          <w:hyperlink w:anchor="__RefHeading___Toc9423_4190695750">
            <w:r>
              <w:rPr>
                <w:rStyle w:val="Style14"/>
              </w:rPr>
              <w:t>4. Требования к документации по ценообразованию на этапе заключения (исполнения) договора</w:t>
              <w:tab/>
              <w:t>8</w:t>
            </w:r>
          </w:hyperlink>
        </w:p>
        <w:p>
          <w:pPr>
            <w:pStyle w:val="TOC1"/>
            <w:tabs>
              <w:tab w:val="clear" w:pos="708"/>
              <w:tab w:val="right" w:pos="10209" w:leader="dot"/>
            </w:tabs>
            <w:rPr/>
          </w:pPr>
          <w:hyperlink w:anchor="__RefHeading___Toc17123_3859023711">
            <w:r>
              <w:rPr>
                <w:rStyle w:val="Style14"/>
              </w:rPr>
              <w:t xml:space="preserve">5. </w:t>
            </w:r>
            <w:r>
              <w:rPr>
                <w:rStyle w:val="Style14"/>
                <w:iCs/>
              </w:rPr>
              <w:t>Приложения</w:t>
            </w:r>
            <w:r>
              <w:rPr>
                <w:rStyle w:val="Style14"/>
              </w:rPr>
              <w:tab/>
              <w:t>8</w:t>
            </w:r>
          </w:hyperlink>
          <w:r>
            <w:rPr>
              <w:rStyle w:val="Style14"/>
            </w:rPr>
            <w:fldChar w:fldCharType="end"/>
          </w:r>
        </w:p>
      </w:sdtContent>
    </w:sdt>
    <w:p>
      <w:pPr>
        <w:pStyle w:val="Heading2"/>
        <w:numPr>
          <w:ilvl w:val="0"/>
          <w:numId w:val="0"/>
        </w:numPr>
        <w:ind w:left="0" w:right="0" w:hanging="0"/>
        <w:rPr>
          <w:b w:val="false"/>
          <w:i/>
          <w:i/>
        </w:rPr>
      </w:pPr>
      <w:r>
        <w:rPr>
          <w:b w:val="false"/>
          <w:i/>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keepLines/>
        <w:numPr>
          <w:ilvl w:val="0"/>
          <w:numId w:val="3"/>
        </w:numPr>
        <w:ind w:left="357" w:right="0" w:hanging="357"/>
        <w:jc w:val="center"/>
        <w:rPr>
          <w:caps/>
          <w:lang w:val="ru-RU"/>
        </w:rPr>
      </w:pPr>
      <w:bookmarkStart w:id="2" w:name="__RefHeading___Toc17091_3859023711"/>
      <w:bookmarkStart w:id="3" w:name="_Toc54643694"/>
      <w:bookmarkEnd w:id="2"/>
      <w:r>
        <w:rPr>
          <w:lang w:val="ru-RU"/>
        </w:rPr>
        <w:t>Общие сведения</w:t>
      </w:r>
      <w:bookmarkEnd w:id="3"/>
    </w:p>
    <w:p>
      <w:pPr>
        <w:pStyle w:val="Heading4"/>
        <w:numPr>
          <w:ilvl w:val="1"/>
          <w:numId w:val="3"/>
        </w:numPr>
        <w:rPr/>
      </w:pPr>
      <w:bookmarkStart w:id="4" w:name="__RefHeading___Toc17093_3859023711"/>
      <w:bookmarkStart w:id="5" w:name="_Toc54643695"/>
      <w:bookmarkStart w:id="6" w:name="_Toc46743505"/>
      <w:bookmarkEnd w:id="4"/>
      <w:r>
        <w:rPr/>
        <w:t>Обозначения и сокращения</w:t>
      </w:r>
      <w:bookmarkEnd w:id="5"/>
      <w:bookmarkEnd w:id="6"/>
    </w:p>
    <w:tbl>
      <w:tblPr>
        <w:tblW w:w="9615" w:type="dxa"/>
        <w:jc w:val="center"/>
        <w:tblInd w:w="0" w:type="dxa"/>
        <w:tblLayout w:type="fixed"/>
        <w:tblCellMar>
          <w:top w:w="0" w:type="dxa"/>
          <w:left w:w="108" w:type="dxa"/>
          <w:bottom w:w="0" w:type="dxa"/>
          <w:right w:w="108" w:type="dxa"/>
        </w:tblCellMar>
      </w:tblPr>
      <w:tblGrid>
        <w:gridCol w:w="1798"/>
        <w:gridCol w:w="7816"/>
      </w:tblGrid>
      <w:tr>
        <w:trPr>
          <w:cantSplit w:val="true"/>
        </w:trPr>
        <w:tc>
          <w:tcPr>
            <w:tcW w:w="17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ПАО</w:t>
            </w:r>
          </w:p>
        </w:tc>
        <w:tc>
          <w:tcPr>
            <w:tcW w:w="7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Публичное акционерное общество</w:t>
            </w:r>
          </w:p>
        </w:tc>
      </w:tr>
      <w:tr>
        <w:trPr>
          <w:cantSplit w:val="true"/>
        </w:trPr>
        <w:tc>
          <w:tcPr>
            <w:tcW w:w="17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РД</w:t>
            </w:r>
          </w:p>
        </w:tc>
        <w:tc>
          <w:tcPr>
            <w:tcW w:w="7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Руководящий документ</w:t>
            </w:r>
          </w:p>
        </w:tc>
      </w:tr>
      <w:tr>
        <w:trPr>
          <w:cantSplit w:val="true"/>
        </w:trPr>
        <w:tc>
          <w:tcPr>
            <w:tcW w:w="17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ГОСТ</w:t>
            </w:r>
          </w:p>
        </w:tc>
        <w:tc>
          <w:tcPr>
            <w:tcW w:w="7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Межгосударственный стандарт</w:t>
            </w:r>
          </w:p>
        </w:tc>
      </w:tr>
      <w:tr>
        <w:trPr>
          <w:cantSplit w:val="true"/>
        </w:trPr>
        <w:tc>
          <w:tcPr>
            <w:tcW w:w="179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МТР</w:t>
            </w:r>
          </w:p>
        </w:tc>
        <w:tc>
          <w:tcPr>
            <w:tcW w:w="781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pPr>
            <w:r>
              <w:rPr>
                <w:sz w:val="24"/>
                <w:szCs w:val="24"/>
              </w:rPr>
              <w:t>Материально технические ресурсы</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МХ</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Маслохозяйство</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СТО РусГидро</w:t>
            </w:r>
          </w:p>
        </w:tc>
        <w:tc>
          <w:tcPr>
            <w:tcW w:w="7816" w:type="dxa"/>
            <w:tcBorders>
              <w:left w:val="single" w:sz="4" w:space="0" w:color="000000"/>
              <w:bottom w:val="single" w:sz="4" w:space="0" w:color="000000"/>
              <w:right w:val="single" w:sz="4" w:space="0" w:color="000000"/>
            </w:tcBorders>
          </w:tcPr>
          <w:p>
            <w:pPr>
              <w:pStyle w:val="Standard"/>
              <w:widowControl w:val="false"/>
              <w:tabs>
                <w:tab w:val="clear" w:pos="708"/>
                <w:tab w:val="left" w:pos="426" w:leader="none"/>
              </w:tabs>
              <w:spacing w:lineRule="auto" w:line="240" w:before="0" w:after="0"/>
              <w:jc w:val="both"/>
              <w:rPr/>
            </w:pPr>
            <w:r>
              <w:rPr>
                <w:rFonts w:ascii="Times New Roman" w:hAnsi="Times New Roman"/>
                <w:sz w:val="24"/>
                <w:szCs w:val="24"/>
              </w:rPr>
              <w:t>Стандарт организации</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МЭК</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Стандарт международной некоммерческой организации по стандартиза</w:t>
              <w:softHyphen/>
              <w:t>ции в области электрических, электронных и смежных технологий</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tgδ</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Тангенс угла диэлектрических потерь</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ОГС</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общее газовое содержание</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eastAsia="Times New Roman" w:cs="Times New Roman" w:ascii="Times New Roman" w:hAnsi="Times New Roman"/>
                <w:kern w:val="0"/>
                <w:sz w:val="24"/>
                <w:szCs w:val="24"/>
                <w:lang w:eastAsia="ru-RU" w:bidi="ar-SA"/>
              </w:rPr>
              <w:t>Х1</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eastAsia="Times New Roman" w:cs="Times New Roman" w:ascii="Times New Roman" w:hAnsi="Times New Roman"/>
                <w:kern w:val="0"/>
                <w:sz w:val="24"/>
                <w:szCs w:val="24"/>
                <w:lang w:eastAsia="ru-RU" w:bidi="ar-SA"/>
              </w:rPr>
              <w:t>сокращенный физико-химический анализ трансформаторного масла в объеме согласно CТО 02.01.124-2020 Силовые трансформаторы. органи</w:t>
              <w:softHyphen/>
              <w:t>зация технической эксплуатации. Нормы и требования приложение 9 та</w:t>
              <w:softHyphen/>
              <w:t xml:space="preserve">блица П9.4 пп. 1-9 (в свободном доступе в интернет ресурсе по ссылке </w:t>
            </w:r>
            <w:hyperlink r:id="rId3">
              <w:r>
                <w:rPr>
                  <w:rStyle w:val="Internetlink"/>
                  <w:rFonts w:eastAsia="Times New Roman" w:cs="Times New Roman" w:ascii="Times New Roman" w:hAnsi="Times New Roman"/>
                  <w:color w:val="auto"/>
                  <w:kern w:val="0"/>
                  <w:sz w:val="24"/>
                  <w:szCs w:val="24"/>
                  <w:lang w:eastAsia="ru-RU" w:bidi="ar-SA"/>
                </w:rPr>
                <w:t>https://rushydro.ru/activity/safety/library/teksty-deystvuyushchikh-standartov-pao-rusgidro/</w:t>
              </w:r>
            </w:hyperlink>
            <w:r>
              <w:rPr>
                <w:rFonts w:eastAsia="Times New Roman" w:cs="Times New Roman" w:ascii="Times New Roman" w:hAnsi="Times New Roman"/>
                <w:kern w:val="0"/>
                <w:sz w:val="24"/>
                <w:szCs w:val="24"/>
                <w:lang w:eastAsia="ru-RU" w:bidi="ar-SA"/>
              </w:rPr>
              <w:t>)</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Х2</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eastAsia="Times New Roman" w:cs="Times New Roman" w:ascii="Times New Roman" w:hAnsi="Times New Roman"/>
                <w:kern w:val="0"/>
                <w:sz w:val="24"/>
                <w:szCs w:val="24"/>
                <w:lang w:eastAsia="ru-RU" w:bidi="ar-SA"/>
              </w:rPr>
              <w:t>сокращенный физико-химический анализ трансформаторного масла в объеме согласно CТО 02.01.124-2020 Силовые трансформаторы. органи</w:t>
              <w:softHyphen/>
              <w:t>зация технической эксплуатации. Нормы и требования приложение 9 та</w:t>
              <w:softHyphen/>
              <w:t>блица П9.4 пп. 1-4 (в свободном доступе в интернет ресурсе по ссылке</w:t>
            </w:r>
            <w:r>
              <w:rPr>
                <w:rFonts w:ascii="Times New Roman" w:hAnsi="Times New Roman"/>
                <w:sz w:val="24"/>
                <w:szCs w:val="24"/>
              </w:rPr>
              <w:t xml:space="preserve"> </w:t>
            </w:r>
            <w:hyperlink r:id="rId4">
              <w:r>
                <w:rPr>
                  <w:rStyle w:val="Internetlink"/>
                  <w:rFonts w:ascii="Times New Roman" w:hAnsi="Times New Roman"/>
                  <w:sz w:val="24"/>
                  <w:szCs w:val="24"/>
                </w:rPr>
                <w:t>https://rushydro.ru/activity/safety/library/teksty-deystvuyushchikh-standartov-pao-rusgidro/</w:t>
              </w:r>
            </w:hyperlink>
            <w:r>
              <w:rPr>
                <w:rFonts w:ascii="Times New Roman" w:hAnsi="Times New Roman"/>
                <w:sz w:val="24"/>
                <w:szCs w:val="24"/>
              </w:rPr>
              <w:t>)</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ХАРГ</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 xml:space="preserve">хроматографический анализ растворенных газов в масле согласно РД 153-34.0-46.302-00(в свободном доступе в интернет ресурсе по ссылке </w:t>
            </w:r>
            <w:hyperlink r:id="rId5">
              <w:r>
                <w:rPr>
                  <w:rStyle w:val="Internetlink"/>
                  <w:rFonts w:ascii="Times New Roman" w:hAnsi="Times New Roman"/>
                  <w:sz w:val="24"/>
                  <w:szCs w:val="24"/>
                </w:rPr>
                <w:t>https://docs.cntd.ru/document/1200053728</w:t>
              </w:r>
            </w:hyperlink>
            <w:r>
              <w:rPr>
                <w:rFonts w:ascii="Times New Roman" w:hAnsi="Times New Roman"/>
                <w:sz w:val="24"/>
                <w:szCs w:val="24"/>
              </w:rPr>
              <w:t xml:space="preserve"> ).</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Х.тур.</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rPr>
              <w:t>сокращенный физико-химический анализ турбинного масла.</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tabs>
                <w:tab w:val="clear" w:pos="708"/>
                <w:tab w:val="left" w:pos="426" w:leader="none"/>
              </w:tabs>
              <w:spacing w:lineRule="auto" w:line="240" w:before="0" w:after="0"/>
              <w:jc w:val="both"/>
              <w:rPr/>
            </w:pPr>
            <w:r>
              <w:rPr>
                <w:rFonts w:ascii="Times New Roman" w:hAnsi="Times New Roman"/>
                <w:sz w:val="24"/>
                <w:szCs w:val="24"/>
                <w:shd w:fill="FFFFFF" w:val="clear"/>
                <w:lang w:val="en-US"/>
              </w:rPr>
              <w:t>Филиал</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shd w:fill="FFFFFF" w:val="clear"/>
              </w:rPr>
              <w:t xml:space="preserve">Филиал ПАО </w:t>
            </w:r>
            <w:r>
              <w:rPr>
                <w:rFonts w:ascii="Times New Roman" w:hAnsi="Times New Roman"/>
                <w:sz w:val="24"/>
                <w:szCs w:val="24"/>
              </w:rPr>
              <w:t>«РусГидро» - «Каскад Кубанских ГЭС»</w:t>
            </w:r>
          </w:p>
        </w:tc>
      </w:tr>
      <w:tr>
        <w:trPr>
          <w:cantSplit w:val="true"/>
        </w:trPr>
        <w:tc>
          <w:tcPr>
            <w:tcW w:w="1798" w:type="dxa"/>
            <w:tcBorders>
              <w:left w:val="single" w:sz="4" w:space="0" w:color="000000"/>
              <w:bottom w:val="single" w:sz="4" w:space="0" w:color="000000"/>
              <w:right w:val="single" w:sz="4" w:space="0" w:color="000000"/>
            </w:tcBorders>
          </w:tcPr>
          <w:p>
            <w:pPr>
              <w:pStyle w:val="Standard"/>
              <w:widowControl w:val="false"/>
              <w:tabs>
                <w:tab w:val="clear" w:pos="708"/>
                <w:tab w:val="left" w:pos="426" w:leader="none"/>
              </w:tabs>
              <w:spacing w:lineRule="auto" w:line="240" w:before="0" w:after="0"/>
              <w:jc w:val="both"/>
              <w:rPr/>
            </w:pPr>
            <w:r>
              <w:rPr>
                <w:rFonts w:ascii="Times New Roman" w:hAnsi="Times New Roman"/>
                <w:sz w:val="24"/>
                <w:szCs w:val="24"/>
                <w:shd w:fill="FFFFFF" w:val="clear"/>
              </w:rPr>
              <w:t>‍</w:t>
            </w:r>
            <w:r>
              <w:rPr>
                <w:rFonts w:ascii="Times New Roman" w:hAnsi="Times New Roman"/>
                <w:sz w:val="24"/>
                <w:szCs w:val="24"/>
                <w:shd w:fill="FFFFFF" w:val="clear"/>
              </w:rPr>
              <w:t>ТТ</w:t>
            </w:r>
          </w:p>
        </w:tc>
        <w:tc>
          <w:tcPr>
            <w:tcW w:w="7816" w:type="dxa"/>
            <w:tcBorders>
              <w:left w:val="single" w:sz="4" w:space="0" w:color="000000"/>
              <w:bottom w:val="single" w:sz="4" w:space="0" w:color="000000"/>
              <w:right w:val="single" w:sz="4" w:space="0" w:color="000000"/>
            </w:tcBorders>
          </w:tcPr>
          <w:p>
            <w:pPr>
              <w:pStyle w:val="Standard"/>
              <w:widowControl w:val="false"/>
              <w:spacing w:lineRule="auto" w:line="240" w:before="0" w:after="0"/>
              <w:rPr/>
            </w:pPr>
            <w:r>
              <w:rPr>
                <w:rFonts w:ascii="Times New Roman" w:hAnsi="Times New Roman"/>
                <w:sz w:val="24"/>
                <w:szCs w:val="24"/>
                <w:shd w:fill="FFFFFF" w:val="clear"/>
              </w:rPr>
              <w:t>Технические требования</w:t>
            </w:r>
          </w:p>
        </w:tc>
      </w:tr>
    </w:tbl>
    <w:p>
      <w:pPr>
        <w:pStyle w:val="Heading4"/>
        <w:numPr>
          <w:ilvl w:val="1"/>
          <w:numId w:val="3"/>
        </w:numPr>
        <w:rPr/>
      </w:pPr>
      <w:bookmarkStart w:id="7" w:name="__RefHeading___Toc17095_3859023711"/>
      <w:bookmarkStart w:id="8" w:name="_Toc46743506"/>
      <w:bookmarkStart w:id="9" w:name="_Toc54643696"/>
      <w:bookmarkEnd w:id="7"/>
      <w:r>
        <w:rPr/>
        <w:t>Наименование закупаемой продукции</w:t>
      </w:r>
      <w:bookmarkEnd w:id="8"/>
      <w:bookmarkEnd w:id="9"/>
    </w:p>
    <w:p>
      <w:pPr>
        <w:pStyle w:val="Normal"/>
        <w:spacing w:lineRule="auto" w:line="240"/>
        <w:jc w:val="both"/>
        <w:rPr>
          <w:sz w:val="24"/>
          <w:szCs w:val="24"/>
        </w:rPr>
      </w:pPr>
      <w:r>
        <w:rPr>
          <w:rStyle w:val="Style8"/>
          <w:rFonts w:eastAsia="Calibri"/>
          <w:b w:val="false"/>
          <w:bCs w:val="false"/>
          <w:i w:val="false"/>
          <w:iCs w:val="false"/>
          <w:sz w:val="24"/>
          <w:szCs w:val="24"/>
          <w:u w:val="none"/>
          <w:shd w:fill="FFFFFF" w:val="clear"/>
        </w:rPr>
        <w:t>«</w:t>
      </w:r>
      <w:r>
        <w:rPr>
          <w:rStyle w:val="Style8"/>
          <w:rFonts w:eastAsia="Calibri"/>
          <w:b w:val="false"/>
          <w:bCs w:val="false"/>
          <w:i w:val="false"/>
          <w:iCs w:val="false"/>
          <w:sz w:val="24"/>
          <w:szCs w:val="24"/>
          <w:u w:val="none"/>
          <w:shd w:fill="FFFFFF" w:val="clear"/>
          <w:lang w:val="x-none" w:eastAsia="x-none"/>
        </w:rPr>
        <w:t>ОКПД 71.20.11.190 Услуги по анализу масел филиала ПАО «РусГидро»-«Каскад Кубанских ГЭС</w:t>
      </w:r>
      <w:r>
        <w:rPr>
          <w:rStyle w:val="Style8"/>
          <w:rFonts w:eastAsia="Calibri"/>
          <w:b w:val="false"/>
          <w:bCs w:val="false"/>
          <w:i w:val="false"/>
          <w:iCs w:val="false"/>
          <w:sz w:val="24"/>
          <w:szCs w:val="24"/>
          <w:u w:val="none"/>
          <w:shd w:fill="FFFFFF" w:val="clear"/>
        </w:rPr>
        <w:t>».</w:t>
      </w:r>
      <w:bookmarkStart w:id="10" w:name="_Toc46743507"/>
    </w:p>
    <w:p>
      <w:pPr>
        <w:pStyle w:val="Heading4"/>
        <w:numPr>
          <w:ilvl w:val="1"/>
          <w:numId w:val="3"/>
        </w:numPr>
        <w:spacing w:before="240" w:after="60"/>
        <w:ind w:left="431" w:right="0" w:hanging="431"/>
        <w:rPr/>
      </w:pPr>
      <w:bookmarkStart w:id="11" w:name="__RefHeading___Toc17097_3859023711"/>
      <w:bookmarkStart w:id="12" w:name="_Toc54643697"/>
      <w:bookmarkEnd w:id="11"/>
      <w:r>
        <w:rPr/>
        <w:t xml:space="preserve">Цель </w:t>
      </w:r>
      <w:bookmarkEnd w:id="10"/>
      <w:r>
        <w:rPr>
          <w:lang w:val="ru-RU"/>
        </w:rPr>
        <w:t>оказания услуг</w:t>
      </w:r>
      <w:bookmarkEnd w:id="12"/>
    </w:p>
    <w:p>
      <w:pPr>
        <w:pStyle w:val="Normal"/>
        <w:suppressAutoHyphens w:val="false"/>
        <w:spacing w:lineRule="auto" w:line="240"/>
        <w:ind w:left="0" w:right="0" w:firstLine="567"/>
        <w:rPr>
          <w:sz w:val="24"/>
          <w:szCs w:val="24"/>
        </w:rPr>
      </w:pPr>
      <w:r>
        <w:rPr>
          <w:rStyle w:val="Style8"/>
          <w:b w:val="false"/>
          <w:bCs w:val="false"/>
          <w:i w:val="false"/>
          <w:iCs w:val="false"/>
          <w:sz w:val="24"/>
          <w:szCs w:val="24"/>
          <w:shd w:fill="FFFFFF" w:val="clear"/>
          <w:lang w:val="ru-RU"/>
        </w:rPr>
        <w:t>1.3.1. Выявить отклонения от нормативных характеристик в работе гидротурбинного и элек</w:t>
        <w:softHyphen/>
        <w:t>трического оборудования;</w:t>
      </w:r>
    </w:p>
    <w:p>
      <w:pPr>
        <w:pStyle w:val="Normal"/>
        <w:suppressAutoHyphens w:val="false"/>
        <w:spacing w:lineRule="auto" w:line="240"/>
        <w:ind w:left="0" w:right="0" w:firstLine="567"/>
        <w:rPr/>
      </w:pPr>
      <w:r>
        <w:rPr>
          <w:rStyle w:val="Style8"/>
          <w:b w:val="false"/>
          <w:bCs w:val="false"/>
          <w:i w:val="false"/>
          <w:iCs w:val="false"/>
          <w:sz w:val="24"/>
          <w:szCs w:val="24"/>
          <w:shd w:fill="FFFFFF" w:val="clear"/>
          <w:lang w:val="ru-RU"/>
        </w:rPr>
        <w:t>1.3.2. Определить степень развития и опасность возможных дефектов состояния гидротур</w:t>
        <w:softHyphen/>
        <w:t>бинного и электрического оборудования на ранних стадиях.</w:t>
      </w:r>
    </w:p>
    <w:p>
      <w:pPr>
        <w:pStyle w:val="Heading1"/>
        <w:keepLines/>
        <w:numPr>
          <w:ilvl w:val="0"/>
          <w:numId w:val="0"/>
        </w:numPr>
        <w:spacing w:before="240" w:after="60"/>
        <w:ind w:left="0" w:right="0" w:hanging="0"/>
        <w:rPr>
          <w:sz w:val="24"/>
          <w:szCs w:val="24"/>
          <w:lang w:val="ru-RU"/>
        </w:rPr>
      </w:pPr>
      <w:bookmarkStart w:id="13" w:name="__RefHeading___Toc17099_3859023711"/>
      <w:bookmarkStart w:id="14" w:name="_Toc54643699"/>
      <w:bookmarkEnd w:id="13"/>
      <w:r>
        <w:rPr>
          <w:sz w:val="24"/>
          <w:szCs w:val="24"/>
        </w:rPr>
        <w:t>Таблица 1</w:t>
      </w:r>
      <w:r>
        <w:rPr>
          <w:sz w:val="24"/>
          <w:szCs w:val="24"/>
          <w:lang w:val="ru-RU"/>
        </w:rPr>
        <w:t>.</w:t>
      </w:r>
      <w:r>
        <w:rPr>
          <w:sz w:val="24"/>
          <w:szCs w:val="24"/>
        </w:rPr>
        <w:t xml:space="preserve"> </w:t>
      </w:r>
      <w:r>
        <w:rPr>
          <w:sz w:val="24"/>
          <w:szCs w:val="24"/>
          <w:lang w:val="ru-RU"/>
        </w:rPr>
        <w:t>Перечень объектов заказчика</w:t>
      </w:r>
      <w:bookmarkEnd w:id="14"/>
    </w:p>
    <w:tbl>
      <w:tblPr>
        <w:tblW w:w="10198" w:type="dxa"/>
        <w:jc w:val="left"/>
        <w:tblInd w:w="-5" w:type="dxa"/>
        <w:tblLayout w:type="fixed"/>
        <w:tblCellMar>
          <w:top w:w="0" w:type="dxa"/>
          <w:left w:w="51" w:type="dxa"/>
          <w:bottom w:w="0" w:type="dxa"/>
          <w:right w:w="51" w:type="dxa"/>
        </w:tblCellMar>
      </w:tblPr>
      <w:tblGrid>
        <w:gridCol w:w="554"/>
        <w:gridCol w:w="2454"/>
        <w:gridCol w:w="2714"/>
        <w:gridCol w:w="3171"/>
        <w:gridCol w:w="1305"/>
      </w:tblGrid>
      <w:tr>
        <w:trPr/>
        <w:tc>
          <w:tcPr>
            <w:tcW w:w="554" w:type="dxa"/>
            <w:tcBorders>
              <w:top w:val="single" w:sz="4" w:space="0" w:color="000000"/>
              <w:left w:val="single" w:sz="4" w:space="0" w:color="000000"/>
              <w:bottom w:val="single" w:sz="4" w:space="0" w:color="000000"/>
            </w:tcBorders>
          </w:tcPr>
          <w:p>
            <w:pPr>
              <w:pStyle w:val="Normal"/>
              <w:widowControl w:val="false"/>
              <w:suppressAutoHyphens w:val="false"/>
              <w:rPr>
                <w:sz w:val="24"/>
                <w:szCs w:val="24"/>
              </w:rPr>
            </w:pPr>
            <w:r>
              <w:rPr>
                <w:sz w:val="24"/>
                <w:szCs w:val="24"/>
              </w:rPr>
              <w:t>№</w:t>
            </w:r>
          </w:p>
          <w:p>
            <w:pPr>
              <w:pStyle w:val="Normal"/>
              <w:widowControl w:val="false"/>
              <w:suppressAutoHyphens w:val="false"/>
              <w:rPr>
                <w:sz w:val="24"/>
                <w:szCs w:val="24"/>
              </w:rPr>
            </w:pPr>
            <w:r>
              <w:rPr>
                <w:sz w:val="24"/>
                <w:szCs w:val="24"/>
              </w:rPr>
              <w:t>п/п</w:t>
            </w:r>
          </w:p>
        </w:tc>
        <w:tc>
          <w:tcPr>
            <w:tcW w:w="2454" w:type="dxa"/>
            <w:tcBorders>
              <w:top w:val="single" w:sz="4" w:space="0" w:color="000000"/>
              <w:left w:val="single" w:sz="4" w:space="0" w:color="000000"/>
              <w:bottom w:val="single" w:sz="4" w:space="0" w:color="000000"/>
            </w:tcBorders>
          </w:tcPr>
          <w:p>
            <w:pPr>
              <w:pStyle w:val="Normal"/>
              <w:widowControl w:val="false"/>
              <w:suppressAutoHyphens w:val="false"/>
              <w:jc w:val="center"/>
              <w:rPr>
                <w:sz w:val="24"/>
                <w:szCs w:val="24"/>
              </w:rPr>
            </w:pPr>
            <w:r>
              <w:rPr>
                <w:sz w:val="24"/>
                <w:szCs w:val="24"/>
              </w:rPr>
              <w:t>Наименование</w:t>
              <w:br/>
              <w:t>объекта</w:t>
            </w:r>
          </w:p>
        </w:tc>
        <w:tc>
          <w:tcPr>
            <w:tcW w:w="2714" w:type="dxa"/>
            <w:tcBorders>
              <w:top w:val="single" w:sz="4" w:space="0" w:color="000000"/>
              <w:left w:val="single" w:sz="4" w:space="0" w:color="000000"/>
              <w:bottom w:val="single" w:sz="4" w:space="0" w:color="000000"/>
            </w:tcBorders>
          </w:tcPr>
          <w:p>
            <w:pPr>
              <w:pStyle w:val="Normal"/>
              <w:widowControl w:val="false"/>
              <w:suppressAutoHyphens w:val="false"/>
              <w:jc w:val="center"/>
              <w:rPr>
                <w:sz w:val="24"/>
                <w:szCs w:val="24"/>
              </w:rPr>
            </w:pPr>
            <w:r>
              <w:rPr>
                <w:sz w:val="24"/>
                <w:szCs w:val="24"/>
              </w:rPr>
              <w:t xml:space="preserve">Расположение объекта </w:t>
              <w:br/>
            </w:r>
            <w:r>
              <w:rPr>
                <w:i/>
                <w:iCs/>
                <w:sz w:val="24"/>
                <w:szCs w:val="24"/>
              </w:rPr>
              <w:t>(место оказания услуг)</w:t>
            </w:r>
          </w:p>
        </w:tc>
        <w:tc>
          <w:tcPr>
            <w:tcW w:w="3171" w:type="dxa"/>
            <w:tcBorders>
              <w:top w:val="single" w:sz="4" w:space="0" w:color="000000"/>
              <w:left w:val="single" w:sz="4" w:space="0" w:color="000000"/>
              <w:bottom w:val="single" w:sz="4" w:space="0" w:color="000000"/>
            </w:tcBorders>
          </w:tcPr>
          <w:p>
            <w:pPr>
              <w:pStyle w:val="Normal"/>
              <w:widowControl w:val="false"/>
              <w:suppressAutoHyphens w:val="false"/>
              <w:jc w:val="center"/>
              <w:rPr>
                <w:sz w:val="24"/>
                <w:szCs w:val="24"/>
              </w:rPr>
            </w:pPr>
            <w:r>
              <w:rPr>
                <w:sz w:val="24"/>
                <w:szCs w:val="24"/>
              </w:rPr>
              <w:t>Наименование основного средства (в отношении кото</w:t>
              <w:softHyphen/>
              <w:t>рого оказываются услуги)</w:t>
            </w:r>
          </w:p>
        </w:tc>
        <w:tc>
          <w:tcPr>
            <w:tcW w:w="1305"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jc w:val="center"/>
              <w:rPr>
                <w:sz w:val="24"/>
                <w:szCs w:val="24"/>
              </w:rPr>
            </w:pPr>
            <w:r>
              <w:rPr>
                <w:sz w:val="24"/>
                <w:szCs w:val="24"/>
              </w:rPr>
              <w:t>Примечания</w:t>
            </w:r>
          </w:p>
        </w:tc>
      </w:tr>
      <w:tr>
        <w:trPr/>
        <w:tc>
          <w:tcPr>
            <w:tcW w:w="554" w:type="dxa"/>
            <w:tcBorders>
              <w:left w:val="single" w:sz="4" w:space="0" w:color="000000"/>
              <w:bottom w:val="single" w:sz="4" w:space="0" w:color="000000"/>
            </w:tcBorders>
          </w:tcPr>
          <w:p>
            <w:pPr>
              <w:pStyle w:val="Normal"/>
              <w:widowControl w:val="false"/>
              <w:suppressAutoHyphens w:val="false"/>
              <w:jc w:val="center"/>
              <w:rPr>
                <w:b/>
                <w:sz w:val="20"/>
                <w:szCs w:val="20"/>
              </w:rPr>
            </w:pPr>
            <w:r>
              <w:rPr>
                <w:b/>
                <w:sz w:val="20"/>
                <w:szCs w:val="20"/>
              </w:rPr>
              <w:t>1</w:t>
            </w:r>
          </w:p>
        </w:tc>
        <w:tc>
          <w:tcPr>
            <w:tcW w:w="2454" w:type="dxa"/>
            <w:tcBorders>
              <w:left w:val="single" w:sz="4" w:space="0" w:color="000000"/>
              <w:bottom w:val="single" w:sz="4" w:space="0" w:color="000000"/>
            </w:tcBorders>
          </w:tcPr>
          <w:p>
            <w:pPr>
              <w:pStyle w:val="Normal"/>
              <w:widowControl w:val="false"/>
              <w:suppressAutoHyphens w:val="false"/>
              <w:jc w:val="center"/>
              <w:rPr>
                <w:b/>
                <w:sz w:val="20"/>
                <w:szCs w:val="20"/>
              </w:rPr>
            </w:pPr>
            <w:r>
              <w:rPr>
                <w:b/>
                <w:sz w:val="20"/>
                <w:szCs w:val="20"/>
              </w:rPr>
              <w:t>2</w:t>
            </w:r>
          </w:p>
        </w:tc>
        <w:tc>
          <w:tcPr>
            <w:tcW w:w="2714" w:type="dxa"/>
            <w:tcBorders>
              <w:left w:val="single" w:sz="4" w:space="0" w:color="000000"/>
              <w:bottom w:val="single" w:sz="4" w:space="0" w:color="000000"/>
            </w:tcBorders>
          </w:tcPr>
          <w:p>
            <w:pPr>
              <w:pStyle w:val="Normal"/>
              <w:widowControl w:val="false"/>
              <w:suppressAutoHyphens w:val="false"/>
              <w:jc w:val="center"/>
              <w:rPr>
                <w:b/>
                <w:sz w:val="20"/>
                <w:szCs w:val="20"/>
              </w:rPr>
            </w:pPr>
            <w:r>
              <w:rPr>
                <w:b/>
                <w:sz w:val="20"/>
                <w:szCs w:val="20"/>
              </w:rPr>
              <w:t>3</w:t>
            </w:r>
          </w:p>
        </w:tc>
        <w:tc>
          <w:tcPr>
            <w:tcW w:w="3171" w:type="dxa"/>
            <w:tcBorders>
              <w:left w:val="single" w:sz="4" w:space="0" w:color="000000"/>
              <w:bottom w:val="single" w:sz="4" w:space="0" w:color="000000"/>
            </w:tcBorders>
          </w:tcPr>
          <w:p>
            <w:pPr>
              <w:pStyle w:val="Normal"/>
              <w:widowControl w:val="false"/>
              <w:suppressAutoHyphens w:val="false"/>
              <w:jc w:val="center"/>
              <w:rPr>
                <w:b/>
                <w:sz w:val="20"/>
                <w:szCs w:val="20"/>
              </w:rPr>
            </w:pPr>
            <w:r>
              <w:rPr>
                <w:b/>
                <w:sz w:val="20"/>
                <w:szCs w:val="20"/>
              </w:rPr>
              <w:t>4</w:t>
            </w:r>
          </w:p>
        </w:tc>
        <w:tc>
          <w:tcPr>
            <w:tcW w:w="1305" w:type="dxa"/>
            <w:tcBorders>
              <w:left w:val="single" w:sz="4" w:space="0" w:color="000000"/>
              <w:bottom w:val="single" w:sz="4" w:space="0" w:color="000000"/>
              <w:right w:val="single" w:sz="4" w:space="0" w:color="000000"/>
            </w:tcBorders>
          </w:tcPr>
          <w:p>
            <w:pPr>
              <w:pStyle w:val="Normal"/>
              <w:widowControl w:val="false"/>
              <w:suppressAutoHyphens w:val="false"/>
              <w:jc w:val="center"/>
              <w:rPr>
                <w:b/>
                <w:sz w:val="20"/>
                <w:szCs w:val="20"/>
              </w:rPr>
            </w:pPr>
            <w:r>
              <w:rPr>
                <w:b/>
                <w:sz w:val="20"/>
                <w:szCs w:val="20"/>
              </w:rPr>
              <w:t>5</w:t>
            </w:r>
          </w:p>
        </w:tc>
      </w:tr>
      <w:tr>
        <w:trPr>
          <w:trHeight w:val="881" w:hRule="atLeast"/>
        </w:trPr>
        <w:tc>
          <w:tcPr>
            <w:tcW w:w="554" w:type="dxa"/>
            <w:tcBorders>
              <w:left w:val="single" w:sz="4" w:space="0" w:color="000000"/>
              <w:bottom w:val="single" w:sz="4" w:space="0" w:color="000000"/>
            </w:tcBorders>
          </w:tcPr>
          <w:p>
            <w:pPr>
              <w:pStyle w:val="ListParagraph"/>
              <w:widowControl w:val="false"/>
              <w:suppressAutoHyphens w:val="false"/>
              <w:ind w:left="0" w:right="0" w:hanging="0"/>
              <w:rPr>
                <w:sz w:val="24"/>
                <w:szCs w:val="24"/>
              </w:rPr>
            </w:pPr>
            <w:r>
              <w:rPr>
                <w:sz w:val="24"/>
                <w:szCs w:val="24"/>
              </w:rPr>
              <w:t>1</w:t>
            </w:r>
          </w:p>
        </w:tc>
        <w:tc>
          <w:tcPr>
            <w:tcW w:w="2454" w:type="dxa"/>
            <w:tcBorders>
              <w:left w:val="single" w:sz="4" w:space="0" w:color="000000"/>
              <w:bottom w:val="single" w:sz="4" w:space="0" w:color="000000"/>
            </w:tcBorders>
          </w:tcPr>
          <w:p>
            <w:pPr>
              <w:pStyle w:val="Normal"/>
              <w:widowControl w:val="false"/>
              <w:suppressAutoHyphens w:val="false"/>
              <w:jc w:val="center"/>
              <w:rPr>
                <w:iCs/>
                <w:sz w:val="24"/>
                <w:szCs w:val="24"/>
              </w:rPr>
            </w:pPr>
            <w:r>
              <w:rPr>
                <w:iCs/>
                <w:sz w:val="24"/>
                <w:szCs w:val="24"/>
              </w:rPr>
              <w:t>Филиал ПАО «РусГидро» - «Каскад Кубанских ГЭС».</w:t>
            </w:r>
          </w:p>
        </w:tc>
        <w:tc>
          <w:tcPr>
            <w:tcW w:w="2714" w:type="dxa"/>
            <w:tcBorders>
              <w:left w:val="single" w:sz="4" w:space="0" w:color="000000"/>
              <w:bottom w:val="single" w:sz="4" w:space="0" w:color="000000"/>
            </w:tcBorders>
          </w:tcPr>
          <w:p>
            <w:pPr>
              <w:pStyle w:val="Normal"/>
              <w:widowControl w:val="false"/>
              <w:suppressAutoHyphens w:val="false"/>
              <w:jc w:val="center"/>
              <w:rPr>
                <w:iCs/>
                <w:sz w:val="24"/>
                <w:szCs w:val="24"/>
              </w:rPr>
            </w:pPr>
            <w:r>
              <w:rPr>
                <w:iCs/>
                <w:sz w:val="24"/>
                <w:szCs w:val="24"/>
              </w:rPr>
              <w:t>Ставропольский край, г. Невинномысск, ул. Во</w:t>
              <w:softHyphen/>
              <w:t>допроводная 360а</w:t>
            </w:r>
          </w:p>
        </w:tc>
        <w:tc>
          <w:tcPr>
            <w:tcW w:w="3171" w:type="dxa"/>
            <w:tcBorders>
              <w:left w:val="single" w:sz="4" w:space="0" w:color="000000"/>
              <w:bottom w:val="single" w:sz="4" w:space="0" w:color="000000"/>
            </w:tcBorders>
          </w:tcPr>
          <w:p>
            <w:pPr>
              <w:pStyle w:val="Normal"/>
              <w:widowControl w:val="false"/>
              <w:suppressAutoHyphens w:val="false"/>
              <w:jc w:val="center"/>
              <w:rPr>
                <w:iCs/>
                <w:sz w:val="24"/>
                <w:szCs w:val="24"/>
              </w:rPr>
            </w:pPr>
            <w:r>
              <w:rPr>
                <w:iCs/>
                <w:sz w:val="24"/>
                <w:szCs w:val="24"/>
              </w:rPr>
              <w:t>Список проверяемого обору</w:t>
              <w:softHyphen/>
              <w:t>дования приложение № 3</w:t>
            </w:r>
          </w:p>
        </w:tc>
        <w:tc>
          <w:tcPr>
            <w:tcW w:w="1305" w:type="dxa"/>
            <w:tcBorders>
              <w:left w:val="single" w:sz="4" w:space="0" w:color="000000"/>
              <w:bottom w:val="single" w:sz="4" w:space="0" w:color="000000"/>
              <w:right w:val="single" w:sz="4" w:space="0" w:color="000000"/>
            </w:tcBorders>
          </w:tcPr>
          <w:p>
            <w:pPr>
              <w:pStyle w:val="Normal"/>
              <w:widowControl w:val="false"/>
              <w:suppressAutoHyphens w:val="false"/>
              <w:jc w:val="center"/>
              <w:rPr>
                <w:iCs/>
                <w:sz w:val="24"/>
                <w:szCs w:val="24"/>
              </w:rPr>
            </w:pPr>
            <w:r>
              <w:rPr>
                <w:iCs/>
                <w:sz w:val="24"/>
                <w:szCs w:val="24"/>
              </w:rPr>
            </w:r>
          </w:p>
        </w:tc>
      </w:tr>
    </w:tbl>
    <w:p>
      <w:pPr>
        <w:pStyle w:val="Heading1"/>
        <w:keepLines/>
        <w:numPr>
          <w:ilvl w:val="0"/>
          <w:numId w:val="3"/>
        </w:numPr>
        <w:ind w:left="357" w:right="0" w:hanging="357"/>
        <w:jc w:val="center"/>
        <w:rPr>
          <w:iCs/>
          <w:caps/>
          <w:lang w:val="ru-RU"/>
        </w:rPr>
      </w:pPr>
      <w:bookmarkStart w:id="15" w:name="__RefHeading___Toc17101_3859023711"/>
      <w:bookmarkStart w:id="16" w:name="_Toc51339693"/>
      <w:bookmarkStart w:id="17" w:name="_Toc54643702"/>
      <w:bookmarkStart w:id="18" w:name="_Toc50125126"/>
      <w:bookmarkEnd w:id="15"/>
      <w:bookmarkEnd w:id="18"/>
      <w:r>
        <w:rPr>
          <w:iCs/>
          <w:lang w:val="ru-RU"/>
        </w:rPr>
        <w:t>Требования</w:t>
      </w:r>
      <w:r>
        <w:rPr>
          <w:iCs/>
        </w:rPr>
        <w:t xml:space="preserve"> к продукции</w:t>
      </w:r>
      <w:bookmarkEnd w:id="16"/>
      <w:bookmarkEnd w:id="17"/>
    </w:p>
    <w:p>
      <w:pPr>
        <w:pStyle w:val="Heading4"/>
        <w:numPr>
          <w:ilvl w:val="1"/>
          <w:numId w:val="3"/>
        </w:numPr>
        <w:rPr/>
      </w:pPr>
      <w:bookmarkStart w:id="19" w:name="__RefHeading___Toc17103_3859023711"/>
      <w:bookmarkStart w:id="20" w:name="_Toc54643703"/>
      <w:bookmarkEnd w:id="19"/>
      <w:r>
        <w:rPr/>
        <w:t xml:space="preserve">Требования к объемам и срокам </w:t>
      </w:r>
      <w:r>
        <w:rPr>
          <w:lang w:val="ru-RU"/>
        </w:rPr>
        <w:t>оказания услуг</w:t>
      </w:r>
      <w:bookmarkEnd w:id="20"/>
    </w:p>
    <w:p>
      <w:pPr>
        <w:pStyle w:val="Heading3"/>
        <w:numPr>
          <w:ilvl w:val="2"/>
          <w:numId w:val="3"/>
        </w:numPr>
        <w:rPr>
          <w:lang w:val="ru-RU"/>
        </w:rPr>
      </w:pPr>
      <w:bookmarkStart w:id="21" w:name="__RefHeading___Toc17105_3859023711"/>
      <w:bookmarkStart w:id="22" w:name="_Toc54643704"/>
      <w:bookmarkEnd w:id="21"/>
      <w:r>
        <w:rPr>
          <w:lang w:val="ru-RU"/>
        </w:rPr>
        <w:t>Требования к перечню и объему услуг</w:t>
      </w:r>
      <w:bookmarkEnd w:id="22"/>
    </w:p>
    <w:p>
      <w:pPr>
        <w:pStyle w:val="Heading1"/>
        <w:keepLines/>
        <w:numPr>
          <w:ilvl w:val="0"/>
          <w:numId w:val="0"/>
        </w:numPr>
        <w:spacing w:before="240" w:after="60"/>
        <w:ind w:left="0" w:right="0" w:hanging="0"/>
        <w:rPr>
          <w:sz w:val="24"/>
          <w:szCs w:val="24"/>
          <w:lang w:val="ru-RU"/>
        </w:rPr>
      </w:pPr>
      <w:bookmarkStart w:id="23" w:name="__RefHeading___Toc17107_3859023711"/>
      <w:bookmarkStart w:id="24" w:name="_Toc54643705"/>
      <w:bookmarkStart w:id="25" w:name="_Toc51339695"/>
      <w:bookmarkEnd w:id="23"/>
      <w:r>
        <w:rPr>
          <w:sz w:val="24"/>
          <w:szCs w:val="24"/>
        </w:rPr>
        <w:t xml:space="preserve">Таблица </w:t>
      </w:r>
      <w:r>
        <w:rPr>
          <w:sz w:val="24"/>
          <w:szCs w:val="24"/>
          <w:lang w:val="ru-RU"/>
        </w:rPr>
        <w:t>2.</w:t>
      </w:r>
      <w:r>
        <w:rPr>
          <w:sz w:val="24"/>
          <w:szCs w:val="24"/>
        </w:rPr>
        <w:t xml:space="preserve"> </w:t>
      </w:r>
      <w:r>
        <w:rPr>
          <w:sz w:val="24"/>
          <w:szCs w:val="24"/>
          <w:lang w:val="ru-RU"/>
        </w:rPr>
        <w:t xml:space="preserve">Перечень </w:t>
      </w:r>
      <w:bookmarkEnd w:id="25"/>
      <w:r>
        <w:rPr>
          <w:sz w:val="24"/>
          <w:szCs w:val="24"/>
          <w:lang w:val="ru-RU"/>
        </w:rPr>
        <w:t>и объем оказываемых услуг</w:t>
      </w:r>
      <w:bookmarkEnd w:id="24"/>
    </w:p>
    <w:tbl>
      <w:tblPr>
        <w:tblW w:w="10198" w:type="dxa"/>
        <w:jc w:val="left"/>
        <w:tblInd w:w="-5" w:type="dxa"/>
        <w:tblLayout w:type="fixed"/>
        <w:tblCellMar>
          <w:top w:w="0" w:type="dxa"/>
          <w:left w:w="51" w:type="dxa"/>
          <w:bottom w:w="0" w:type="dxa"/>
          <w:right w:w="51" w:type="dxa"/>
        </w:tblCellMar>
      </w:tblPr>
      <w:tblGrid>
        <w:gridCol w:w="603"/>
        <w:gridCol w:w="6825"/>
        <w:gridCol w:w="1352"/>
        <w:gridCol w:w="1417"/>
      </w:tblGrid>
      <w:tr>
        <w:trPr>
          <w:tblHeader w:val="true"/>
        </w:trPr>
        <w:tc>
          <w:tcPr>
            <w:tcW w:w="603"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4"/>
                <w:szCs w:val="24"/>
              </w:rPr>
            </w:pPr>
            <w:r>
              <w:rPr>
                <w:sz w:val="24"/>
                <w:szCs w:val="24"/>
              </w:rPr>
              <w:t>№</w:t>
            </w:r>
          </w:p>
          <w:p>
            <w:pPr>
              <w:pStyle w:val="Normal"/>
              <w:keepNext w:val="true"/>
              <w:widowControl w:val="false"/>
              <w:jc w:val="center"/>
              <w:rPr>
                <w:sz w:val="24"/>
                <w:szCs w:val="24"/>
              </w:rPr>
            </w:pPr>
            <w:r>
              <w:rPr>
                <w:sz w:val="24"/>
                <w:szCs w:val="24"/>
              </w:rPr>
              <w:t>п/п</w:t>
            </w:r>
          </w:p>
        </w:tc>
        <w:tc>
          <w:tcPr>
            <w:tcW w:w="6825"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4"/>
                <w:szCs w:val="24"/>
              </w:rPr>
            </w:pPr>
            <w:r>
              <w:rPr>
                <w:sz w:val="24"/>
                <w:szCs w:val="24"/>
              </w:rPr>
              <w:t>Наименование услуг / этапа услуг</w:t>
            </w:r>
          </w:p>
        </w:tc>
        <w:tc>
          <w:tcPr>
            <w:tcW w:w="1352"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Количество</w:t>
            </w:r>
          </w:p>
        </w:tc>
      </w:tr>
      <w:tr>
        <w:trPr>
          <w:tblHeader w:val="true"/>
        </w:trPr>
        <w:tc>
          <w:tcPr>
            <w:tcW w:w="603" w:type="dxa"/>
            <w:tcBorders>
              <w:left w:val="single" w:sz="4" w:space="0" w:color="000000"/>
              <w:bottom w:val="single" w:sz="4" w:space="0" w:color="000000"/>
            </w:tcBorders>
          </w:tcPr>
          <w:p>
            <w:pPr>
              <w:pStyle w:val="Normal"/>
              <w:widowControl w:val="false"/>
              <w:jc w:val="center"/>
              <w:rPr>
                <w:b/>
                <w:sz w:val="20"/>
                <w:szCs w:val="20"/>
              </w:rPr>
            </w:pPr>
            <w:r>
              <w:rPr>
                <w:b/>
                <w:sz w:val="20"/>
                <w:szCs w:val="20"/>
              </w:rPr>
              <w:t>1</w:t>
            </w:r>
          </w:p>
        </w:tc>
        <w:tc>
          <w:tcPr>
            <w:tcW w:w="6825" w:type="dxa"/>
            <w:tcBorders>
              <w:left w:val="single" w:sz="4" w:space="0" w:color="000000"/>
              <w:bottom w:val="single" w:sz="4" w:space="0" w:color="000000"/>
            </w:tcBorders>
          </w:tcPr>
          <w:p>
            <w:pPr>
              <w:pStyle w:val="Normal"/>
              <w:widowControl w:val="false"/>
              <w:jc w:val="center"/>
              <w:rPr>
                <w:b/>
                <w:sz w:val="20"/>
                <w:szCs w:val="20"/>
              </w:rPr>
            </w:pPr>
            <w:r>
              <w:rPr>
                <w:b/>
                <w:sz w:val="20"/>
                <w:szCs w:val="20"/>
              </w:rPr>
              <w:t>2</w:t>
            </w:r>
          </w:p>
        </w:tc>
        <w:tc>
          <w:tcPr>
            <w:tcW w:w="1352" w:type="dxa"/>
            <w:tcBorders>
              <w:left w:val="single" w:sz="4" w:space="0" w:color="000000"/>
              <w:bottom w:val="single" w:sz="4" w:space="0" w:color="000000"/>
            </w:tcBorders>
          </w:tcPr>
          <w:p>
            <w:pPr>
              <w:pStyle w:val="Normal"/>
              <w:widowControl w:val="false"/>
              <w:jc w:val="center"/>
              <w:rPr>
                <w:b/>
                <w:sz w:val="20"/>
                <w:szCs w:val="20"/>
              </w:rPr>
            </w:pPr>
            <w:r>
              <w:rPr>
                <w:b/>
                <w:sz w:val="20"/>
                <w:szCs w:val="20"/>
              </w:rPr>
              <w:t>3</w:t>
            </w:r>
          </w:p>
        </w:tc>
        <w:tc>
          <w:tcPr>
            <w:tcW w:w="1417" w:type="dxa"/>
            <w:tcBorders>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4</w:t>
            </w:r>
          </w:p>
        </w:tc>
      </w:tr>
      <w:tr>
        <w:trPr/>
        <w:tc>
          <w:tcPr>
            <w:tcW w:w="603" w:type="dxa"/>
            <w:vMerge w:val="restart"/>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t>1</w:t>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1 этап физик</w:t>
            </w:r>
            <w:r>
              <w:rPr>
                <w:sz w:val="24"/>
                <w:szCs w:val="24"/>
                <w:lang w:val="en-US"/>
              </w:rPr>
              <w:t>о-</w:t>
            </w:r>
            <w:r>
              <w:rPr>
                <w:sz w:val="24"/>
                <w:szCs w:val="24"/>
              </w:rPr>
              <w:t>химическ</w:t>
            </w:r>
            <w:r>
              <w:rPr>
                <w:sz w:val="24"/>
                <w:szCs w:val="24"/>
                <w:lang w:val="en-US"/>
              </w:rPr>
              <w:t>ого</w:t>
            </w:r>
            <w:r>
              <w:rPr>
                <w:sz w:val="24"/>
                <w:szCs w:val="24"/>
              </w:rPr>
              <w:t xml:space="preserve"> анализа</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w:t>
            </w:r>
          </w:p>
        </w:tc>
        <w:tc>
          <w:tcPr>
            <w:tcW w:w="1417" w:type="dxa"/>
            <w:tcBorders>
              <w:left w:val="single" w:sz="4" w:space="0" w:color="000000"/>
              <w:bottom w:val="single" w:sz="4" w:space="0" w:color="000000"/>
              <w:right w:val="single" w:sz="4" w:space="0" w:color="000000"/>
            </w:tcBorders>
          </w:tcPr>
          <w:p>
            <w:pPr>
              <w:pStyle w:val="Normal"/>
              <w:widowControl w:val="false"/>
              <w:jc w:val="center"/>
              <w:rPr/>
            </w:pPr>
            <w:r>
              <w:rPr/>
              <w:t>----</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Х1</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5</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t>Х2</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5</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ХАРГ</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2</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Х.тур.</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45</w:t>
            </w:r>
          </w:p>
        </w:tc>
      </w:tr>
      <w:tr>
        <w:trPr/>
        <w:tc>
          <w:tcPr>
            <w:tcW w:w="603" w:type="dxa"/>
            <w:vMerge w:val="restart"/>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t>2</w:t>
            </w:r>
          </w:p>
        </w:tc>
        <w:tc>
          <w:tcPr>
            <w:tcW w:w="6825" w:type="dxa"/>
            <w:tcBorders>
              <w:left w:val="single" w:sz="4" w:space="0" w:color="000000"/>
              <w:bottom w:val="single" w:sz="4" w:space="0" w:color="000000"/>
            </w:tcBorders>
          </w:tcPr>
          <w:p>
            <w:pPr>
              <w:pStyle w:val="Normal"/>
              <w:widowControl w:val="false"/>
              <w:rPr>
                <w:sz w:val="24"/>
                <w:szCs w:val="24"/>
                <w:lang w:val="en-US"/>
              </w:rPr>
            </w:pPr>
            <w:r>
              <w:rPr>
                <w:sz w:val="24"/>
                <w:szCs w:val="24"/>
              </w:rPr>
              <w:t>2 этап физик</w:t>
            </w:r>
            <w:r>
              <w:rPr>
                <w:sz w:val="24"/>
                <w:szCs w:val="24"/>
                <w:lang w:val="en-US"/>
              </w:rPr>
              <w:t>о-</w:t>
            </w:r>
            <w:r>
              <w:rPr>
                <w:sz w:val="24"/>
                <w:szCs w:val="24"/>
              </w:rPr>
              <w:t>химическ</w:t>
            </w:r>
            <w:r>
              <w:rPr>
                <w:sz w:val="24"/>
                <w:szCs w:val="24"/>
                <w:lang w:val="en-US"/>
              </w:rPr>
              <w:t>ого</w:t>
            </w:r>
            <w:r>
              <w:rPr>
                <w:sz w:val="24"/>
                <w:szCs w:val="24"/>
              </w:rPr>
              <w:t xml:space="preserve"> анализ</w:t>
            </w:r>
            <w:r>
              <w:rPr>
                <w:sz w:val="24"/>
                <w:szCs w:val="24"/>
                <w:lang w:val="en-US"/>
              </w:rPr>
              <w:t>а</w:t>
            </w:r>
          </w:p>
        </w:tc>
        <w:tc>
          <w:tcPr>
            <w:tcW w:w="1352" w:type="dxa"/>
            <w:tcBorders>
              <w:left w:val="single" w:sz="4" w:space="0" w:color="000000"/>
              <w:bottom w:val="single" w:sz="4" w:space="0" w:color="000000"/>
            </w:tcBorders>
            <w:vAlign w:val="center"/>
          </w:tcPr>
          <w:p>
            <w:pPr>
              <w:pStyle w:val="Normal"/>
              <w:widowControl w:val="false"/>
              <w:jc w:val="center"/>
              <w:rPr/>
            </w:pPr>
            <w:r>
              <w:rPr/>
              <w:t>---</w:t>
            </w:r>
          </w:p>
        </w:tc>
        <w:tc>
          <w:tcPr>
            <w:tcW w:w="1417" w:type="dxa"/>
            <w:tcBorders>
              <w:left w:val="single" w:sz="4" w:space="0" w:color="000000"/>
              <w:bottom w:val="single" w:sz="4" w:space="0" w:color="000000"/>
              <w:right w:val="single" w:sz="4" w:space="0" w:color="000000"/>
            </w:tcBorders>
          </w:tcPr>
          <w:p>
            <w:pPr>
              <w:pStyle w:val="Normal"/>
              <w:widowControl w:val="false"/>
              <w:jc w:val="center"/>
              <w:rPr/>
            </w:pPr>
            <w:r>
              <w:rPr/>
              <w:t>----</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Х1</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7</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ХАРГ</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31</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Х.тур.</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40</w:t>
            </w:r>
          </w:p>
        </w:tc>
      </w:tr>
      <w:tr>
        <w:trPr/>
        <w:tc>
          <w:tcPr>
            <w:tcW w:w="603" w:type="dxa"/>
            <w:vMerge w:val="restart"/>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t>3</w:t>
            </w:r>
          </w:p>
        </w:tc>
        <w:tc>
          <w:tcPr>
            <w:tcW w:w="6825" w:type="dxa"/>
            <w:tcBorders>
              <w:left w:val="single" w:sz="4" w:space="0" w:color="000000"/>
              <w:bottom w:val="single" w:sz="4" w:space="0" w:color="000000"/>
            </w:tcBorders>
          </w:tcPr>
          <w:p>
            <w:pPr>
              <w:pStyle w:val="Normal"/>
              <w:widowControl w:val="false"/>
              <w:rPr>
                <w:sz w:val="24"/>
                <w:szCs w:val="24"/>
                <w:lang w:val="en-US"/>
              </w:rPr>
            </w:pPr>
            <w:r>
              <w:rPr>
                <w:sz w:val="24"/>
                <w:szCs w:val="24"/>
              </w:rPr>
              <w:t>3 этап физико-химическ</w:t>
            </w:r>
            <w:r>
              <w:rPr>
                <w:sz w:val="24"/>
                <w:szCs w:val="24"/>
                <w:lang w:val="en-US"/>
              </w:rPr>
              <w:t>ого</w:t>
            </w:r>
            <w:r>
              <w:rPr>
                <w:sz w:val="24"/>
                <w:szCs w:val="24"/>
              </w:rPr>
              <w:t xml:space="preserve"> анализ</w:t>
            </w:r>
            <w:r>
              <w:rPr>
                <w:sz w:val="24"/>
                <w:szCs w:val="24"/>
                <w:lang w:val="en-US"/>
              </w:rPr>
              <w:t>а</w:t>
            </w:r>
          </w:p>
        </w:tc>
        <w:tc>
          <w:tcPr>
            <w:tcW w:w="1352" w:type="dxa"/>
            <w:tcBorders>
              <w:left w:val="single" w:sz="4" w:space="0" w:color="000000"/>
              <w:bottom w:val="single" w:sz="4" w:space="0" w:color="000000"/>
            </w:tcBorders>
            <w:vAlign w:val="center"/>
          </w:tcPr>
          <w:p>
            <w:pPr>
              <w:pStyle w:val="Normal"/>
              <w:widowControl w:val="false"/>
              <w:jc w:val="center"/>
              <w:rPr/>
            </w:pPr>
            <w:r>
              <w:rPr/>
              <w:t>---</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t>----</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Х1</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8</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Х2</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6</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ХАРГ</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0</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Х.тур.</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73</w:t>
            </w:r>
          </w:p>
        </w:tc>
      </w:tr>
      <w:tr>
        <w:trPr/>
        <w:tc>
          <w:tcPr>
            <w:tcW w:w="603" w:type="dxa"/>
            <w:vMerge w:val="restart"/>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t>4</w:t>
            </w:r>
          </w:p>
        </w:tc>
        <w:tc>
          <w:tcPr>
            <w:tcW w:w="6825" w:type="dxa"/>
            <w:tcBorders>
              <w:left w:val="single" w:sz="4" w:space="0" w:color="000000"/>
              <w:bottom w:val="single" w:sz="4" w:space="0" w:color="000000"/>
            </w:tcBorders>
          </w:tcPr>
          <w:p>
            <w:pPr>
              <w:pStyle w:val="Normal"/>
              <w:widowControl w:val="false"/>
              <w:rPr>
                <w:sz w:val="24"/>
                <w:szCs w:val="24"/>
                <w:lang w:val="en-US"/>
              </w:rPr>
            </w:pPr>
            <w:r>
              <w:rPr>
                <w:sz w:val="24"/>
                <w:szCs w:val="24"/>
              </w:rPr>
              <w:t>4 этап физико-химическ</w:t>
            </w:r>
            <w:r>
              <w:rPr>
                <w:sz w:val="24"/>
                <w:szCs w:val="24"/>
                <w:lang w:val="en-US"/>
              </w:rPr>
              <w:t>ого</w:t>
            </w:r>
            <w:r>
              <w:rPr>
                <w:sz w:val="24"/>
                <w:szCs w:val="24"/>
              </w:rPr>
              <w:t xml:space="preserve"> анализ</w:t>
            </w:r>
            <w:r>
              <w:rPr>
                <w:sz w:val="24"/>
                <w:szCs w:val="24"/>
                <w:lang w:val="en-US"/>
              </w:rPr>
              <w:t>а</w:t>
            </w:r>
          </w:p>
        </w:tc>
        <w:tc>
          <w:tcPr>
            <w:tcW w:w="1352" w:type="dxa"/>
            <w:tcBorders>
              <w:left w:val="single" w:sz="4" w:space="0" w:color="000000"/>
              <w:bottom w:val="single" w:sz="4" w:space="0" w:color="000000"/>
            </w:tcBorders>
            <w:vAlign w:val="center"/>
          </w:tcPr>
          <w:p>
            <w:pPr>
              <w:pStyle w:val="Normal"/>
              <w:widowControl w:val="false"/>
              <w:jc w:val="center"/>
              <w:rPr/>
            </w:pPr>
            <w:r>
              <w:rPr/>
              <w:t>---</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t>----</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ХАРГ</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31</w:t>
            </w:r>
          </w:p>
        </w:tc>
      </w:tr>
      <w:tr>
        <w:trPr/>
        <w:tc>
          <w:tcPr>
            <w:tcW w:w="603" w:type="dxa"/>
            <w:vMerge w:val="continue"/>
            <w:tcBorders>
              <w:left w:val="single" w:sz="4" w:space="0" w:color="000000"/>
              <w:bottom w:val="single" w:sz="4" w:space="0" w:color="000000"/>
            </w:tcBorders>
          </w:tcPr>
          <w:p>
            <w:pPr>
              <w:pStyle w:val="ListParagraph"/>
              <w:widowControl w:val="false"/>
              <w:numPr>
                <w:ilvl w:val="0"/>
                <w:numId w:val="0"/>
              </w:numPr>
              <w:ind w:left="0" w:right="0" w:hanging="0"/>
              <w:jc w:val="center"/>
              <w:rPr>
                <w:sz w:val="24"/>
                <w:szCs w:val="24"/>
              </w:rPr>
            </w:pPr>
            <w:r>
              <w:rPr>
                <w:sz w:val="24"/>
                <w:szCs w:val="24"/>
              </w:rPr>
            </w:r>
          </w:p>
        </w:tc>
        <w:tc>
          <w:tcPr>
            <w:tcW w:w="6825" w:type="dxa"/>
            <w:tcBorders>
              <w:left w:val="single" w:sz="4" w:space="0" w:color="000000"/>
              <w:bottom w:val="single" w:sz="4" w:space="0" w:color="000000"/>
            </w:tcBorders>
          </w:tcPr>
          <w:p>
            <w:pPr>
              <w:pStyle w:val="Normal"/>
              <w:widowControl w:val="false"/>
              <w:rPr>
                <w:sz w:val="24"/>
                <w:szCs w:val="24"/>
              </w:rPr>
            </w:pPr>
            <w:r>
              <w:rPr>
                <w:sz w:val="24"/>
                <w:szCs w:val="24"/>
              </w:rPr>
              <w:t>Х.тур.</w:t>
            </w:r>
          </w:p>
        </w:tc>
        <w:tc>
          <w:tcPr>
            <w:tcW w:w="1352" w:type="dxa"/>
            <w:tcBorders>
              <w:left w:val="single" w:sz="4" w:space="0" w:color="000000"/>
              <w:bottom w:val="single" w:sz="4" w:space="0" w:color="000000"/>
            </w:tcBorders>
            <w:vAlign w:val="center"/>
          </w:tcPr>
          <w:p>
            <w:pPr>
              <w:pStyle w:val="Normal"/>
              <w:widowControl w:val="false"/>
              <w:jc w:val="center"/>
              <w:rPr>
                <w:sz w:val="24"/>
                <w:szCs w:val="24"/>
              </w:rPr>
            </w:pPr>
            <w:r>
              <w:rPr>
                <w:sz w:val="24"/>
                <w:szCs w:val="24"/>
              </w:rPr>
              <w:t>(шт.)</w:t>
            </w:r>
          </w:p>
        </w:tc>
        <w:tc>
          <w:tcPr>
            <w:tcW w:w="1417" w:type="dxa"/>
            <w:tcBorders>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66</w:t>
            </w:r>
          </w:p>
        </w:tc>
      </w:tr>
    </w:tbl>
    <w:p>
      <w:pPr>
        <w:pStyle w:val="Heading3"/>
        <w:numPr>
          <w:ilvl w:val="2"/>
          <w:numId w:val="3"/>
        </w:numPr>
        <w:rPr>
          <w:lang w:val="ru-RU"/>
        </w:rPr>
      </w:pPr>
      <w:bookmarkStart w:id="26" w:name="__RefHeading___Toc17109_3859023711"/>
      <w:bookmarkStart w:id="27" w:name="_Toc54643706"/>
      <w:bookmarkStart w:id="28" w:name="_Toc51339696"/>
      <w:bookmarkEnd w:id="26"/>
      <w:r>
        <w:rPr>
          <w:lang w:val="ru-RU"/>
        </w:rPr>
        <w:t xml:space="preserve">Требования </w:t>
      </w:r>
      <w:bookmarkEnd w:id="28"/>
      <w:r>
        <w:rPr>
          <w:lang w:val="ru-RU"/>
        </w:rPr>
        <w:t>к срокам оказания услуг</w:t>
      </w:r>
      <w:bookmarkEnd w:id="27"/>
    </w:p>
    <w:p>
      <w:pPr>
        <w:pStyle w:val="Heading1"/>
        <w:keepLines/>
        <w:numPr>
          <w:ilvl w:val="0"/>
          <w:numId w:val="0"/>
        </w:numPr>
        <w:spacing w:before="240" w:after="60"/>
        <w:ind w:left="0" w:right="0" w:hanging="0"/>
        <w:rPr>
          <w:sz w:val="24"/>
          <w:szCs w:val="24"/>
          <w:lang w:val="ru-RU"/>
        </w:rPr>
      </w:pPr>
      <w:bookmarkStart w:id="29" w:name="__RefHeading___Toc17111_3859023711"/>
      <w:bookmarkStart w:id="30" w:name="_Toc54643707"/>
      <w:bookmarkStart w:id="31" w:name="_Toc50125127"/>
      <w:bookmarkStart w:id="32" w:name="_Toc51339697"/>
      <w:bookmarkStart w:id="33" w:name="_Toc50125126_Копия_1"/>
      <w:bookmarkEnd w:id="29"/>
      <w:bookmarkEnd w:id="33"/>
      <w:r>
        <w:rPr>
          <w:sz w:val="24"/>
          <w:szCs w:val="24"/>
        </w:rPr>
        <w:t xml:space="preserve">Таблица </w:t>
      </w:r>
      <w:r>
        <w:rPr>
          <w:sz w:val="24"/>
          <w:szCs w:val="24"/>
          <w:lang w:val="ru-RU"/>
        </w:rPr>
        <w:t>3</w:t>
      </w:r>
      <w:r>
        <w:rPr>
          <w:sz w:val="24"/>
          <w:szCs w:val="24"/>
        </w:rPr>
        <w:t xml:space="preserve">. </w:t>
      </w:r>
      <w:bookmarkStart w:id="34" w:name="_Hlk50465284"/>
      <w:r>
        <w:rPr>
          <w:sz w:val="24"/>
          <w:szCs w:val="24"/>
        </w:rPr>
        <w:t xml:space="preserve">Требования </w:t>
      </w:r>
      <w:r>
        <w:rPr>
          <w:sz w:val="24"/>
          <w:szCs w:val="24"/>
          <w:lang w:val="ru-RU"/>
        </w:rPr>
        <w:t>к</w:t>
      </w:r>
      <w:r>
        <w:rPr>
          <w:sz w:val="24"/>
          <w:szCs w:val="24"/>
        </w:rPr>
        <w:t xml:space="preserve"> срокам </w:t>
      </w:r>
      <w:bookmarkEnd w:id="31"/>
      <w:bookmarkEnd w:id="32"/>
      <w:bookmarkEnd w:id="34"/>
      <w:r>
        <w:rPr>
          <w:sz w:val="24"/>
          <w:szCs w:val="24"/>
          <w:lang w:val="ru-RU"/>
        </w:rPr>
        <w:t>оказания услуг</w:t>
      </w:r>
      <w:bookmarkEnd w:id="30"/>
    </w:p>
    <w:tbl>
      <w:tblPr>
        <w:tblW w:w="10144" w:type="dxa"/>
        <w:jc w:val="left"/>
        <w:tblInd w:w="9" w:type="dxa"/>
        <w:tblLayout w:type="fixed"/>
        <w:tblCellMar>
          <w:top w:w="0" w:type="dxa"/>
          <w:left w:w="108" w:type="dxa"/>
          <w:bottom w:w="0" w:type="dxa"/>
          <w:right w:w="108" w:type="dxa"/>
        </w:tblCellMar>
      </w:tblPr>
      <w:tblGrid>
        <w:gridCol w:w="4079"/>
        <w:gridCol w:w="2944"/>
        <w:gridCol w:w="3121"/>
      </w:tblGrid>
      <w:tr>
        <w:trPr/>
        <w:tc>
          <w:tcPr>
            <w:tcW w:w="40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Наименование услуг/ этапа услуг</w:t>
            </w:r>
          </w:p>
        </w:tc>
        <w:tc>
          <w:tcPr>
            <w:tcW w:w="29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Требования к началу срока оказания услуг/ этапа услуг</w:t>
            </w:r>
          </w:p>
        </w:tc>
        <w:tc>
          <w:tcPr>
            <w:tcW w:w="3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оказания услуг / эта</w:t>
              <w:softHyphen/>
              <w:t>па услуг</w:t>
            </w:r>
          </w:p>
        </w:tc>
      </w:tr>
      <w:tr>
        <w:trPr/>
        <w:tc>
          <w:tcPr>
            <w:tcW w:w="407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0"/>
                <w:szCs w:val="20"/>
              </w:rPr>
            </w:pPr>
            <w:r>
              <w:rPr>
                <w:b/>
                <w:sz w:val="20"/>
                <w:szCs w:val="20"/>
              </w:rPr>
              <w:t>2</w:t>
            </w:r>
          </w:p>
        </w:tc>
        <w:tc>
          <w:tcPr>
            <w:tcW w:w="2944"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b/>
                <w:sz w:val="20"/>
                <w:szCs w:val="20"/>
              </w:rPr>
            </w:pPr>
            <w:r>
              <w:rPr>
                <w:b/>
                <w:sz w:val="20"/>
                <w:szCs w:val="20"/>
              </w:rPr>
              <w:t>3</w:t>
            </w:r>
          </w:p>
        </w:tc>
        <w:tc>
          <w:tcPr>
            <w:tcW w:w="3121" w:type="dxa"/>
            <w:tcBorders>
              <w:top w:val="single" w:sz="4" w:space="0" w:color="000000"/>
              <w:left w:val="single" w:sz="4" w:space="0" w:color="000000"/>
              <w:bottom w:val="single" w:sz="4" w:space="0" w:color="000000"/>
              <w:right w:val="single" w:sz="4" w:space="0" w:color="000000"/>
            </w:tcBorders>
          </w:tcPr>
          <w:p>
            <w:pPr>
              <w:pStyle w:val="Style30"/>
              <w:keepNext w:val="false"/>
              <w:widowControl w:val="false"/>
              <w:spacing w:before="40" w:after="40"/>
              <w:jc w:val="center"/>
              <w:rPr>
                <w:b/>
                <w:sz w:val="20"/>
                <w:szCs w:val="20"/>
              </w:rPr>
            </w:pPr>
            <w:r>
              <w:rPr>
                <w:b/>
                <w:sz w:val="20"/>
                <w:szCs w:val="20"/>
              </w:rPr>
              <w:t>4</w:t>
            </w:r>
          </w:p>
        </w:tc>
      </w:tr>
      <w:tr>
        <w:trPr/>
        <w:tc>
          <w:tcPr>
            <w:tcW w:w="4079"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rPr/>
            </w:pPr>
            <w:r>
              <w:rPr/>
              <w:t>1 этап физико-химического анали</w:t>
              <w:softHyphen/>
              <w:t>за</w:t>
            </w:r>
          </w:p>
        </w:tc>
        <w:tc>
          <w:tcPr>
            <w:tcW w:w="2944"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rPr/>
            </w:pPr>
            <w:r>
              <w:rPr/>
              <w:t>01.01.2027</w:t>
            </w:r>
          </w:p>
        </w:tc>
        <w:tc>
          <w:tcPr>
            <w:tcW w:w="3121"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rPr/>
            </w:pPr>
            <w:r>
              <w:rPr/>
              <w:t>31.03.2027</w:t>
            </w:r>
          </w:p>
        </w:tc>
      </w:tr>
      <w:tr>
        <w:trPr/>
        <w:tc>
          <w:tcPr>
            <w:tcW w:w="4079" w:type="dxa"/>
            <w:tcBorders>
              <w:left w:val="single" w:sz="4" w:space="0" w:color="000000"/>
              <w:bottom w:val="single" w:sz="4" w:space="0" w:color="000000"/>
              <w:right w:val="single" w:sz="4" w:space="0" w:color="000000"/>
            </w:tcBorders>
            <w:vAlign w:val="center"/>
          </w:tcPr>
          <w:p>
            <w:pPr>
              <w:pStyle w:val="Standard"/>
              <w:widowControl w:val="false"/>
              <w:rPr/>
            </w:pPr>
            <w:r>
              <w:rPr/>
              <w:t>2 этап физико-химического анали</w:t>
              <w:softHyphen/>
              <w:t>за</w:t>
            </w:r>
          </w:p>
        </w:tc>
        <w:tc>
          <w:tcPr>
            <w:tcW w:w="2944" w:type="dxa"/>
            <w:tcBorders>
              <w:left w:val="single" w:sz="4" w:space="0" w:color="000000"/>
              <w:bottom w:val="single" w:sz="4" w:space="0" w:color="000000"/>
              <w:right w:val="single" w:sz="4" w:space="0" w:color="000000"/>
            </w:tcBorders>
            <w:vAlign w:val="center"/>
          </w:tcPr>
          <w:p>
            <w:pPr>
              <w:pStyle w:val="Standard"/>
              <w:widowControl w:val="false"/>
              <w:rPr/>
            </w:pPr>
            <w:r>
              <w:rPr/>
              <w:t>01.04.2027</w:t>
            </w:r>
          </w:p>
        </w:tc>
        <w:tc>
          <w:tcPr>
            <w:tcW w:w="3121" w:type="dxa"/>
            <w:tcBorders>
              <w:left w:val="single" w:sz="4" w:space="0" w:color="000000"/>
              <w:bottom w:val="single" w:sz="4" w:space="0" w:color="000000"/>
              <w:right w:val="single" w:sz="4" w:space="0" w:color="000000"/>
            </w:tcBorders>
            <w:vAlign w:val="center"/>
          </w:tcPr>
          <w:p>
            <w:pPr>
              <w:pStyle w:val="Standard"/>
              <w:widowControl w:val="false"/>
              <w:rPr/>
            </w:pPr>
            <w:r>
              <w:rPr/>
              <w:t>30.06.2027</w:t>
            </w:r>
          </w:p>
        </w:tc>
      </w:tr>
      <w:tr>
        <w:trPr/>
        <w:tc>
          <w:tcPr>
            <w:tcW w:w="4079" w:type="dxa"/>
            <w:tcBorders>
              <w:left w:val="single" w:sz="4" w:space="0" w:color="000000"/>
              <w:bottom w:val="single" w:sz="4" w:space="0" w:color="000000"/>
              <w:right w:val="single" w:sz="4" w:space="0" w:color="000000"/>
            </w:tcBorders>
            <w:vAlign w:val="center"/>
          </w:tcPr>
          <w:p>
            <w:pPr>
              <w:pStyle w:val="Standard"/>
              <w:widowControl w:val="false"/>
              <w:rPr/>
            </w:pPr>
            <w:r>
              <w:rPr/>
              <w:t>3 этап физико-химического анали</w:t>
              <w:softHyphen/>
              <w:t>за</w:t>
            </w:r>
          </w:p>
        </w:tc>
        <w:tc>
          <w:tcPr>
            <w:tcW w:w="2944" w:type="dxa"/>
            <w:tcBorders>
              <w:left w:val="single" w:sz="4" w:space="0" w:color="000000"/>
              <w:bottom w:val="single" w:sz="4" w:space="0" w:color="000000"/>
              <w:right w:val="single" w:sz="4" w:space="0" w:color="000000"/>
            </w:tcBorders>
            <w:vAlign w:val="center"/>
          </w:tcPr>
          <w:p>
            <w:pPr>
              <w:pStyle w:val="Standard"/>
              <w:widowControl w:val="false"/>
              <w:rPr/>
            </w:pPr>
            <w:r>
              <w:rPr/>
              <w:t>01.07.2027</w:t>
            </w:r>
          </w:p>
        </w:tc>
        <w:tc>
          <w:tcPr>
            <w:tcW w:w="3121" w:type="dxa"/>
            <w:tcBorders>
              <w:left w:val="single" w:sz="4" w:space="0" w:color="000000"/>
              <w:bottom w:val="single" w:sz="4" w:space="0" w:color="000000"/>
              <w:right w:val="single" w:sz="4" w:space="0" w:color="000000"/>
            </w:tcBorders>
            <w:vAlign w:val="center"/>
          </w:tcPr>
          <w:p>
            <w:pPr>
              <w:pStyle w:val="Standard"/>
              <w:widowControl w:val="false"/>
              <w:rPr/>
            </w:pPr>
            <w:r>
              <w:rPr/>
              <w:t>30.09.2027</w:t>
            </w:r>
          </w:p>
        </w:tc>
      </w:tr>
      <w:tr>
        <w:trPr/>
        <w:tc>
          <w:tcPr>
            <w:tcW w:w="4079" w:type="dxa"/>
            <w:tcBorders>
              <w:left w:val="single" w:sz="4" w:space="0" w:color="000000"/>
              <w:bottom w:val="single" w:sz="4" w:space="0" w:color="000000"/>
              <w:right w:val="single" w:sz="4" w:space="0" w:color="000000"/>
            </w:tcBorders>
            <w:vAlign w:val="center"/>
          </w:tcPr>
          <w:p>
            <w:pPr>
              <w:pStyle w:val="Standard"/>
              <w:widowControl w:val="false"/>
              <w:suppressAutoHyphens w:val="true"/>
              <w:bidi w:val="0"/>
              <w:spacing w:before="0" w:after="0"/>
              <w:ind w:left="57" w:right="0" w:hanging="0"/>
              <w:jc w:val="left"/>
              <w:textAlignment w:val="baseline"/>
              <w:rPr/>
            </w:pPr>
            <w:r>
              <w:rPr/>
              <w:t>4 этап физико-химического анали</w:t>
              <w:softHyphen/>
              <w:t>за</w:t>
            </w:r>
          </w:p>
        </w:tc>
        <w:tc>
          <w:tcPr>
            <w:tcW w:w="2944" w:type="dxa"/>
            <w:tcBorders>
              <w:left w:val="single" w:sz="4" w:space="0" w:color="000000"/>
              <w:bottom w:val="single" w:sz="4" w:space="0" w:color="000000"/>
              <w:right w:val="single" w:sz="4" w:space="0" w:color="000000"/>
            </w:tcBorders>
            <w:vAlign w:val="center"/>
          </w:tcPr>
          <w:p>
            <w:pPr>
              <w:pStyle w:val="Standard"/>
              <w:widowControl w:val="false"/>
              <w:rPr/>
            </w:pPr>
            <w:r>
              <w:rPr/>
              <w:t>01.09.2027</w:t>
            </w:r>
          </w:p>
        </w:tc>
        <w:tc>
          <w:tcPr>
            <w:tcW w:w="3121" w:type="dxa"/>
            <w:tcBorders>
              <w:left w:val="single" w:sz="4" w:space="0" w:color="000000"/>
              <w:bottom w:val="single" w:sz="4" w:space="0" w:color="000000"/>
              <w:right w:val="single" w:sz="4" w:space="0" w:color="000000"/>
            </w:tcBorders>
            <w:vAlign w:val="center"/>
          </w:tcPr>
          <w:p>
            <w:pPr>
              <w:pStyle w:val="Standard"/>
              <w:widowControl w:val="false"/>
              <w:rPr/>
            </w:pPr>
            <w:r>
              <w:rPr/>
              <w:t>20.12.2027</w:t>
            </w:r>
          </w:p>
        </w:tc>
      </w:tr>
    </w:tbl>
    <w:p>
      <w:pPr>
        <w:sectPr>
          <w:headerReference w:type="default" r:id="rId6"/>
          <w:headerReference w:type="first" r:id="rId7"/>
          <w:type w:val="nextPage"/>
          <w:pgSz w:w="11906" w:h="16838"/>
          <w:pgMar w:left="1417" w:right="280" w:gutter="0" w:header="301" w:top="580" w:footer="0" w:bottom="267"/>
          <w:pgNumType w:fmt="decimal"/>
          <w:formProt w:val="false"/>
          <w:textDirection w:val="lrTb"/>
          <w:docGrid w:type="default" w:linePitch="360" w:charSpace="0"/>
        </w:sectPr>
      </w:pPr>
    </w:p>
    <w:p>
      <w:pPr>
        <w:pStyle w:val="Heading4"/>
        <w:numPr>
          <w:ilvl w:val="0"/>
          <w:numId w:val="0"/>
        </w:numPr>
        <w:spacing w:lineRule="auto" w:line="240" w:before="0" w:after="0"/>
        <w:ind w:left="0" w:right="0" w:hanging="0"/>
        <w:rPr/>
      </w:pPr>
      <w:bookmarkStart w:id="35" w:name="__RefHeading___Toc17113_3859023711"/>
      <w:bookmarkEnd w:id="35"/>
      <w:r>
        <w:rPr/>
        <w:t>2.2.</w:t>
        <w:tab/>
      </w:r>
      <w:bookmarkStart w:id="36" w:name="_Toc54643709"/>
      <w:bookmarkStart w:id="37" w:name="_Toc51339698"/>
      <w:bookmarkStart w:id="38" w:name="_Toc54643708"/>
      <w:bookmarkStart w:id="39" w:name="_Toc46743511"/>
      <w:r>
        <w:rPr/>
        <w:t xml:space="preserve">Требования к </w:t>
      </w:r>
      <w:bookmarkEnd w:id="39"/>
      <w:r>
        <w:rPr>
          <w:lang w:val="ru-RU"/>
        </w:rPr>
        <w:t xml:space="preserve">качеству </w:t>
      </w:r>
      <w:bookmarkEnd w:id="38"/>
      <w:r>
        <w:rPr>
          <w:lang w:val="ru-RU"/>
        </w:rPr>
        <w:t>продукции</w:t>
      </w:r>
    </w:p>
    <w:p>
      <w:pPr>
        <w:pStyle w:val="Heading1"/>
        <w:keepLines/>
        <w:numPr>
          <w:ilvl w:val="0"/>
          <w:numId w:val="0"/>
        </w:numPr>
        <w:spacing w:lineRule="auto" w:line="240" w:before="0" w:after="0"/>
        <w:ind w:left="0" w:right="0" w:hanging="0"/>
        <w:rPr/>
      </w:pPr>
      <w:bookmarkStart w:id="40" w:name="__RefHeading___Toc17115_3859023711"/>
      <w:bookmarkEnd w:id="40"/>
      <w:r>
        <w:rPr>
          <w:sz w:val="24"/>
          <w:szCs w:val="24"/>
        </w:rPr>
        <w:t>Таблица </w:t>
      </w:r>
      <w:r>
        <w:rPr>
          <w:sz w:val="24"/>
          <w:szCs w:val="24"/>
          <w:lang w:val="ru-RU"/>
        </w:rPr>
        <w:t>4</w:t>
      </w:r>
      <w:r>
        <w:rPr>
          <w:sz w:val="24"/>
          <w:szCs w:val="24"/>
        </w:rPr>
        <w:t xml:space="preserve">. Требования к </w:t>
      </w:r>
      <w:bookmarkEnd w:id="37"/>
      <w:r>
        <w:rPr>
          <w:sz w:val="24"/>
          <w:szCs w:val="24"/>
          <w:lang w:val="ru-RU"/>
        </w:rPr>
        <w:t xml:space="preserve">качеству </w:t>
      </w:r>
      <w:bookmarkEnd w:id="36"/>
      <w:r>
        <w:rPr>
          <w:sz w:val="24"/>
          <w:szCs w:val="24"/>
          <w:lang w:val="ru-RU"/>
        </w:rPr>
        <w:t>продукции</w:t>
      </w:r>
    </w:p>
    <w:p>
      <w:pPr>
        <w:pStyle w:val="Normal"/>
        <w:spacing w:lineRule="auto" w:line="240" w:before="0" w:after="0"/>
        <w:ind w:left="0" w:right="0" w:hanging="0"/>
        <w:rPr/>
      </w:pPr>
      <w:r>
        <w:rPr>
          <w:b/>
          <w:bCs/>
          <w:sz w:val="24"/>
          <w:szCs w:val="24"/>
        </w:rPr>
        <w:t>Наименование услуг/этапа услуг (позиция №1-4</w:t>
      </w:r>
      <w:r>
        <w:rPr>
          <w:rStyle w:val="Style8"/>
          <w:b w:val="false"/>
          <w:bCs/>
          <w:sz w:val="24"/>
          <w:szCs w:val="24"/>
          <w:shd w:fill="FFFFFF" w:val="clear"/>
        </w:rPr>
        <w:t xml:space="preserve"> </w:t>
      </w:r>
      <w:r>
        <w:rPr>
          <w:b/>
          <w:bCs/>
          <w:sz w:val="24"/>
          <w:szCs w:val="24"/>
        </w:rPr>
        <w:t xml:space="preserve">Таблицы 2): </w:t>
      </w:r>
      <w:r>
        <w:rPr>
          <w:rStyle w:val="Style8"/>
          <w:b/>
          <w:bCs/>
          <w:i w:val="false"/>
          <w:iCs w:val="false"/>
          <w:sz w:val="24"/>
          <w:szCs w:val="24"/>
          <w:shd w:fill="FFFFFF" w:val="clear"/>
        </w:rPr>
        <w:t xml:space="preserve"> </w:t>
      </w:r>
      <w:r>
        <w:rPr>
          <w:rStyle w:val="Style8"/>
          <w:rFonts w:eastAsia="Calibri"/>
          <w:b/>
          <w:bCs/>
          <w:i w:val="false"/>
          <w:iCs w:val="false"/>
          <w:sz w:val="24"/>
          <w:szCs w:val="24"/>
          <w:u w:val="none"/>
          <w:shd w:fill="FFFFFF" w:val="clear"/>
          <w:lang w:val="x-none" w:eastAsia="x-none"/>
        </w:rPr>
        <w:t>Услуги по анализу масел</w:t>
      </w:r>
    </w:p>
    <w:tbl>
      <w:tblPr>
        <w:tblW w:w="15507" w:type="dxa"/>
        <w:jc w:val="left"/>
        <w:tblInd w:w="-5" w:type="dxa"/>
        <w:tblLayout w:type="fixed"/>
        <w:tblCellMar>
          <w:top w:w="0" w:type="dxa"/>
          <w:left w:w="28" w:type="dxa"/>
          <w:bottom w:w="0" w:type="dxa"/>
          <w:right w:w="28" w:type="dxa"/>
        </w:tblCellMar>
      </w:tblPr>
      <w:tblGrid>
        <w:gridCol w:w="773"/>
        <w:gridCol w:w="2109"/>
        <w:gridCol w:w="6273"/>
        <w:gridCol w:w="1484"/>
        <w:gridCol w:w="2825"/>
        <w:gridCol w:w="2042"/>
      </w:tblGrid>
      <w:tr>
        <w:trPr/>
        <w:tc>
          <w:tcPr>
            <w:tcW w:w="773" w:type="dxa"/>
            <w:vMerge w:val="restart"/>
            <w:tcBorders>
              <w:top w:val="single" w:sz="4" w:space="0" w:color="000000"/>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2109" w:type="dxa"/>
            <w:vMerge w:val="restart"/>
            <w:tcBorders>
              <w:top w:val="single" w:sz="4" w:space="0" w:color="000000"/>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6273" w:type="dxa"/>
            <w:vMerge w:val="restart"/>
            <w:tcBorders>
              <w:top w:val="single" w:sz="4" w:space="0" w:color="000000"/>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c>
          <w:tcPr>
            <w:tcW w:w="4309" w:type="dxa"/>
            <w:gridSpan w:val="2"/>
            <w:tcBorders>
              <w:top w:val="single" w:sz="4" w:space="0" w:color="000000"/>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w:t>
              <w:softHyphen/>
              <w:t>ствия требованиям</w:t>
            </w:r>
          </w:p>
        </w:tc>
        <w:tc>
          <w:tcPr>
            <w:tcW w:w="20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Предложение участника по ха</w:t>
              <w:softHyphen/>
              <w:t>рактеристикам и параметрам</w:t>
            </w:r>
          </w:p>
        </w:tc>
      </w:tr>
      <w:tr>
        <w:trPr/>
        <w:tc>
          <w:tcPr>
            <w:tcW w:w="773" w:type="dxa"/>
            <w:vMerge w:val="continue"/>
            <w:tcBorders>
              <w:left w:val="single" w:sz="4" w:space="0" w:color="000000"/>
              <w:bottom w:val="single" w:sz="4" w:space="0" w:color="000000"/>
            </w:tcBorders>
            <w:vAlign w:val="center"/>
          </w:tcPr>
          <w:p>
            <w:pPr>
              <w:pStyle w:val="Normal"/>
              <w:widowControl w:val="false"/>
              <w:rPr/>
            </w:pPr>
            <w:r>
              <w:rPr/>
            </w:r>
          </w:p>
        </w:tc>
        <w:tc>
          <w:tcPr>
            <w:tcW w:w="2109" w:type="dxa"/>
            <w:vMerge w:val="continue"/>
            <w:tcBorders>
              <w:left w:val="single" w:sz="4" w:space="0" w:color="000000"/>
              <w:bottom w:val="single" w:sz="4" w:space="0" w:color="000000"/>
            </w:tcBorders>
            <w:vAlign w:val="center"/>
          </w:tcPr>
          <w:p>
            <w:pPr>
              <w:pStyle w:val="Normal"/>
              <w:widowControl w:val="false"/>
              <w:rPr/>
            </w:pPr>
            <w:r>
              <w:rPr/>
            </w:r>
          </w:p>
        </w:tc>
        <w:tc>
          <w:tcPr>
            <w:tcW w:w="6273" w:type="dxa"/>
            <w:vMerge w:val="continue"/>
            <w:tcBorders>
              <w:left w:val="single" w:sz="4" w:space="0" w:color="000000"/>
              <w:bottom w:val="single" w:sz="4" w:space="0" w:color="000000"/>
            </w:tcBorders>
            <w:vAlign w:val="center"/>
          </w:tcPr>
          <w:p>
            <w:pPr>
              <w:pStyle w:val="Normal"/>
              <w:widowControl w:val="false"/>
              <w:rPr/>
            </w:pPr>
            <w:r>
              <w:rPr/>
            </w:r>
          </w:p>
        </w:tc>
        <w:tc>
          <w:tcPr>
            <w:tcW w:w="1484" w:type="dxa"/>
            <w:tcBorders>
              <w:left w:val="single" w:sz="4" w:space="0" w:color="000000"/>
              <w:bottom w:val="single" w:sz="4" w:space="0" w:color="000000"/>
            </w:tcBorders>
            <w:vAlign w:val="center"/>
          </w:tcPr>
          <w:p>
            <w:pPr>
              <w:pStyle w:val="Normal"/>
              <w:widowControl w:val="false"/>
              <w:spacing w:before="0" w:after="0"/>
              <w:jc w:val="center"/>
              <w:rPr>
                <w:spacing w:val="-18"/>
              </w:rPr>
            </w:pPr>
            <w:r>
              <w:rPr>
                <w:rFonts w:eastAsia="Times New Roman" w:cs="Times New Roman"/>
                <w:b/>
                <w:bCs/>
                <w:spacing w:val="-18"/>
                <w:kern w:val="0"/>
                <w:sz w:val="24"/>
                <w:szCs w:val="24"/>
                <w:lang w:val="ru-RU" w:eastAsia="ru-RU" w:bidi="ar-SA"/>
              </w:rPr>
              <w:t>Согласие с требо</w:t>
              <w:softHyphen/>
              <w:t>ванием/ указание характеристик</w:t>
            </w:r>
          </w:p>
        </w:tc>
        <w:tc>
          <w:tcPr>
            <w:tcW w:w="2825" w:type="dxa"/>
            <w:tcBorders>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w:t>
              <w:softHyphen/>
              <w:t>ждающего документа или иной способ под</w:t>
              <w:softHyphen/>
              <w:t>тверждения</w:t>
            </w:r>
          </w:p>
        </w:tc>
        <w:tc>
          <w:tcPr>
            <w:tcW w:w="2042"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773" w:type="dxa"/>
            <w:tcBorders>
              <w:left w:val="single" w:sz="4" w:space="0" w:color="000000"/>
              <w:bottom w:val="single" w:sz="4" w:space="0" w:color="000000"/>
            </w:tcBorders>
            <w:vAlign w:val="center"/>
          </w:tcPr>
          <w:p>
            <w:pPr>
              <w:pStyle w:val="Normal"/>
              <w:widowControl w:val="false"/>
              <w:spacing w:before="0" w:after="0"/>
              <w:jc w:val="center"/>
              <w:rPr>
                <w:b/>
                <w:bCs/>
                <w:sz w:val="24"/>
                <w:szCs w:val="24"/>
              </w:rPr>
            </w:pPr>
            <w:bookmarkStart w:id="41" w:name="_Toc53499667"/>
            <w:r>
              <w:rPr>
                <w:rFonts w:eastAsia="Times New Roman" w:cs="Times New Roman"/>
                <w:b/>
                <w:bCs/>
                <w:kern w:val="0"/>
                <w:sz w:val="24"/>
                <w:szCs w:val="24"/>
                <w:lang w:val="ru-RU" w:eastAsia="ru-RU" w:bidi="ar-SA"/>
              </w:rPr>
              <w:t>1</w:t>
            </w:r>
            <w:bookmarkEnd w:id="41"/>
          </w:p>
        </w:tc>
        <w:tc>
          <w:tcPr>
            <w:tcW w:w="2109" w:type="dxa"/>
            <w:tcBorders>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2</w:t>
            </w:r>
          </w:p>
        </w:tc>
        <w:tc>
          <w:tcPr>
            <w:tcW w:w="6273" w:type="dxa"/>
            <w:tcBorders>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3</w:t>
            </w:r>
          </w:p>
        </w:tc>
        <w:tc>
          <w:tcPr>
            <w:tcW w:w="1484" w:type="dxa"/>
            <w:tcBorders>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4</w:t>
            </w:r>
          </w:p>
        </w:tc>
        <w:tc>
          <w:tcPr>
            <w:tcW w:w="2825" w:type="dxa"/>
            <w:tcBorders>
              <w:left w:val="single" w:sz="4" w:space="0" w:color="000000"/>
              <w:bottom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5</w:t>
            </w:r>
          </w:p>
        </w:tc>
        <w:tc>
          <w:tcPr>
            <w:tcW w:w="2042" w:type="dxa"/>
            <w:tcBorders>
              <w:left w:val="single" w:sz="4" w:space="0" w:color="000000"/>
              <w:bottom w:val="single" w:sz="4" w:space="0" w:color="000000"/>
              <w:right w:val="single" w:sz="4" w:space="0" w:color="000000"/>
            </w:tcBorders>
            <w:vAlign w:val="center"/>
          </w:tcPr>
          <w:p>
            <w:pPr>
              <w:pStyle w:val="Normal"/>
              <w:widowControl w:val="false"/>
              <w:spacing w:before="0" w:after="0"/>
              <w:jc w:val="center"/>
              <w:rPr>
                <w:b/>
                <w:bCs/>
                <w:sz w:val="24"/>
                <w:szCs w:val="24"/>
              </w:rPr>
            </w:pPr>
            <w:r>
              <w:rPr>
                <w:rFonts w:eastAsia="Times New Roman" w:cs="Times New Roman"/>
                <w:b/>
                <w:bCs/>
                <w:kern w:val="0"/>
                <w:sz w:val="24"/>
                <w:szCs w:val="24"/>
                <w:lang w:val="ru-RU" w:eastAsia="ru-RU" w:bidi="ar-SA"/>
              </w:rPr>
              <w:t>6</w:t>
            </w:r>
          </w:p>
        </w:tc>
      </w:tr>
      <w:tr>
        <w:trPr/>
        <w:tc>
          <w:tcPr>
            <w:tcW w:w="773" w:type="dxa"/>
            <w:tcBorders>
              <w:left w:val="single" w:sz="4" w:space="0" w:color="000000"/>
              <w:bottom w:val="single" w:sz="4" w:space="0" w:color="000000"/>
            </w:tcBorders>
            <w:vAlign w:val="center"/>
          </w:tcPr>
          <w:p>
            <w:pPr>
              <w:pStyle w:val="ListParagraph"/>
              <w:widowControl w:val="false"/>
              <w:numPr>
                <w:ilvl w:val="0"/>
                <w:numId w:val="8"/>
              </w:numPr>
              <w:spacing w:before="60" w:after="60"/>
              <w:ind w:left="360" w:right="0" w:hanging="3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382" w:type="dxa"/>
            <w:gridSpan w:val="2"/>
            <w:tcBorders>
              <w:left w:val="single" w:sz="4" w:space="0" w:color="000000"/>
              <w:bottom w:val="single" w:sz="4" w:space="0" w:color="000000"/>
            </w:tcBorders>
            <w:vAlign w:val="center"/>
          </w:tcPr>
          <w:p>
            <w:pPr>
              <w:pStyle w:val="Normal"/>
              <w:widowControl w:val="false"/>
              <w:spacing w:before="0" w:after="0"/>
              <w:jc w:val="left"/>
              <w:rPr>
                <w:b/>
                <w:sz w:val="24"/>
                <w:szCs w:val="24"/>
              </w:rPr>
            </w:pPr>
            <w:r>
              <w:rPr>
                <w:rFonts w:eastAsia="Times New Roman" w:cs="Times New Roman"/>
                <w:b/>
                <w:kern w:val="0"/>
                <w:sz w:val="24"/>
                <w:szCs w:val="24"/>
                <w:lang w:val="ru-RU" w:eastAsia="ru-RU" w:bidi="ar-SA"/>
              </w:rPr>
              <w:t>Требования к оказанию услуг</w:t>
            </w:r>
          </w:p>
        </w:tc>
        <w:tc>
          <w:tcPr>
            <w:tcW w:w="1484"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825"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042" w:type="dxa"/>
            <w:tcBorders>
              <w:left w:val="single" w:sz="4" w:space="0" w:color="000000"/>
              <w:bottom w:val="single" w:sz="4" w:space="0" w:color="000000"/>
              <w:right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r>
      <w:tr>
        <w:trPr>
          <w:trHeight w:val="332" w:hRule="atLeast"/>
        </w:trPr>
        <w:tc>
          <w:tcPr>
            <w:tcW w:w="773" w:type="dxa"/>
            <w:tcBorders>
              <w:left w:val="single" w:sz="4" w:space="0" w:color="000000"/>
              <w:bottom w:val="single" w:sz="4" w:space="0" w:color="000000"/>
            </w:tcBorders>
            <w:vAlign w:val="center"/>
          </w:tcPr>
          <w:p>
            <w:pPr>
              <w:pStyle w:val="ListParagraph"/>
              <w:widowControl w:val="false"/>
              <w:numPr>
                <w:ilvl w:val="1"/>
                <w:numId w:val="8"/>
              </w:numPr>
              <w:spacing w:before="60" w:after="60"/>
              <w:ind w:left="-117" w:right="0" w:firstLine="142"/>
              <w:contextualSpacing/>
              <w:jc w:val="center"/>
              <w:rPr>
                <w:rFonts w:ascii="Times New Roman" w:hAnsi="Times New Roman" w:cs="Times New Roman"/>
                <w:b/>
                <w:bCs/>
                <w:kern w:val="0"/>
                <w:lang w:val="ru-RU" w:eastAsia="ru-RU" w:bidi="ar-SA"/>
              </w:rPr>
            </w:pPr>
            <w:r>
              <w:rPr>
                <w:rFonts w:cs="Times New Roman"/>
                <w:b/>
                <w:bCs/>
                <w:kern w:val="0"/>
                <w:lang w:val="ru-RU" w:eastAsia="ru-RU" w:bidi="ar-SA"/>
              </w:rPr>
            </w:r>
          </w:p>
        </w:tc>
        <w:tc>
          <w:tcPr>
            <w:tcW w:w="8382" w:type="dxa"/>
            <w:gridSpan w:val="2"/>
            <w:tcBorders>
              <w:left w:val="single" w:sz="4" w:space="0" w:color="000000"/>
              <w:bottom w:val="single" w:sz="4" w:space="0" w:color="000000"/>
            </w:tcBorders>
            <w:vAlign w:val="center"/>
          </w:tcPr>
          <w:p>
            <w:pPr>
              <w:pStyle w:val="Normal"/>
              <w:widowControl w:val="false"/>
              <w:spacing w:before="60" w:after="60"/>
              <w:jc w:val="left"/>
              <w:rPr>
                <w:b/>
                <w:sz w:val="24"/>
                <w:szCs w:val="24"/>
              </w:rPr>
            </w:pPr>
            <w:r>
              <w:rPr>
                <w:rFonts w:eastAsia="Times New Roman" w:cs="Times New Roman"/>
                <w:b/>
                <w:kern w:val="0"/>
                <w:sz w:val="24"/>
                <w:szCs w:val="24"/>
                <w:lang w:val="ru-RU" w:eastAsia="ru-RU" w:bidi="ar-SA"/>
              </w:rPr>
              <w:t xml:space="preserve">Общие требования к оказанию услуг </w:t>
            </w:r>
          </w:p>
        </w:tc>
        <w:tc>
          <w:tcPr>
            <w:tcW w:w="1484"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825"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042" w:type="dxa"/>
            <w:tcBorders>
              <w:left w:val="single" w:sz="4" w:space="0" w:color="000000"/>
              <w:bottom w:val="single" w:sz="4" w:space="0" w:color="000000"/>
              <w:right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r>
      <w:tr>
        <w:trPr/>
        <w:tc>
          <w:tcPr>
            <w:tcW w:w="773" w:type="dxa"/>
            <w:tcBorders>
              <w:left w:val="single" w:sz="4" w:space="0" w:color="000000"/>
              <w:bottom w:val="single" w:sz="4" w:space="0" w:color="000000"/>
            </w:tcBorders>
            <w:vAlign w:val="center"/>
          </w:tcPr>
          <w:p>
            <w:pPr>
              <w:pStyle w:val="ListParagraph"/>
              <w:widowControl w:val="false"/>
              <w:numPr>
                <w:ilvl w:val="2"/>
                <w:numId w:val="8"/>
              </w:numPr>
              <w:spacing w:lineRule="auto" w:line="240" w:before="0" w:after="0"/>
              <w:ind w:left="0" w:right="0" w:hanging="0"/>
              <w:contextualSpacing w:val="false"/>
              <w:jc w:val="center"/>
              <w:rPr>
                <w:rFonts w:ascii="Times New Roman" w:hAnsi="Times New Roman" w:cs="Times New Roman"/>
                <w:kern w:val="0"/>
                <w:lang w:val="ru-RU" w:eastAsia="ru-RU" w:bidi="ar-SA"/>
              </w:rPr>
            </w:pPr>
            <w:r>
              <w:rPr>
                <w:rFonts w:cs="Times New Roman"/>
                <w:kern w:val="0"/>
                <w:lang w:val="ru-RU" w:eastAsia="ru-RU" w:bidi="ar-SA"/>
              </w:rPr>
            </w:r>
          </w:p>
        </w:tc>
        <w:tc>
          <w:tcPr>
            <w:tcW w:w="2109"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en-US" w:bidi="ar-SA"/>
              </w:rPr>
            </w:pPr>
            <w:r>
              <w:rPr>
                <w:kern w:val="0"/>
                <w:sz w:val="24"/>
                <w:szCs w:val="24"/>
                <w:lang w:val="en-US" w:bidi="ar-SA"/>
              </w:rPr>
              <w:t>Аттестация химической лаборатории</w:t>
            </w:r>
          </w:p>
        </w:tc>
        <w:tc>
          <w:tcPr>
            <w:tcW w:w="6273"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Необходимо наличие аттестованной химиче</w:t>
              <w:softHyphen/>
              <w:t>ской лаборатории в области физико-химиче</w:t>
              <w:softHyphen/>
              <w:t>ских испытаний электролита, сведения о кото</w:t>
              <w:softHyphen/>
              <w:t>рой внесены в реестр испытательных лабора</w:t>
              <w:softHyphen/>
              <w:t>торий.</w:t>
            </w:r>
          </w:p>
        </w:tc>
        <w:tc>
          <w:tcPr>
            <w:tcW w:w="1484"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825"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Свидетельство об аттеста</w:t>
              <w:softHyphen/>
              <w:t>ции лаборатория в области физико-химических испы</w:t>
              <w:softHyphen/>
              <w:t>таний на этапе заключения договора</w:t>
            </w:r>
          </w:p>
        </w:tc>
        <w:tc>
          <w:tcPr>
            <w:tcW w:w="2042" w:type="dxa"/>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vMerge w:val="restart"/>
            <w:tcBorders>
              <w:left w:val="single" w:sz="4" w:space="0" w:color="000000"/>
              <w:bottom w:val="single" w:sz="4" w:space="0" w:color="000000"/>
            </w:tcBorders>
            <w:vAlign w:val="center"/>
          </w:tcPr>
          <w:p>
            <w:pPr>
              <w:pStyle w:val="ListParagraph"/>
              <w:widowControl w:val="false"/>
              <w:numPr>
                <w:ilvl w:val="2"/>
                <w:numId w:val="8"/>
              </w:numPr>
              <w:spacing w:lineRule="auto" w:line="240" w:before="0" w:after="0"/>
              <w:ind w:left="0" w:right="0" w:hanging="0"/>
              <w:contextualSpacing w:val="false"/>
              <w:jc w:val="center"/>
              <w:rPr>
                <w:rFonts w:ascii="Times New Roman" w:hAnsi="Times New Roman" w:cs="Times New Roman"/>
                <w:kern w:val="0"/>
                <w:lang w:val="ru-RU" w:eastAsia="ru-RU" w:bidi="ar-SA"/>
              </w:rPr>
            </w:pPr>
            <w:r>
              <w:rPr>
                <w:rFonts w:cs="Times New Roman"/>
                <w:kern w:val="0"/>
                <w:lang w:val="ru-RU" w:eastAsia="ru-RU" w:bidi="ar-SA"/>
              </w:rPr>
            </w:r>
          </w:p>
        </w:tc>
        <w:tc>
          <w:tcPr>
            <w:tcW w:w="2109" w:type="dxa"/>
            <w:vMerge w:val="restart"/>
            <w:tcBorders>
              <w:left w:val="single" w:sz="4" w:space="0" w:color="000000"/>
              <w:bottom w:val="single" w:sz="4" w:space="0" w:color="000000"/>
            </w:tcBorders>
          </w:tcPr>
          <w:p>
            <w:pPr>
              <w:pStyle w:val="Standard"/>
              <w:widowControl w:val="false"/>
              <w:rPr>
                <w:kern w:val="0"/>
                <w:lang w:bidi="ar-SA"/>
              </w:rPr>
            </w:pPr>
            <w:r>
              <w:rPr>
                <w:kern w:val="0"/>
                <w:lang w:bidi="ar-SA"/>
              </w:rPr>
              <w:t>Проведение физико-химическог</w:t>
              <w:softHyphen/>
              <w:t>о ана</w:t>
              <w:softHyphen/>
              <w:t>лиза представ</w:t>
              <w:softHyphen/>
              <w:t>ленных проб мас</w:t>
              <w:softHyphen/>
              <w:t>ла</w:t>
            </w:r>
          </w:p>
        </w:tc>
        <w:tc>
          <w:tcPr>
            <w:tcW w:w="6273" w:type="dxa"/>
            <w:tcBorders>
              <w:left w:val="single" w:sz="4" w:space="0" w:color="000000"/>
              <w:bottom w:val="single" w:sz="4" w:space="0" w:color="000000"/>
            </w:tcBorders>
          </w:tcPr>
          <w:p>
            <w:pPr>
              <w:pStyle w:val="Standard"/>
              <w:widowControl w:val="false"/>
              <w:jc w:val="both"/>
              <w:rPr>
                <w:kern w:val="0"/>
                <w:lang w:bidi="ar-SA"/>
              </w:rPr>
            </w:pPr>
            <w:r>
              <w:rPr>
                <w:kern w:val="0"/>
                <w:lang w:bidi="ar-SA"/>
              </w:rPr>
              <w:t>Исполнителем должен быть проведен химиче</w:t>
              <w:softHyphen/>
              <w:t>ский анализ турбинного масла согласно СТО РусГидро 02.01.112-2015 приложение № 2</w:t>
            </w:r>
          </w:p>
        </w:tc>
        <w:tc>
          <w:tcPr>
            <w:tcW w:w="1484" w:type="dxa"/>
            <w:vMerge w:val="restart"/>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vMerge w:val="restart"/>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042" w:type="dxa"/>
            <w:vMerge w:val="restart"/>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vMerge w:val="continue"/>
            <w:tcBorders>
              <w:left w:val="single" w:sz="4" w:space="0" w:color="000000"/>
              <w:bottom w:val="single" w:sz="4" w:space="0" w:color="000000"/>
            </w:tcBorders>
            <w:vAlign w:val="center"/>
          </w:tcPr>
          <w:p>
            <w:pPr>
              <w:pStyle w:val="Normal"/>
              <w:widowControl w:val="false"/>
              <w:numPr>
                <w:ilvl w:val="0"/>
                <w:numId w:val="0"/>
              </w:numPr>
              <w:spacing w:lineRule="auto" w:line="240" w:before="0" w:after="0"/>
              <w:ind w:left="0" w:right="0" w:hanging="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r>
          </w:p>
        </w:tc>
        <w:tc>
          <w:tcPr>
            <w:tcW w:w="2109" w:type="dxa"/>
            <w:vMerge w:val="continue"/>
            <w:tcBorders>
              <w:left w:val="single" w:sz="4" w:space="0" w:color="000000"/>
              <w:bottom w:val="single" w:sz="4" w:space="0" w:color="000000"/>
            </w:tcBorders>
          </w:tcPr>
          <w:p>
            <w:pPr>
              <w:pStyle w:val="Standard"/>
              <w:widowControl w:val="false"/>
              <w:rPr>
                <w:kern w:val="0"/>
                <w:lang w:bidi="ar-SA"/>
              </w:rPr>
            </w:pPr>
            <w:r>
              <w:rPr>
                <w:kern w:val="0"/>
                <w:lang w:bidi="ar-SA"/>
              </w:rPr>
            </w:r>
          </w:p>
        </w:tc>
        <w:tc>
          <w:tcPr>
            <w:tcW w:w="6273" w:type="dxa"/>
            <w:tcBorders>
              <w:left w:val="single" w:sz="4" w:space="0" w:color="000000"/>
              <w:bottom w:val="single" w:sz="4" w:space="0" w:color="000000"/>
            </w:tcBorders>
          </w:tcPr>
          <w:p>
            <w:pPr>
              <w:pStyle w:val="Standard"/>
              <w:widowControl w:val="false"/>
              <w:jc w:val="both"/>
              <w:rPr/>
            </w:pPr>
            <w:r>
              <w:rPr>
                <w:rFonts w:eastAsia="Times New Roman" w:cs="Times New Roman"/>
                <w:kern w:val="0"/>
                <w:lang w:eastAsia="ru-RU" w:bidi="ar-SA"/>
              </w:rPr>
              <w:t>Химический анализ трансформаторного масла выполняется согласно</w:t>
            </w:r>
            <w:r>
              <w:rPr>
                <w:rFonts w:eastAsia="Times New Roman" w:cs="Times New Roman"/>
                <w:color w:val="0000FF"/>
                <w:kern w:val="0"/>
                <w:lang w:eastAsia="ru-RU" w:bidi="ar-SA"/>
              </w:rPr>
              <w:t xml:space="preserve"> </w:t>
            </w:r>
            <w:r>
              <w:rPr>
                <w:rFonts w:eastAsia="Times New Roman" w:cs="Times New Roman"/>
                <w:kern w:val="0"/>
                <w:lang w:eastAsia="ru-RU" w:bidi="ar-SA"/>
              </w:rPr>
              <w:t>CТО 02.01.124-2020 Си</w:t>
              <w:softHyphen/>
              <w:t>ловые трансформаторы. организация техниче</w:t>
              <w:softHyphen/>
              <w:t>ской эксплуатации. Нормы и требования при</w:t>
              <w:softHyphen/>
              <w:t>ложение 9.</w:t>
            </w:r>
          </w:p>
        </w:tc>
        <w:tc>
          <w:tcPr>
            <w:tcW w:w="1484"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825"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042" w:type="dxa"/>
            <w:vMerge w:val="continue"/>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vMerge w:val="continue"/>
            <w:tcBorders>
              <w:left w:val="single" w:sz="4" w:space="0" w:color="000000"/>
              <w:bottom w:val="single" w:sz="4" w:space="0" w:color="000000"/>
            </w:tcBorders>
            <w:vAlign w:val="center"/>
          </w:tcPr>
          <w:p>
            <w:pPr>
              <w:pStyle w:val="Normal"/>
              <w:widowControl w:val="false"/>
              <w:numPr>
                <w:ilvl w:val="0"/>
                <w:numId w:val="0"/>
              </w:numPr>
              <w:spacing w:lineRule="auto" w:line="240" w:before="0" w:after="0"/>
              <w:ind w:left="0" w:right="0" w:hanging="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109" w:type="dxa"/>
            <w:vMerge w:val="continue"/>
            <w:tcBorders>
              <w:left w:val="single" w:sz="4" w:space="0" w:color="000000"/>
              <w:bottom w:val="single" w:sz="4" w:space="0" w:color="000000"/>
            </w:tcBorders>
          </w:tcPr>
          <w:p>
            <w:pPr>
              <w:pStyle w:val="Standard"/>
              <w:widowControl w:val="false"/>
              <w:rPr>
                <w:kern w:val="0"/>
                <w:lang w:bidi="ar-SA"/>
              </w:rPr>
            </w:pPr>
            <w:r>
              <w:rPr>
                <w:kern w:val="0"/>
                <w:lang w:bidi="ar-SA"/>
              </w:rPr>
            </w:r>
          </w:p>
        </w:tc>
        <w:tc>
          <w:tcPr>
            <w:tcW w:w="6273" w:type="dxa"/>
            <w:tcBorders>
              <w:left w:val="single" w:sz="4" w:space="0" w:color="000000"/>
              <w:bottom w:val="single" w:sz="4" w:space="0" w:color="000000"/>
            </w:tcBorders>
          </w:tcPr>
          <w:p>
            <w:pPr>
              <w:pStyle w:val="Standard"/>
              <w:widowControl w:val="false"/>
              <w:jc w:val="both"/>
              <w:rPr>
                <w:kern w:val="0"/>
                <w:lang w:bidi="ar-SA"/>
              </w:rPr>
            </w:pPr>
            <w:r>
              <w:rPr>
                <w:kern w:val="0"/>
                <w:lang w:bidi="ar-SA"/>
              </w:rPr>
              <w:t>Хроматографический анализ трансформатор</w:t>
              <w:softHyphen/>
              <w:t>ного масла выполняется согласно РД 153-34.0-46.302-00 (в свободном доступе в интернет ре</w:t>
              <w:softHyphen/>
              <w:t>сурсе по ссылке ttps://docs.cntd.ru/document/1200053728).</w:t>
            </w:r>
          </w:p>
        </w:tc>
        <w:tc>
          <w:tcPr>
            <w:tcW w:w="1484"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825"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042" w:type="dxa"/>
            <w:vMerge w:val="continue"/>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Normal"/>
              <w:widowControl w:val="false"/>
              <w:numPr>
                <w:ilvl w:val="2"/>
                <w:numId w:val="8"/>
              </w:numPr>
              <w:spacing w:lineRule="auto" w:line="240" w:before="0" w:after="0"/>
              <w:ind w:left="0" w:right="0" w:hanging="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109"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Доставка</w:t>
            </w:r>
          </w:p>
        </w:tc>
        <w:tc>
          <w:tcPr>
            <w:tcW w:w="6273" w:type="dxa"/>
            <w:tcBorders>
              <w:left w:val="single" w:sz="4" w:space="0" w:color="000000"/>
              <w:bottom w:val="single" w:sz="4" w:space="0" w:color="000000"/>
            </w:tcBorders>
          </w:tcPr>
          <w:p>
            <w:pPr>
              <w:pStyle w:val="Standard"/>
              <w:widowControl w:val="false"/>
              <w:jc w:val="both"/>
              <w:rPr/>
            </w:pPr>
            <w:r>
              <w:rPr>
                <w:kern w:val="0"/>
                <w:lang w:bidi="ar-SA"/>
              </w:rPr>
              <w:t>Доставку (упаковку, транспортировку) проб масел в химическую лабораторию Исполни</w:t>
              <w:softHyphen/>
              <w:t>тель осуществляет самостоятельно и за счёт собственных средств, без возмещения Заказчи</w:t>
              <w:softHyphen/>
              <w:t>ком Исполнителю затрат на упаковку, транс</w:t>
              <w:softHyphen/>
              <w:t>портировку проб масел (указанные расходы должны входить в стоимость услуг).</w:t>
            </w:r>
          </w:p>
        </w:tc>
        <w:tc>
          <w:tcPr>
            <w:tcW w:w="1484"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042" w:type="dxa"/>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Normal"/>
              <w:widowControl w:val="false"/>
              <w:numPr>
                <w:ilvl w:val="2"/>
                <w:numId w:val="8"/>
              </w:numPr>
              <w:spacing w:lineRule="auto" w:line="240" w:before="0" w:after="0"/>
              <w:ind w:left="0" w:right="0" w:hanging="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109"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Полномочия</w:t>
            </w:r>
          </w:p>
        </w:tc>
        <w:tc>
          <w:tcPr>
            <w:tcW w:w="6273"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Полномочия представителя Исполнителя, представителя грузоперевозчика должны быть надлежащим образом подтверждены (доверен</w:t>
              <w:softHyphen/>
              <w:t>ность, договор на перевозку грузов).</w:t>
            </w:r>
          </w:p>
        </w:tc>
        <w:tc>
          <w:tcPr>
            <w:tcW w:w="1484"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825"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Доверенность исполните</w:t>
              <w:softHyphen/>
              <w:t>ля или договор на перевоз</w:t>
              <w:softHyphen/>
              <w:t>ку грузов (на этапе испол</w:t>
              <w:softHyphen/>
              <w:t>нения договора)</w:t>
            </w:r>
          </w:p>
        </w:tc>
        <w:tc>
          <w:tcPr>
            <w:tcW w:w="2042" w:type="dxa"/>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vMerge w:val="restart"/>
            <w:tcBorders>
              <w:left w:val="single" w:sz="4" w:space="0" w:color="000000"/>
              <w:bottom w:val="single" w:sz="4" w:space="0" w:color="000000"/>
            </w:tcBorders>
            <w:vAlign w:val="center"/>
          </w:tcPr>
          <w:p>
            <w:pPr>
              <w:pStyle w:val="Normal"/>
              <w:widowControl w:val="false"/>
              <w:numPr>
                <w:ilvl w:val="2"/>
                <w:numId w:val="8"/>
              </w:numPr>
              <w:spacing w:lineRule="auto" w:line="240" w:before="0" w:after="0"/>
              <w:ind w:left="0" w:right="0" w:hanging="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109" w:type="dxa"/>
            <w:vMerge w:val="restart"/>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Срок выполнения</w:t>
            </w:r>
          </w:p>
        </w:tc>
        <w:tc>
          <w:tcPr>
            <w:tcW w:w="6273" w:type="dxa"/>
            <w:tcBorders>
              <w:left w:val="single" w:sz="4" w:space="0" w:color="000000"/>
              <w:bottom w:val="single" w:sz="4" w:space="0" w:color="000000"/>
            </w:tcBorders>
          </w:tcPr>
          <w:p>
            <w:pPr>
              <w:pStyle w:val="Standard"/>
              <w:widowControl w:val="false"/>
              <w:jc w:val="both"/>
              <w:rPr>
                <w:kern w:val="0"/>
                <w:lang w:bidi="ar-SA"/>
              </w:rPr>
            </w:pPr>
            <w:r>
              <w:rPr>
                <w:kern w:val="0"/>
                <w:lang w:bidi="ar-SA"/>
              </w:rPr>
              <w:t>Срок выполнения химического/хроматографи</w:t>
              <w:softHyphen/>
              <w:t>ческого анализа и выдача протокола (отчета) по результатам химического/хроматографиче</w:t>
              <w:softHyphen/>
              <w:t>ского анализа – в течение 5 (пяти) календар</w:t>
              <w:softHyphen/>
              <w:t>ных дней с даты подписания документа, под</w:t>
              <w:softHyphen/>
              <w:t>тверждающего передачу Заказчиком проб ма</w:t>
              <w:softHyphen/>
              <w:t>сел Исполнителю или грузоперевозчику (экс</w:t>
              <w:softHyphen/>
              <w:t>педиторская расписка, акт приёма-передачи и т.п.), с предоставлением результатов анализа в электронном виде</w:t>
            </w:r>
          </w:p>
        </w:tc>
        <w:tc>
          <w:tcPr>
            <w:tcW w:w="1484" w:type="dxa"/>
            <w:vMerge w:val="restart"/>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vMerge w:val="restart"/>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w:t>
            </w:r>
          </w:p>
        </w:tc>
        <w:tc>
          <w:tcPr>
            <w:tcW w:w="2042" w:type="dxa"/>
            <w:vMerge w:val="restart"/>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vMerge w:val="continue"/>
            <w:tcBorders>
              <w:left w:val="single" w:sz="4" w:space="0" w:color="000000"/>
              <w:bottom w:val="single" w:sz="4" w:space="0" w:color="000000"/>
            </w:tcBorders>
            <w:vAlign w:val="center"/>
          </w:tcPr>
          <w:p>
            <w:pPr>
              <w:pStyle w:val="Normal"/>
              <w:widowControl w:val="false"/>
              <w:numPr>
                <w:ilvl w:val="0"/>
                <w:numId w:val="0"/>
              </w:numPr>
              <w:spacing w:lineRule="auto" w:line="240" w:before="0" w:after="0"/>
              <w:ind w:left="0" w:right="0" w:hanging="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109"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6273" w:type="dxa"/>
            <w:tcBorders>
              <w:left w:val="single" w:sz="4" w:space="0" w:color="000000"/>
              <w:bottom w:val="single" w:sz="4" w:space="0" w:color="000000"/>
            </w:tcBorders>
          </w:tcPr>
          <w:p>
            <w:pPr>
              <w:pStyle w:val="Standard"/>
              <w:widowControl w:val="false"/>
              <w:jc w:val="both"/>
              <w:rPr>
                <w:kern w:val="0"/>
                <w:lang w:bidi="ar-SA"/>
              </w:rPr>
            </w:pPr>
            <w:r>
              <w:rPr>
                <w:kern w:val="0"/>
                <w:lang w:bidi="ar-SA"/>
              </w:rPr>
              <w:t>При проведении аварийных работ Заказчиком, Исполнитель осуществляет выдачу предвари</w:t>
              <w:softHyphen/>
              <w:t>тельного заключения в электронном виде в течение одних суток с даты подписания доку</w:t>
              <w:softHyphen/>
              <w:t>мента, подтверждающего передачу Заказчиком проб масел представителю Исполнителя, либо представителю грузоперевозчика (экспеди</w:t>
              <w:softHyphen/>
              <w:t>торская расписка, акт приёма-передачи и т.п.).</w:t>
            </w:r>
          </w:p>
        </w:tc>
        <w:tc>
          <w:tcPr>
            <w:tcW w:w="1484"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825"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042" w:type="dxa"/>
            <w:vMerge w:val="continue"/>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Normal"/>
              <w:widowControl w:val="false"/>
              <w:numPr>
                <w:ilvl w:val="2"/>
                <w:numId w:val="8"/>
              </w:numPr>
              <w:spacing w:lineRule="auto" w:line="240" w:before="0" w:after="0"/>
              <w:ind w:left="0" w:right="0" w:hanging="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109" w:type="dxa"/>
            <w:vMerge w:val="restart"/>
            <w:tcBorders>
              <w:top w:val="single" w:sz="4" w:space="0" w:color="000000"/>
              <w:left w:val="single" w:sz="4" w:space="0" w:color="000000"/>
              <w:bottom w:val="single" w:sz="4" w:space="0" w:color="000000"/>
            </w:tcBorders>
            <w:tcMar>
              <w:top w:w="55" w:type="dxa"/>
              <w:left w:w="55" w:type="dxa"/>
              <w:bottom w:w="55" w:type="dxa"/>
              <w:right w:w="55" w:type="dxa"/>
            </w:tcMar>
          </w:tcPr>
          <w:p>
            <w:pPr>
              <w:pStyle w:val="Standard"/>
              <w:widowControl w:val="false"/>
              <w:numPr>
                <w:ilvl w:val="0"/>
                <w:numId w:val="0"/>
              </w:numPr>
              <w:suppressAutoHyphens w:val="true"/>
              <w:bidi w:val="0"/>
              <w:spacing w:before="0" w:after="0"/>
              <w:ind w:left="57" w:right="0" w:hanging="0"/>
              <w:jc w:val="left"/>
              <w:textAlignment w:val="baseline"/>
              <w:rPr>
                <w:rFonts w:ascii="Times New Roman" w:hAnsi="Times New Roman" w:eastAsia="Calibri" w:cs="Times New Roman"/>
                <w:color w:val="auto"/>
                <w:kern w:val="0"/>
                <w:sz w:val="24"/>
                <w:szCs w:val="24"/>
                <w:lang w:val="ru-RU" w:eastAsia="ru-RU" w:bidi="ar-SA"/>
              </w:rPr>
            </w:pPr>
            <w:r>
              <w:rPr>
                <w:rFonts w:eastAsia="Calibri" w:cs="Times New Roman" w:ascii="Times New Roman" w:hAnsi="Times New Roman"/>
                <w:color w:val="auto"/>
                <w:kern w:val="0"/>
                <w:sz w:val="24"/>
                <w:szCs w:val="24"/>
                <w:lang w:val="ru-RU" w:eastAsia="ru-RU" w:bidi="ar-SA"/>
              </w:rPr>
              <w:t>Требования к от</w:t>
              <w:softHyphen/>
              <w:t>четным доку</w:t>
              <w:softHyphen/>
              <w:t>ментам</w:t>
            </w:r>
          </w:p>
        </w:tc>
        <w:tc>
          <w:tcPr>
            <w:tcW w:w="6273"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pPr>
              <w:pStyle w:val="Standard"/>
              <w:widowControl w:val="false"/>
              <w:jc w:val="both"/>
              <w:rPr>
                <w:rFonts w:ascii="Times New Roman" w:hAnsi="Times New Roman" w:eastAsia="Calibri" w:cs="Times New Roman"/>
                <w:color w:val="auto"/>
                <w:kern w:val="0"/>
                <w:sz w:val="24"/>
                <w:szCs w:val="24"/>
                <w:lang w:val="ru-RU" w:eastAsia="ru-RU" w:bidi="ar-SA"/>
              </w:rPr>
            </w:pPr>
            <w:r>
              <w:rPr>
                <w:rFonts w:eastAsia="Calibri" w:cs="Times New Roman" w:ascii="Times New Roman" w:hAnsi="Times New Roman"/>
                <w:color w:val="auto"/>
                <w:kern w:val="0"/>
                <w:sz w:val="24"/>
                <w:szCs w:val="24"/>
                <w:lang w:val="ru-RU" w:eastAsia="ru-RU" w:bidi="ar-SA"/>
              </w:rPr>
              <w:t>Технический отчёт (протокол) должен предо</w:t>
              <w:softHyphen/>
              <w:t>ставляться на бумажном носителе в оригинале в 1 (одном) экземпляре в течение 5 (пяти) ра</w:t>
              <w:softHyphen/>
              <w:t>бочих дней по окончании соответствующего этапа.</w:t>
            </w:r>
          </w:p>
        </w:tc>
        <w:tc>
          <w:tcPr>
            <w:tcW w:w="1484" w:type="dxa"/>
            <w:vMerge w:val="restart"/>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vMerge w:val="restart"/>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w:t>
            </w:r>
          </w:p>
        </w:tc>
        <w:tc>
          <w:tcPr>
            <w:tcW w:w="2042" w:type="dxa"/>
            <w:vMerge w:val="restart"/>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Normal"/>
              <w:widowControl w:val="false"/>
              <w:numPr>
                <w:ilvl w:val="2"/>
                <w:numId w:val="8"/>
              </w:numPr>
              <w:spacing w:lineRule="auto" w:line="240" w:before="0" w:after="0"/>
              <w:ind w:left="0" w:right="0" w:hanging="0"/>
              <w:jc w:val="center"/>
              <w:rPr>
                <w:rFonts w:ascii="Times New Roman" w:hAnsi="Times New Roman" w:eastAsia="Times New Roman" w:cs="Times New Roman"/>
                <w:kern w:val="0"/>
                <w:sz w:val="24"/>
                <w:szCs w:val="24"/>
                <w:lang w:val="ru-RU" w:eastAsia="ru-RU" w:bidi="ar-SA"/>
              </w:rPr>
            </w:pPr>
            <w:r>
              <w:rPr>
                <w:rFonts w:eastAsia="Times New Roman" w:cs="Times New Roman"/>
                <w:kern w:val="0"/>
                <w:sz w:val="24"/>
                <w:szCs w:val="24"/>
                <w:lang w:val="ru-RU" w:eastAsia="ru-RU" w:bidi="ar-SA"/>
              </w:rPr>
            </w:r>
          </w:p>
        </w:tc>
        <w:tc>
          <w:tcPr>
            <w:tcW w:w="2109" w:type="dxa"/>
            <w:vMerge w:val="continue"/>
            <w:tcBorders>
              <w:left w:val="single" w:sz="4" w:space="0" w:color="000000"/>
              <w:bottom w:val="single" w:sz="4" w:space="0" w:color="000000"/>
            </w:tcBorders>
            <w:tcMar>
              <w:top w:w="55" w:type="dxa"/>
              <w:left w:w="55" w:type="dxa"/>
              <w:bottom w:w="55" w:type="dxa"/>
              <w:right w:w="55" w:type="dxa"/>
            </w:tcMar>
          </w:tcPr>
          <w:p>
            <w:pPr>
              <w:pStyle w:val="Normal"/>
              <w:widowControl w:val="false"/>
              <w:tabs>
                <w:tab w:val="clear" w:pos="708"/>
              </w:tabs>
              <w:suppressAutoHyphens w:val="false"/>
              <w:spacing w:before="0" w:after="0"/>
              <w:jc w:val="left"/>
              <w:rPr>
                <w:rFonts w:ascii="Times New Roman" w:hAnsi="Times New Roman" w:eastAsia="Calibri" w:cs="Times New Roman"/>
                <w:color w:val="auto"/>
                <w:kern w:val="0"/>
                <w:sz w:val="24"/>
                <w:szCs w:val="24"/>
                <w:lang w:val="ru-RU" w:eastAsia="ru-RU" w:bidi="ar-SA"/>
              </w:rPr>
            </w:pPr>
            <w:r>
              <w:rPr>
                <w:rFonts w:eastAsia="Calibri" w:cs="Times New Roman"/>
                <w:color w:val="auto"/>
                <w:kern w:val="0"/>
                <w:sz w:val="24"/>
                <w:szCs w:val="24"/>
                <w:lang w:val="ru-RU" w:eastAsia="ru-RU" w:bidi="ar-SA"/>
              </w:rPr>
            </w:r>
          </w:p>
        </w:tc>
        <w:tc>
          <w:tcPr>
            <w:tcW w:w="6273" w:type="dxa"/>
            <w:tcBorders>
              <w:left w:val="single" w:sz="4" w:space="0" w:color="000000"/>
              <w:bottom w:val="single" w:sz="4" w:space="0" w:color="000000"/>
              <w:right w:val="single" w:sz="4" w:space="0" w:color="000000"/>
            </w:tcBorders>
            <w:tcMar>
              <w:top w:w="55" w:type="dxa"/>
              <w:left w:w="55" w:type="dxa"/>
              <w:bottom w:w="55" w:type="dxa"/>
              <w:right w:w="55" w:type="dxa"/>
            </w:tcMar>
          </w:tcPr>
          <w:p>
            <w:pPr>
              <w:pStyle w:val="Standard"/>
              <w:widowControl w:val="false"/>
              <w:jc w:val="both"/>
              <w:rPr>
                <w:rFonts w:ascii="Times New Roman" w:hAnsi="Times New Roman" w:eastAsia="Calibri" w:cs="Times New Roman"/>
                <w:color w:val="auto"/>
                <w:kern w:val="0"/>
                <w:sz w:val="24"/>
                <w:szCs w:val="24"/>
                <w:lang w:val="ru-RU" w:eastAsia="ru-RU" w:bidi="ar-SA"/>
              </w:rPr>
            </w:pPr>
            <w:r>
              <w:rPr>
                <w:rFonts w:eastAsia="Calibri" w:cs="Times New Roman" w:ascii="Times New Roman" w:hAnsi="Times New Roman"/>
                <w:color w:val="auto"/>
                <w:kern w:val="0"/>
                <w:sz w:val="24"/>
                <w:szCs w:val="24"/>
                <w:lang w:val="ru-RU" w:eastAsia="ru-RU" w:bidi="ar-SA"/>
              </w:rPr>
              <w:t>Предварительный отчёт (протокол) предостав</w:t>
              <w:softHyphen/>
              <w:t>ляется в электронном формате *.pdf посред</w:t>
              <w:softHyphen/>
              <w:t>ством электронной почты.</w:t>
            </w:r>
          </w:p>
        </w:tc>
        <w:tc>
          <w:tcPr>
            <w:tcW w:w="1484"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825" w:type="dxa"/>
            <w:vMerge w:val="continue"/>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c>
          <w:tcPr>
            <w:tcW w:w="2042" w:type="dxa"/>
            <w:vMerge w:val="continue"/>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ListParagraph"/>
              <w:widowControl w:val="false"/>
              <w:numPr>
                <w:ilvl w:val="1"/>
                <w:numId w:val="8"/>
              </w:numPr>
              <w:spacing w:before="60" w:after="60"/>
              <w:ind w:left="-117" w:right="0" w:firstLine="142"/>
              <w:contextualSpacing/>
              <w:jc w:val="center"/>
              <w:rPr>
                <w:rFonts w:ascii="Times New Roman" w:hAnsi="Times New Roman" w:cs="Times New Roman"/>
                <w:kern w:val="0"/>
                <w:lang w:val="en-US" w:eastAsia="ru-RU" w:bidi="ar-SA"/>
              </w:rPr>
            </w:pPr>
            <w:r>
              <w:rPr>
                <w:rFonts w:cs="Times New Roman"/>
                <w:kern w:val="0"/>
                <w:lang w:val="en-US" w:eastAsia="ru-RU" w:bidi="ar-SA"/>
              </w:rPr>
            </w:r>
          </w:p>
        </w:tc>
        <w:tc>
          <w:tcPr>
            <w:tcW w:w="8382" w:type="dxa"/>
            <w:gridSpan w:val="2"/>
            <w:tcBorders>
              <w:left w:val="single" w:sz="4" w:space="0" w:color="000000"/>
              <w:bottom w:val="single" w:sz="4" w:space="0" w:color="000000"/>
            </w:tcBorders>
            <w:vAlign w:val="center"/>
          </w:tcPr>
          <w:p>
            <w:pPr>
              <w:pStyle w:val="Normal"/>
              <w:widowControl w:val="false"/>
              <w:spacing w:before="60" w:after="0"/>
              <w:jc w:val="left"/>
              <w:rPr>
                <w:b/>
              </w:rPr>
            </w:pPr>
            <w:r>
              <w:rPr>
                <w:rFonts w:eastAsia="Times New Roman" w:cs="Times New Roman"/>
                <w:b/>
                <w:kern w:val="0"/>
                <w:sz w:val="24"/>
                <w:szCs w:val="24"/>
                <w:lang w:val="ru-RU" w:eastAsia="ru-RU" w:bidi="ar-SA"/>
              </w:rPr>
              <w:t>Требования к процедурам оказания услуг</w:t>
            </w:r>
          </w:p>
        </w:tc>
        <w:tc>
          <w:tcPr>
            <w:tcW w:w="1484"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825"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042" w:type="dxa"/>
            <w:tcBorders>
              <w:left w:val="single" w:sz="4" w:space="0" w:color="000000"/>
              <w:bottom w:val="single" w:sz="4" w:space="0" w:color="000000"/>
              <w:right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r>
      <w:tr>
        <w:trPr/>
        <w:tc>
          <w:tcPr>
            <w:tcW w:w="773" w:type="dxa"/>
            <w:tcBorders>
              <w:left w:val="single" w:sz="4" w:space="0" w:color="000000"/>
              <w:bottom w:val="single" w:sz="4" w:space="0" w:color="000000"/>
            </w:tcBorders>
            <w:vAlign w:val="center"/>
          </w:tcPr>
          <w:p>
            <w:pPr>
              <w:pStyle w:val="ListParagraph"/>
              <w:widowControl w:val="false"/>
              <w:numPr>
                <w:ilvl w:val="2"/>
                <w:numId w:val="8"/>
              </w:numPr>
              <w:spacing w:before="60" w:after="60"/>
              <w:ind w:left="1224" w:right="0" w:hanging="1199"/>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09"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bCs/>
                <w:kern w:val="0"/>
                <w:sz w:val="24"/>
                <w:szCs w:val="24"/>
                <w:lang w:val="ru-RU" w:bidi="ar-SA"/>
              </w:rPr>
            </w:pPr>
            <w:r>
              <w:rPr>
                <w:bCs/>
                <w:kern w:val="0"/>
                <w:sz w:val="24"/>
                <w:szCs w:val="24"/>
                <w:lang w:val="ru-RU" w:bidi="ar-SA"/>
              </w:rPr>
              <w:t>Условия к проце</w:t>
              <w:softHyphen/>
              <w:t>дурам оказания услуг</w:t>
            </w:r>
          </w:p>
        </w:tc>
        <w:tc>
          <w:tcPr>
            <w:tcW w:w="6273" w:type="dxa"/>
            <w:tcBorders>
              <w:left w:val="single" w:sz="4" w:space="0" w:color="000000"/>
              <w:bottom w:val="single" w:sz="4" w:space="0" w:color="000000"/>
            </w:tcBorders>
          </w:tcPr>
          <w:p>
            <w:pPr>
              <w:pStyle w:val="ListParagraph"/>
              <w:widowControl w:val="false"/>
              <w:numPr>
                <w:ilvl w:val="0"/>
                <w:numId w:val="6"/>
              </w:numPr>
              <w:tabs>
                <w:tab w:val="clear" w:pos="708"/>
              </w:tabs>
              <w:suppressAutoHyphens w:val="false"/>
              <w:spacing w:before="0" w:after="0"/>
              <w:ind w:left="0" w:right="0" w:hanging="0"/>
              <w:contextualSpacing/>
              <w:jc w:val="both"/>
              <w:rPr>
                <w:kern w:val="0"/>
                <w:sz w:val="24"/>
                <w:szCs w:val="24"/>
                <w:lang w:val="ru-RU" w:bidi="ar-SA"/>
              </w:rPr>
            </w:pPr>
            <w:r>
              <w:rPr>
                <w:kern w:val="0"/>
                <w:sz w:val="24"/>
                <w:szCs w:val="24"/>
                <w:lang w:val="ru-RU" w:bidi="ar-SA"/>
              </w:rPr>
              <w:t>Заказчик посредством электронной по</w:t>
              <w:softHyphen/>
              <w:t>чты или факсимильной связи направляет Ис</w:t>
              <w:softHyphen/>
              <w:t>полнителю заявку на предоставление тары для отбора проб.</w:t>
            </w:r>
          </w:p>
          <w:p>
            <w:pPr>
              <w:pStyle w:val="ListParagraph"/>
              <w:widowControl w:val="false"/>
              <w:numPr>
                <w:ilvl w:val="0"/>
                <w:numId w:val="6"/>
              </w:numPr>
              <w:tabs>
                <w:tab w:val="clear" w:pos="708"/>
              </w:tabs>
              <w:suppressAutoHyphens w:val="false"/>
              <w:spacing w:before="0" w:after="0"/>
              <w:ind w:left="0" w:right="0" w:hanging="0"/>
              <w:contextualSpacing/>
              <w:jc w:val="both"/>
              <w:rPr>
                <w:kern w:val="0"/>
                <w:sz w:val="24"/>
                <w:szCs w:val="24"/>
                <w:lang w:val="ru-RU" w:bidi="ar-SA"/>
              </w:rPr>
            </w:pPr>
            <w:r>
              <w:rPr>
                <w:kern w:val="0"/>
                <w:sz w:val="24"/>
                <w:szCs w:val="24"/>
                <w:lang w:val="ru-RU" w:bidi="ar-SA"/>
              </w:rPr>
              <w:t>Исполнитель в течение одного рабочего дня с даты получения заявки предоставляет За</w:t>
              <w:softHyphen/>
              <w:t>казчику чистую тару для отбора проб масла и в случае перевозки грузоперевозчиком упаковка должна соответствовать требованиям перевоз</w:t>
              <w:softHyphen/>
              <w:t>ки.</w:t>
            </w:r>
          </w:p>
          <w:p>
            <w:pPr>
              <w:pStyle w:val="ListParagraph"/>
              <w:widowControl w:val="false"/>
              <w:numPr>
                <w:ilvl w:val="0"/>
                <w:numId w:val="6"/>
              </w:numPr>
              <w:tabs>
                <w:tab w:val="clear" w:pos="708"/>
              </w:tabs>
              <w:suppressAutoHyphens w:val="false"/>
              <w:spacing w:before="0" w:after="0"/>
              <w:ind w:left="0" w:right="0" w:hanging="0"/>
              <w:contextualSpacing/>
              <w:jc w:val="both"/>
              <w:rPr>
                <w:kern w:val="0"/>
                <w:sz w:val="24"/>
                <w:szCs w:val="24"/>
                <w:lang w:val="ru-RU" w:bidi="ar-SA"/>
              </w:rPr>
            </w:pPr>
            <w:r>
              <w:rPr>
                <w:kern w:val="0"/>
                <w:sz w:val="24"/>
                <w:szCs w:val="24"/>
                <w:lang w:val="ru-RU" w:bidi="ar-SA"/>
              </w:rPr>
              <w:t>После получения чистой тары для отбо</w:t>
              <w:softHyphen/>
              <w:t>ра проб масла Заказчик осуществляет отбор проб масла и направляет Исполнителю заявку на проведение химического анализа проб по</w:t>
              <w:softHyphen/>
              <w:t>средством электронной почты или факсимиль</w:t>
              <w:softHyphen/>
              <w:t>ной связи.</w:t>
            </w:r>
          </w:p>
          <w:p>
            <w:pPr>
              <w:pStyle w:val="ListParagraph"/>
              <w:widowControl w:val="false"/>
              <w:numPr>
                <w:ilvl w:val="0"/>
                <w:numId w:val="6"/>
              </w:numPr>
              <w:tabs>
                <w:tab w:val="clear" w:pos="708"/>
              </w:tabs>
              <w:suppressAutoHyphens w:val="false"/>
              <w:spacing w:before="0" w:after="0"/>
              <w:ind w:left="0" w:right="0" w:hanging="0"/>
              <w:contextualSpacing/>
              <w:jc w:val="both"/>
              <w:rPr>
                <w:kern w:val="0"/>
                <w:sz w:val="24"/>
                <w:szCs w:val="24"/>
                <w:lang w:val="ru-RU" w:bidi="ar-SA"/>
              </w:rPr>
            </w:pPr>
            <w:r>
              <w:rPr>
                <w:kern w:val="0"/>
                <w:sz w:val="24"/>
                <w:szCs w:val="24"/>
                <w:lang w:val="ru-RU" w:bidi="ar-SA"/>
              </w:rPr>
              <w:t>Исполнитель организует доставку (упа</w:t>
              <w:softHyphen/>
              <w:t>ковку, транспортировку) проб в химическую лабораторию в срок не более трёх рабочих дней с даты получения посредством электрон</w:t>
              <w:softHyphen/>
              <w:t>ной почты или факсимильной связи заявки на проведение химического анализа от Заказчика.</w:t>
            </w:r>
          </w:p>
        </w:tc>
        <w:tc>
          <w:tcPr>
            <w:tcW w:w="1484"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w:t>
            </w:r>
          </w:p>
        </w:tc>
        <w:tc>
          <w:tcPr>
            <w:tcW w:w="2042" w:type="dxa"/>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ListParagraph"/>
              <w:widowControl w:val="false"/>
              <w:numPr>
                <w:ilvl w:val="0"/>
                <w:numId w:val="8"/>
              </w:numPr>
              <w:spacing w:before="60" w:after="60"/>
              <w:ind w:left="360" w:right="0" w:hanging="36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382" w:type="dxa"/>
            <w:gridSpan w:val="2"/>
            <w:tcBorders>
              <w:left w:val="single" w:sz="4" w:space="0" w:color="000000"/>
              <w:bottom w:val="single" w:sz="4" w:space="0" w:color="000000"/>
            </w:tcBorders>
            <w:vAlign w:val="center"/>
          </w:tcPr>
          <w:p>
            <w:pPr>
              <w:pStyle w:val="Normal"/>
              <w:widowControl w:val="false"/>
              <w:spacing w:before="0" w:after="0"/>
              <w:jc w:val="left"/>
              <w:rPr>
                <w:b/>
                <w:bCs/>
                <w:sz w:val="24"/>
                <w:szCs w:val="24"/>
              </w:rPr>
            </w:pPr>
            <w:r>
              <w:rPr>
                <w:rFonts w:eastAsia="Times New Roman" w:cs="Times New Roman"/>
                <w:b/>
                <w:bCs/>
                <w:kern w:val="0"/>
                <w:sz w:val="24"/>
                <w:szCs w:val="24"/>
                <w:lang w:val="ru-RU" w:eastAsia="ru-RU" w:bidi="ar-SA"/>
              </w:rPr>
              <w:t>Требования к результатам у</w:t>
            </w:r>
            <w:r>
              <w:rPr>
                <w:rFonts w:eastAsia="Times New Roman" w:cs="Times New Roman"/>
                <w:b/>
                <w:kern w:val="0"/>
                <w:sz w:val="24"/>
                <w:szCs w:val="24"/>
                <w:lang w:val="ru-RU" w:eastAsia="ru-RU" w:bidi="ar-SA"/>
              </w:rPr>
              <w:t>слуг</w:t>
            </w:r>
          </w:p>
        </w:tc>
        <w:tc>
          <w:tcPr>
            <w:tcW w:w="1484"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825"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042" w:type="dxa"/>
            <w:tcBorders>
              <w:left w:val="single" w:sz="4" w:space="0" w:color="000000"/>
              <w:bottom w:val="single" w:sz="4" w:space="0" w:color="000000"/>
              <w:right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r>
      <w:tr>
        <w:trPr/>
        <w:tc>
          <w:tcPr>
            <w:tcW w:w="773" w:type="dxa"/>
            <w:tcBorders>
              <w:left w:val="single" w:sz="4" w:space="0" w:color="000000"/>
              <w:bottom w:val="single" w:sz="4" w:space="0" w:color="000000"/>
            </w:tcBorders>
            <w:vAlign w:val="center"/>
          </w:tcPr>
          <w:p>
            <w:pPr>
              <w:pStyle w:val="ListParagraph"/>
              <w:widowControl w:val="false"/>
              <w:numPr>
                <w:ilvl w:val="1"/>
                <w:numId w:val="8"/>
              </w:numPr>
              <w:spacing w:before="60" w:after="60"/>
              <w:ind w:left="-117" w:right="0"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382" w:type="dxa"/>
            <w:gridSpan w:val="2"/>
            <w:tcBorders>
              <w:left w:val="single" w:sz="4" w:space="0" w:color="000000"/>
              <w:bottom w:val="single" w:sz="4" w:space="0" w:color="000000"/>
            </w:tcBorders>
            <w:vAlign w:val="center"/>
          </w:tcPr>
          <w:p>
            <w:pPr>
              <w:pStyle w:val="Normal"/>
              <w:widowControl w:val="false"/>
              <w:spacing w:before="0" w:after="0"/>
              <w:jc w:val="left"/>
              <w:rPr>
                <w:b/>
                <w:bCs/>
                <w:sz w:val="24"/>
                <w:szCs w:val="24"/>
              </w:rPr>
            </w:pPr>
            <w:r>
              <w:rPr>
                <w:rFonts w:eastAsia="Times New Roman" w:cs="Times New Roman"/>
                <w:b/>
                <w:bCs/>
                <w:kern w:val="0"/>
                <w:sz w:val="24"/>
                <w:szCs w:val="24"/>
                <w:lang w:val="ru-RU" w:eastAsia="ru-RU" w:bidi="ar-SA"/>
              </w:rPr>
              <w:t>Общие требования к результатам услуг</w:t>
            </w:r>
          </w:p>
        </w:tc>
        <w:tc>
          <w:tcPr>
            <w:tcW w:w="1484"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825"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042" w:type="dxa"/>
            <w:tcBorders>
              <w:left w:val="single" w:sz="4" w:space="0" w:color="000000"/>
              <w:bottom w:val="single" w:sz="4" w:space="0" w:color="000000"/>
              <w:right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r>
      <w:tr>
        <w:trPr/>
        <w:tc>
          <w:tcPr>
            <w:tcW w:w="773" w:type="dxa"/>
            <w:tcBorders>
              <w:left w:val="single" w:sz="4" w:space="0" w:color="000000"/>
              <w:bottom w:val="single" w:sz="4" w:space="0" w:color="000000"/>
            </w:tcBorders>
            <w:vAlign w:val="center"/>
          </w:tcPr>
          <w:p>
            <w:pPr>
              <w:pStyle w:val="ListParagraph"/>
              <w:widowControl w:val="false"/>
              <w:numPr>
                <w:ilvl w:val="2"/>
                <w:numId w:val="8"/>
              </w:numPr>
              <w:spacing w:before="60" w:after="60"/>
              <w:ind w:left="1224" w:right="0" w:hanging="1199"/>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09"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Качество оказа</w:t>
              <w:softHyphen/>
              <w:t>ния услуг</w:t>
            </w:r>
          </w:p>
        </w:tc>
        <w:tc>
          <w:tcPr>
            <w:tcW w:w="6273"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Исполнитель несет ответственность за ре</w:t>
              <w:softHyphen/>
              <w:t>зультат проведённых анализов.</w:t>
            </w:r>
          </w:p>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Заказчик вправе, в случае сомнений в ре</w:t>
              <w:softHyphen/>
              <w:t>зультате, провести дополнительный анализ в независимой химической лаборатории. Если подтвердится не соответствие результата ана</w:t>
              <w:softHyphen/>
              <w:t>лиза, исполнитель обязан оплатить услуги не</w:t>
              <w:softHyphen/>
              <w:t>зависимой химической лаборатории.</w:t>
            </w:r>
          </w:p>
        </w:tc>
        <w:tc>
          <w:tcPr>
            <w:tcW w:w="1484"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tcBorders>
              <w:left w:val="single" w:sz="4" w:space="0" w:color="000000"/>
              <w:bottom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t>-//-</w:t>
            </w:r>
          </w:p>
        </w:tc>
        <w:tc>
          <w:tcPr>
            <w:tcW w:w="2042" w:type="dxa"/>
            <w:tcBorders>
              <w:left w:val="single" w:sz="4" w:space="0" w:color="000000"/>
              <w:bottom w:val="single" w:sz="4" w:space="0" w:color="000000"/>
              <w:right w:val="single" w:sz="4" w:space="0" w:color="000000"/>
            </w:tcBorders>
          </w:tcPr>
          <w:p>
            <w:pPr>
              <w:pStyle w:val="Normal"/>
              <w:widowControl w:val="false"/>
              <w:tabs>
                <w:tab w:val="clear" w:pos="708"/>
              </w:tabs>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ListParagraph"/>
              <w:widowControl w:val="false"/>
              <w:numPr>
                <w:ilvl w:val="1"/>
                <w:numId w:val="8"/>
              </w:numPr>
              <w:spacing w:before="60" w:after="60"/>
              <w:ind w:left="-117" w:right="0" w:firstLine="142"/>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382" w:type="dxa"/>
            <w:gridSpan w:val="2"/>
            <w:tcBorders>
              <w:left w:val="single" w:sz="4" w:space="0" w:color="000000"/>
              <w:bottom w:val="single" w:sz="4" w:space="0" w:color="000000"/>
            </w:tcBorders>
            <w:vAlign w:val="center"/>
          </w:tcPr>
          <w:p>
            <w:pPr>
              <w:pStyle w:val="Normal"/>
              <w:widowControl w:val="false"/>
              <w:spacing w:before="60" w:after="0"/>
              <w:jc w:val="left"/>
              <w:rPr>
                <w:b/>
                <w:sz w:val="24"/>
                <w:szCs w:val="24"/>
              </w:rPr>
            </w:pPr>
            <w:r>
              <w:rPr>
                <w:rFonts w:eastAsia="Times New Roman" w:cs="Times New Roman"/>
                <w:b/>
                <w:kern w:val="0"/>
                <w:sz w:val="24"/>
                <w:szCs w:val="24"/>
                <w:lang w:val="ru-RU" w:eastAsia="ru-RU" w:bidi="ar-SA"/>
              </w:rPr>
              <w:t>Требования к документации, описывающей результат оказа</w:t>
              <w:softHyphen/>
              <w:t>ния услуг</w:t>
            </w:r>
          </w:p>
        </w:tc>
        <w:tc>
          <w:tcPr>
            <w:tcW w:w="1484"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825" w:type="dxa"/>
            <w:tcBorders>
              <w:left w:val="single" w:sz="4" w:space="0" w:color="000000"/>
              <w:bottom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c>
          <w:tcPr>
            <w:tcW w:w="2042" w:type="dxa"/>
            <w:tcBorders>
              <w:left w:val="single" w:sz="4" w:space="0" w:color="000000"/>
              <w:bottom w:val="single" w:sz="4" w:space="0" w:color="000000"/>
              <w:right w:val="single" w:sz="4" w:space="0" w:color="000000"/>
            </w:tcBorders>
          </w:tcPr>
          <w:p>
            <w:pPr>
              <w:pStyle w:val="Normal"/>
              <w:keepNext w:val="true"/>
              <w:widowControl w:val="false"/>
              <w:spacing w:before="60" w:after="60"/>
              <w:jc w:val="center"/>
              <w:rPr>
                <w:b/>
                <w:sz w:val="24"/>
                <w:szCs w:val="24"/>
              </w:rPr>
            </w:pPr>
            <w:r>
              <w:rPr>
                <w:rFonts w:eastAsia="Times New Roman" w:cs="Times New Roman"/>
                <w:b/>
                <w:kern w:val="0"/>
                <w:sz w:val="24"/>
                <w:szCs w:val="24"/>
                <w:lang w:val="ru-RU" w:eastAsia="ru-RU" w:bidi="ar-SA"/>
              </w:rPr>
              <w:t>-//-</w:t>
            </w:r>
          </w:p>
        </w:tc>
      </w:tr>
      <w:tr>
        <w:trPr/>
        <w:tc>
          <w:tcPr>
            <w:tcW w:w="773" w:type="dxa"/>
            <w:tcBorders>
              <w:left w:val="single" w:sz="4" w:space="0" w:color="000000"/>
              <w:bottom w:val="single" w:sz="4" w:space="0" w:color="000000"/>
            </w:tcBorders>
            <w:vAlign w:val="center"/>
          </w:tcPr>
          <w:p>
            <w:pPr>
              <w:pStyle w:val="ListParagraph"/>
              <w:widowControl w:val="false"/>
              <w:numPr>
                <w:ilvl w:val="2"/>
                <w:numId w:val="8"/>
              </w:numPr>
              <w:spacing w:before="60" w:after="60"/>
              <w:ind w:left="1224" w:right="0" w:hanging="1199"/>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09" w:type="dxa"/>
            <w:tcBorders>
              <w:left w:val="single" w:sz="4" w:space="0" w:color="000000"/>
              <w:bottom w:val="single" w:sz="4" w:space="0" w:color="000000"/>
            </w:tcBorders>
          </w:tcPr>
          <w:p>
            <w:pPr>
              <w:pStyle w:val="Normal"/>
              <w:widowControl w:val="false"/>
              <w:suppressAutoHyphens w:val="false"/>
              <w:spacing w:before="0" w:after="0"/>
              <w:jc w:val="left"/>
              <w:rPr>
                <w:kern w:val="0"/>
                <w:sz w:val="24"/>
                <w:szCs w:val="24"/>
                <w:lang w:val="ru-RU" w:bidi="ar-SA"/>
              </w:rPr>
            </w:pPr>
            <w:r>
              <w:rPr>
                <w:kern w:val="0"/>
                <w:sz w:val="24"/>
                <w:szCs w:val="24"/>
                <w:lang w:val="ru-RU" w:bidi="ar-SA"/>
              </w:rPr>
              <w:t>Требования к со</w:t>
              <w:softHyphen/>
              <w:t>держанию отчета (протокола)</w:t>
            </w:r>
          </w:p>
        </w:tc>
        <w:tc>
          <w:tcPr>
            <w:tcW w:w="6273" w:type="dxa"/>
            <w:tcBorders>
              <w:left w:val="single" w:sz="4" w:space="0" w:color="000000"/>
              <w:bottom w:val="single" w:sz="4" w:space="0" w:color="000000"/>
            </w:tcBorders>
            <w:vAlign w:val="center"/>
          </w:tcPr>
          <w:p>
            <w:pPr>
              <w:pStyle w:val="Standard"/>
              <w:widowControl w:val="false"/>
              <w:jc w:val="both"/>
              <w:rPr>
                <w:kern w:val="0"/>
                <w:lang w:bidi="ar-SA"/>
              </w:rPr>
            </w:pPr>
            <w:r>
              <w:rPr>
                <w:kern w:val="0"/>
                <w:lang w:bidi="ar-SA"/>
              </w:rPr>
              <w:t>Отчет (протокол) должен:</w:t>
            </w:r>
          </w:p>
          <w:p>
            <w:pPr>
              <w:pStyle w:val="ListParagraph"/>
              <w:widowControl w:val="false"/>
              <w:numPr>
                <w:ilvl w:val="0"/>
                <w:numId w:val="5"/>
              </w:numPr>
              <w:tabs>
                <w:tab w:val="clear" w:pos="708"/>
                <w:tab w:val="left" w:pos="338" w:leader="none"/>
              </w:tabs>
              <w:spacing w:before="0" w:after="0"/>
              <w:ind w:left="0" w:right="0" w:hanging="0"/>
              <w:contextualSpacing w:val="false"/>
              <w:jc w:val="both"/>
              <w:rPr>
                <w:kern w:val="0"/>
                <w:lang w:bidi="ar-SA"/>
              </w:rPr>
            </w:pPr>
            <w:r>
              <w:rPr>
                <w:kern w:val="0"/>
                <w:lang w:bidi="ar-SA"/>
              </w:rPr>
              <w:t>Составляется отдельно на каждую единицу оборудования, ёмкость.</w:t>
            </w:r>
          </w:p>
          <w:p>
            <w:pPr>
              <w:pStyle w:val="ListParagraph"/>
              <w:widowControl w:val="false"/>
              <w:numPr>
                <w:ilvl w:val="0"/>
                <w:numId w:val="5"/>
              </w:numPr>
              <w:tabs>
                <w:tab w:val="clear" w:pos="708"/>
                <w:tab w:val="left" w:pos="338" w:leader="none"/>
              </w:tabs>
              <w:spacing w:before="0" w:after="0"/>
              <w:ind w:left="0" w:right="0" w:hanging="0"/>
              <w:contextualSpacing w:val="false"/>
              <w:jc w:val="both"/>
              <w:rPr>
                <w:kern w:val="0"/>
                <w:lang w:bidi="ar-SA"/>
              </w:rPr>
            </w:pPr>
            <w:r>
              <w:rPr>
                <w:kern w:val="0"/>
                <w:lang w:bidi="ar-SA"/>
              </w:rPr>
              <w:t>Должен содержать всю информацию, предоставленную заказчиком.</w:t>
            </w:r>
          </w:p>
          <w:p>
            <w:pPr>
              <w:pStyle w:val="ListParagraph"/>
              <w:widowControl w:val="false"/>
              <w:numPr>
                <w:ilvl w:val="0"/>
                <w:numId w:val="5"/>
              </w:numPr>
              <w:tabs>
                <w:tab w:val="clear" w:pos="708"/>
                <w:tab w:val="left" w:pos="338" w:leader="none"/>
              </w:tabs>
              <w:spacing w:before="0" w:after="0"/>
              <w:ind w:left="0" w:right="0" w:hanging="0"/>
              <w:contextualSpacing w:val="false"/>
              <w:jc w:val="both"/>
              <w:rPr>
                <w:kern w:val="0"/>
                <w:lang w:bidi="ar-SA"/>
              </w:rPr>
            </w:pPr>
            <w:r>
              <w:rPr>
                <w:kern w:val="0"/>
                <w:lang w:bidi="ar-SA"/>
              </w:rPr>
              <w:t>Должен содержать результат проверки ана</w:t>
              <w:softHyphen/>
              <w:t>лиза масел согласно норм, указанных в прило</w:t>
              <w:softHyphen/>
              <w:t>жениях1 и 2.</w:t>
            </w:r>
          </w:p>
          <w:p>
            <w:pPr>
              <w:pStyle w:val="ListParagraph"/>
              <w:widowControl w:val="false"/>
              <w:numPr>
                <w:ilvl w:val="0"/>
                <w:numId w:val="5"/>
              </w:numPr>
              <w:tabs>
                <w:tab w:val="clear" w:pos="708"/>
                <w:tab w:val="left" w:pos="338" w:leader="none"/>
              </w:tabs>
              <w:spacing w:before="0" w:after="0"/>
              <w:ind w:left="0" w:right="0" w:hanging="0"/>
              <w:contextualSpacing w:val="false"/>
              <w:jc w:val="both"/>
              <w:rPr>
                <w:kern w:val="0"/>
                <w:lang w:bidi="ar-SA"/>
              </w:rPr>
            </w:pPr>
            <w:r>
              <w:rPr>
                <w:kern w:val="0"/>
                <w:sz w:val="24"/>
                <w:szCs w:val="24"/>
                <w:lang w:val="ru-RU" w:eastAsia="x-none" w:bidi="ar-SA"/>
              </w:rPr>
              <w:t>Рекомендации по устранению отклонений от норм стандартов указанных настоящих тех</w:t>
              <w:softHyphen/>
              <w:t>нических требований.</w:t>
            </w:r>
          </w:p>
        </w:tc>
        <w:tc>
          <w:tcPr>
            <w:tcW w:w="1484" w:type="dxa"/>
            <w:tcBorders>
              <w:left w:val="single" w:sz="4" w:space="0" w:color="000000"/>
              <w:bottom w:val="single" w:sz="4" w:space="0" w:color="000000"/>
            </w:tcBorders>
          </w:tcPr>
          <w:p>
            <w:pPr>
              <w:pStyle w:val="Normal"/>
              <w:widowControl w:val="false"/>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tcBorders>
              <w:left w:val="single" w:sz="4" w:space="0" w:color="000000"/>
              <w:bottom w:val="single" w:sz="4" w:space="0" w:color="000000"/>
            </w:tcBorders>
          </w:tcPr>
          <w:p>
            <w:pPr>
              <w:pStyle w:val="Normal"/>
              <w:widowControl w:val="false"/>
              <w:suppressAutoHyphens w:val="false"/>
              <w:spacing w:before="0" w:after="0"/>
              <w:jc w:val="left"/>
              <w:rPr>
                <w:kern w:val="0"/>
                <w:sz w:val="24"/>
                <w:szCs w:val="24"/>
                <w:lang w:val="ru-RU" w:bidi="ar-SA"/>
              </w:rPr>
            </w:pPr>
            <w:r>
              <w:rPr>
                <w:kern w:val="0"/>
                <w:sz w:val="24"/>
                <w:szCs w:val="24"/>
                <w:lang w:val="ru-RU" w:bidi="ar-SA"/>
              </w:rPr>
              <w:t>-//-</w:t>
            </w:r>
          </w:p>
        </w:tc>
        <w:tc>
          <w:tcPr>
            <w:tcW w:w="2042" w:type="dxa"/>
            <w:tcBorders>
              <w:left w:val="single" w:sz="4" w:space="0" w:color="000000"/>
              <w:bottom w:val="single" w:sz="4" w:space="0" w:color="000000"/>
              <w:right w:val="single" w:sz="4" w:space="0" w:color="000000"/>
            </w:tcBorders>
          </w:tcPr>
          <w:p>
            <w:pPr>
              <w:pStyle w:val="Normal"/>
              <w:widowControl w:val="false"/>
              <w:suppressAutoHyphens w:val="false"/>
              <w:spacing w:before="0" w:after="0"/>
              <w:jc w:val="left"/>
              <w:rPr>
                <w:kern w:val="0"/>
                <w:sz w:val="24"/>
                <w:szCs w:val="24"/>
                <w:lang w:val="ru-RU" w:bidi="ar-SA"/>
              </w:rPr>
            </w:pPr>
            <w:r>
              <w:rPr>
                <w:kern w:val="0"/>
                <w:sz w:val="24"/>
                <w:szCs w:val="24"/>
                <w:lang w:val="ru-RU" w:bidi="ar-SA"/>
              </w:rPr>
            </w:r>
          </w:p>
        </w:tc>
      </w:tr>
      <w:tr>
        <w:trPr/>
        <w:tc>
          <w:tcPr>
            <w:tcW w:w="773" w:type="dxa"/>
            <w:tcBorders>
              <w:left w:val="single" w:sz="4" w:space="0" w:color="000000"/>
              <w:bottom w:val="single" w:sz="4" w:space="0" w:color="000000"/>
            </w:tcBorders>
            <w:vAlign w:val="center"/>
          </w:tcPr>
          <w:p>
            <w:pPr>
              <w:pStyle w:val="ListParagraph"/>
              <w:widowControl w:val="false"/>
              <w:numPr>
                <w:ilvl w:val="2"/>
                <w:numId w:val="8"/>
              </w:numPr>
              <w:spacing w:before="60" w:after="60"/>
              <w:ind w:left="1224" w:right="0" w:hanging="1199"/>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09" w:type="dxa"/>
            <w:tcBorders>
              <w:left w:val="single" w:sz="4" w:space="0" w:color="000000"/>
              <w:bottom w:val="single" w:sz="4" w:space="0" w:color="000000"/>
            </w:tcBorders>
          </w:tcPr>
          <w:p>
            <w:pPr>
              <w:pStyle w:val="Standard"/>
              <w:widowControl w:val="false"/>
              <w:rPr>
                <w:rFonts w:ascii="Times New Roman" w:hAnsi="Times New Roman" w:eastAsia="Calibri" w:cs="Times New Roman"/>
                <w:color w:val="auto"/>
                <w:kern w:val="0"/>
                <w:sz w:val="24"/>
                <w:szCs w:val="28"/>
                <w:lang w:val="ru-RU" w:eastAsia="ru-RU" w:bidi="ar-SA"/>
              </w:rPr>
            </w:pPr>
            <w:r>
              <w:rPr>
                <w:rFonts w:eastAsia="Calibri" w:cs="Times New Roman" w:ascii="Times New Roman" w:hAnsi="Times New Roman"/>
                <w:color w:val="auto"/>
                <w:kern w:val="0"/>
                <w:sz w:val="24"/>
                <w:szCs w:val="28"/>
                <w:lang w:val="ru-RU" w:eastAsia="ru-RU" w:bidi="ar-SA"/>
              </w:rPr>
              <w:t>Документы, передаваемые за</w:t>
              <w:softHyphen/>
              <w:t>казчику по ре</w:t>
              <w:softHyphen/>
              <w:t>зультатам ока</w:t>
              <w:softHyphen/>
              <w:t>занных услуг</w:t>
            </w:r>
          </w:p>
        </w:tc>
        <w:tc>
          <w:tcPr>
            <w:tcW w:w="6273" w:type="dxa"/>
            <w:tcBorders>
              <w:left w:val="single" w:sz="4" w:space="0" w:color="000000"/>
              <w:bottom w:val="single" w:sz="4" w:space="0" w:color="000000"/>
            </w:tcBorders>
            <w:vAlign w:val="center"/>
          </w:tcPr>
          <w:p>
            <w:pPr>
              <w:pStyle w:val="Normal"/>
              <w:widowControl w:val="false"/>
              <w:shd w:val="clear" w:fill="FFFFFF"/>
              <w:tabs>
                <w:tab w:val="clear" w:pos="708"/>
                <w:tab w:val="left" w:pos="338" w:leader="none"/>
                <w:tab w:val="left" w:pos="1247" w:leader="none"/>
              </w:tabs>
              <w:suppressAutoHyphens w:val="false"/>
              <w:ind w:left="0" w:right="0" w:firstLine="55"/>
              <w:jc w:val="both"/>
              <w:rPr/>
            </w:pPr>
            <w:r>
              <w:rPr>
                <w:rFonts w:eastAsia="Calibri" w:cs="Times New Roman"/>
              </w:rPr>
              <w:t>П</w:t>
            </w:r>
            <w:r>
              <w:rPr>
                <w:rFonts w:eastAsia="Calibri" w:cs="Times New Roman"/>
                <w:sz w:val="24"/>
                <w:szCs w:val="28"/>
              </w:rPr>
              <w:t xml:space="preserve">осле окончания каждого этапа Услуг, </w:t>
            </w:r>
            <w:bookmarkStart w:id="42" w:name="_Toc161659415_Копия_1"/>
            <w:bookmarkStart w:id="43" w:name="_Toc131007920_Копия_1"/>
            <w:bookmarkStart w:id="44" w:name="_Toc131077103_Копия_1"/>
            <w:bookmarkStart w:id="45" w:name="_Toc130547794_Копия_1"/>
            <w:bookmarkStart w:id="46" w:name="_Toc130914382_Копия_1"/>
            <w:bookmarkStart w:id="47" w:name="_Toc131004922_Копия_1"/>
            <w:bookmarkStart w:id="48" w:name="_Toc51339693_Копия_1"/>
            <w:r>
              <w:rPr>
                <w:rFonts w:eastAsia="Calibri" w:cs="Times New Roman"/>
                <w:sz w:val="24"/>
                <w:szCs w:val="28"/>
              </w:rPr>
              <w:t>у</w:t>
            </w:r>
            <w:bookmarkEnd w:id="42"/>
            <w:bookmarkEnd w:id="43"/>
            <w:bookmarkEnd w:id="44"/>
            <w:bookmarkEnd w:id="45"/>
            <w:bookmarkEnd w:id="46"/>
            <w:bookmarkEnd w:id="47"/>
            <w:bookmarkEnd w:id="48"/>
            <w:r>
              <w:rPr>
                <w:rFonts w:eastAsia="Calibri" w:cs="Times New Roman"/>
                <w:sz w:val="24"/>
                <w:szCs w:val="28"/>
              </w:rPr>
              <w:t>ка</w:t>
              <w:softHyphen/>
              <w:t>занных в пп. 2.1 ТТ, Исполнитель в течение 5 (пяти) рабочих дней предоставляет Заказчику подписанные со своей стороны в 2 (двух) эк</w:t>
              <w:softHyphen/>
              <w:t>земплярах Акты об оказании Услуг с приложе</w:t>
              <w:softHyphen/>
              <w:t>нием Отчетов (протоколов) об оказании Услуг.</w:t>
            </w:r>
          </w:p>
        </w:tc>
        <w:tc>
          <w:tcPr>
            <w:tcW w:w="1484" w:type="dxa"/>
            <w:tcBorders>
              <w:left w:val="single" w:sz="4" w:space="0" w:color="000000"/>
              <w:bottom w:val="single" w:sz="4" w:space="0" w:color="000000"/>
            </w:tcBorders>
          </w:tcPr>
          <w:p>
            <w:pPr>
              <w:pStyle w:val="Normal"/>
              <w:widowControl w:val="false"/>
              <w:suppressAutoHyphens w:val="false"/>
              <w:spacing w:before="0" w:after="0"/>
              <w:jc w:val="left"/>
              <w:rPr>
                <w:kern w:val="0"/>
                <w:sz w:val="24"/>
                <w:szCs w:val="24"/>
                <w:lang w:val="ru-RU" w:bidi="ar-SA"/>
              </w:rPr>
            </w:pPr>
            <w:r>
              <w:rPr>
                <w:kern w:val="0"/>
                <w:sz w:val="24"/>
                <w:szCs w:val="24"/>
                <w:lang w:val="ru-RU" w:bidi="ar-SA"/>
              </w:rPr>
              <w:t>Согласие с требова</w:t>
              <w:softHyphen/>
              <w:t>нием</w:t>
            </w:r>
          </w:p>
        </w:tc>
        <w:tc>
          <w:tcPr>
            <w:tcW w:w="2825" w:type="dxa"/>
            <w:tcBorders>
              <w:left w:val="single" w:sz="4" w:space="0" w:color="000000"/>
              <w:bottom w:val="single" w:sz="4" w:space="0" w:color="000000"/>
            </w:tcBorders>
          </w:tcPr>
          <w:p>
            <w:pPr>
              <w:pStyle w:val="Normal"/>
              <w:widowControl w:val="false"/>
              <w:suppressAutoHyphens w:val="false"/>
              <w:spacing w:before="0" w:after="0"/>
              <w:jc w:val="left"/>
              <w:rPr>
                <w:kern w:val="0"/>
                <w:sz w:val="24"/>
                <w:szCs w:val="24"/>
                <w:lang w:val="ru-RU" w:bidi="ar-SA"/>
              </w:rPr>
            </w:pPr>
            <w:r>
              <w:rPr>
                <w:kern w:val="0"/>
                <w:sz w:val="24"/>
                <w:szCs w:val="24"/>
                <w:lang w:val="ru-RU" w:bidi="ar-SA"/>
              </w:rPr>
              <w:t>-//-</w:t>
            </w:r>
          </w:p>
        </w:tc>
        <w:tc>
          <w:tcPr>
            <w:tcW w:w="2042" w:type="dxa"/>
            <w:tcBorders>
              <w:left w:val="single" w:sz="4" w:space="0" w:color="000000"/>
              <w:bottom w:val="single" w:sz="4" w:space="0" w:color="000000"/>
              <w:right w:val="single" w:sz="4" w:space="0" w:color="000000"/>
            </w:tcBorders>
          </w:tcPr>
          <w:p>
            <w:pPr>
              <w:pStyle w:val="Normal"/>
              <w:widowControl w:val="false"/>
              <w:suppressAutoHyphens w:val="false"/>
              <w:spacing w:before="0" w:after="0"/>
              <w:jc w:val="left"/>
              <w:rPr>
                <w:kern w:val="0"/>
                <w:sz w:val="24"/>
                <w:szCs w:val="24"/>
                <w:lang w:val="ru-RU" w:bidi="ar-SA"/>
              </w:rPr>
            </w:pPr>
            <w:r>
              <w:rPr>
                <w:kern w:val="0"/>
                <w:sz w:val="24"/>
                <w:szCs w:val="24"/>
                <w:lang w:val="ru-RU" w:bidi="ar-SA"/>
              </w:rPr>
            </w:r>
          </w:p>
        </w:tc>
      </w:tr>
    </w:tbl>
    <w:p>
      <w:pPr>
        <w:sectPr>
          <w:headerReference w:type="default" r:id="rId8"/>
          <w:headerReference w:type="first" r:id="rId9"/>
          <w:type w:val="nextPage"/>
          <w:pgSz w:orient="landscape" w:w="16838" w:h="11906"/>
          <w:pgMar w:left="992" w:right="307" w:gutter="0" w:header="290" w:top="461" w:footer="0" w:bottom="279"/>
          <w:pgNumType w:fmt="decimal"/>
          <w:formProt w:val="false"/>
          <w:textDirection w:val="lrTb"/>
          <w:docGrid w:type="default" w:linePitch="381" w:charSpace="0"/>
        </w:sectPr>
      </w:pPr>
    </w:p>
    <w:p>
      <w:pPr>
        <w:pStyle w:val="Heading1"/>
        <w:numPr>
          <w:ilvl w:val="0"/>
          <w:numId w:val="3"/>
        </w:numPr>
        <w:ind w:left="0" w:right="0" w:hanging="0"/>
        <w:jc w:val="center"/>
        <w:rPr/>
      </w:pPr>
      <w:bookmarkStart w:id="49" w:name="__RefHeading___Toc9421_4190695750"/>
      <w:bookmarkStart w:id="50" w:name="_Toc131077111"/>
      <w:bookmarkStart w:id="51" w:name="_Toc131004928"/>
      <w:bookmarkStart w:id="52" w:name="_Toc130547807"/>
      <w:bookmarkStart w:id="53" w:name="_Toc131007928"/>
      <w:bookmarkStart w:id="54" w:name="_Toc161659418"/>
      <w:bookmarkStart w:id="55" w:name="_Toc130914385"/>
      <w:bookmarkStart w:id="56" w:name="_Toc213233056"/>
      <w:bookmarkStart w:id="57" w:name="_Toc213231368"/>
      <w:bookmarkStart w:id="58" w:name="_Toc53393312"/>
      <w:bookmarkStart w:id="59" w:name="_Toc53395937"/>
      <w:bookmarkEnd w:id="49"/>
      <w:r>
        <w:rPr>
          <w:b/>
        </w:rPr>
        <w:t>Требования к документации по ценообразованию</w:t>
      </w:r>
      <w:bookmarkEnd w:id="58"/>
      <w:bookmarkEnd w:id="59"/>
      <w:r>
        <w:rPr>
          <w:b/>
        </w:rPr>
        <w:t xml:space="preserve"> на этапе закупки</w:t>
      </w:r>
      <w:bookmarkEnd w:id="50"/>
      <w:bookmarkEnd w:id="51"/>
      <w:bookmarkEnd w:id="52"/>
      <w:bookmarkEnd w:id="53"/>
      <w:bookmarkEnd w:id="54"/>
      <w:bookmarkEnd w:id="55"/>
      <w:bookmarkEnd w:id="56"/>
      <w:bookmarkEnd w:id="57"/>
    </w:p>
    <w:p>
      <w:pPr>
        <w:pStyle w:val="Standard"/>
        <w:numPr>
          <w:ilvl w:val="0"/>
          <w:numId w:val="0"/>
        </w:numPr>
        <w:ind w:left="0" w:right="0" w:hanging="0"/>
        <w:jc w:val="both"/>
        <w:rPr/>
      </w:pPr>
      <w:r>
        <w:rPr>
          <w:rFonts w:eastAsia="Calibri"/>
        </w:rPr>
        <w:t>В обоснование стоимости заявки Участник должен представить Коммерческое предложение по форме, приведенной в Документации о закупке. Сметная документация в состав заявки участника не включается.</w:t>
      </w:r>
    </w:p>
    <w:p>
      <w:pPr>
        <w:pStyle w:val="Heading1"/>
        <w:numPr>
          <w:ilvl w:val="0"/>
          <w:numId w:val="3"/>
        </w:numPr>
        <w:ind w:left="0" w:right="0" w:hanging="0"/>
        <w:jc w:val="center"/>
        <w:rPr/>
      </w:pPr>
      <w:bookmarkStart w:id="60" w:name="__RefHeading___Toc9423_4190695750"/>
      <w:bookmarkStart w:id="61" w:name="_Toc161659419"/>
      <w:bookmarkStart w:id="62" w:name="_Toc131007929"/>
      <w:bookmarkStart w:id="63" w:name="_Toc130547808"/>
      <w:bookmarkStart w:id="64" w:name="_Toc131077112"/>
      <w:bookmarkStart w:id="65" w:name="_Toc131004929"/>
      <w:bookmarkStart w:id="66" w:name="_Toc130914386"/>
      <w:bookmarkStart w:id="67" w:name="_Toc54281228"/>
      <w:bookmarkStart w:id="68" w:name="_Toc213231369"/>
      <w:bookmarkStart w:id="69" w:name="_Toc213233057"/>
      <w:bookmarkEnd w:id="60"/>
      <w:r>
        <w:rPr>
          <w:b/>
        </w:rPr>
        <w:t>Требования к документации по ценообразованию на этапе заключения</w:t>
      </w:r>
      <w:r>
        <w:rPr/>
        <w:t xml:space="preserve"> </w:t>
      </w:r>
      <w:r>
        <w:rPr>
          <w:b/>
        </w:rPr>
        <w:t>(исполнения) договора</w:t>
      </w:r>
      <w:bookmarkEnd w:id="61"/>
      <w:bookmarkEnd w:id="62"/>
      <w:bookmarkEnd w:id="63"/>
      <w:bookmarkEnd w:id="64"/>
      <w:bookmarkEnd w:id="65"/>
      <w:bookmarkEnd w:id="66"/>
      <w:bookmarkEnd w:id="67"/>
      <w:bookmarkEnd w:id="68"/>
      <w:bookmarkEnd w:id="69"/>
    </w:p>
    <w:p>
      <w:pPr>
        <w:pStyle w:val="Standard"/>
        <w:numPr>
          <w:ilvl w:val="0"/>
          <w:numId w:val="0"/>
        </w:numPr>
        <w:ind w:left="0" w:right="0" w:hanging="0"/>
        <w:jc w:val="both"/>
        <w:rPr/>
      </w:pPr>
      <w:r>
        <w:rPr>
          <w:rStyle w:val="Style8"/>
          <w:rFonts w:eastAsia="Calibri"/>
          <w:b w:val="false"/>
          <w:bCs/>
          <w:i w:val="false"/>
          <w:iCs w:val="false"/>
          <w:sz w:val="24"/>
          <w:szCs w:val="24"/>
          <w:shd w:fill="FFFFFF" w:val="clear"/>
          <w:lang w:val="ru-RU"/>
        </w:rPr>
        <w:t xml:space="preserve"> </w:t>
      </w:r>
      <w:r>
        <w:rPr>
          <w:rStyle w:val="Style8"/>
          <w:rFonts w:eastAsia="Calibri"/>
          <w:b w:val="false"/>
          <w:bCs/>
          <w:i w:val="false"/>
          <w:iCs w:val="false"/>
          <w:sz w:val="24"/>
          <w:szCs w:val="24"/>
          <w:shd w:fill="FFFFFF" w:val="clear"/>
          <w:lang w:val="ru-RU"/>
        </w:rPr>
        <w:t>Разработка сметной документации осуществляется на стадии заключения дополнительного соглашения на твердую стоимость в соответствии с Приложением №</w:t>
      </w:r>
      <w:r>
        <w:rPr>
          <w:rStyle w:val="Style8"/>
          <w:rFonts w:eastAsia="Calibri"/>
          <w:b w:val="false"/>
          <w:bCs/>
          <w:i w:val="false"/>
          <w:iCs w:val="false"/>
          <w:sz w:val="24"/>
          <w:szCs w:val="24"/>
          <w:shd w:fill="auto" w:val="clear"/>
          <w:lang w:val="ru-RU"/>
        </w:rPr>
        <w:t>4</w:t>
      </w:r>
      <w:r>
        <w:rPr>
          <w:rStyle w:val="Style8"/>
          <w:rFonts w:eastAsia="Calibri"/>
          <w:b w:val="false"/>
          <w:bCs/>
          <w:i w:val="false"/>
          <w:iCs w:val="false"/>
          <w:sz w:val="24"/>
          <w:szCs w:val="24"/>
          <w:shd w:fill="FFFFFF" w:val="clear"/>
          <w:lang w:val="ru-RU"/>
        </w:rPr>
        <w:t xml:space="preserve"> к настоящим Техническим требованиям «Требования к оформлению и составлению смет или расчетов на</w:t>
      </w:r>
      <w:r>
        <w:rPr>
          <w:rStyle w:val="Style8"/>
          <w:rFonts w:eastAsia="Calibri"/>
          <w:b/>
          <w:bCs/>
          <w:i/>
          <w:iCs w:val="false"/>
          <w:sz w:val="24"/>
          <w:szCs w:val="24"/>
          <w:shd w:fill="FFFFFF" w:val="clear"/>
          <w:lang w:val="ru-RU"/>
        </w:rPr>
        <w:t xml:space="preserve"> </w:t>
      </w:r>
      <w:r>
        <w:rPr>
          <w:rStyle w:val="Style8"/>
          <w:rFonts w:eastAsia="Calibri"/>
          <w:b w:val="false"/>
          <w:bCs/>
          <w:i w:val="false"/>
          <w:iCs w:val="false"/>
          <w:sz w:val="24"/>
          <w:szCs w:val="24"/>
          <w:shd w:fill="FFFFFF" w:val="clear"/>
          <w:lang w:val="ru-RU"/>
        </w:rPr>
        <w:t>оказание услуг по программе эксплуатации».</w:t>
      </w:r>
    </w:p>
    <w:p>
      <w:pPr>
        <w:pStyle w:val="Heading1"/>
        <w:keepLines/>
        <w:numPr>
          <w:ilvl w:val="0"/>
          <w:numId w:val="0"/>
        </w:numPr>
        <w:ind w:left="357" w:right="0" w:hanging="0"/>
        <w:rPr>
          <w:rFonts w:eastAsia="Calibri"/>
          <w:b/>
          <w:iCs/>
          <w:caps/>
          <w:lang w:val="x-none" w:eastAsia="x-none"/>
        </w:rPr>
      </w:pPr>
      <w:r>
        <w:rPr>
          <w:rFonts w:eastAsia="Calibri"/>
          <w:b/>
          <w:iCs/>
          <w:caps/>
          <w:lang w:val="x-none" w:eastAsia="x-none"/>
        </w:rPr>
      </w:r>
      <w:bookmarkStart w:id="70" w:name="_Toc51339699_Копия_1"/>
      <w:bookmarkStart w:id="71" w:name="_Toc46743519_Копия_1"/>
      <w:bookmarkStart w:id="72" w:name="_Toc51339699_Копия_1"/>
      <w:bookmarkStart w:id="73" w:name="_Toc46743519_Копия_1"/>
      <w:bookmarkEnd w:id="72"/>
      <w:bookmarkEnd w:id="73"/>
    </w:p>
    <w:p>
      <w:pPr>
        <w:pStyle w:val="Heading1"/>
        <w:keepLines/>
        <w:numPr>
          <w:ilvl w:val="0"/>
          <w:numId w:val="3"/>
        </w:numPr>
        <w:ind w:left="357" w:right="0" w:hanging="357"/>
        <w:jc w:val="center"/>
        <w:rPr>
          <w:iCs/>
          <w:caps/>
        </w:rPr>
      </w:pPr>
      <w:bookmarkStart w:id="74" w:name="__RefHeading___Toc17123_3859023711"/>
      <w:bookmarkEnd w:id="74"/>
      <w:r>
        <w:rPr>
          <w:iCs/>
          <w:lang w:val="ru-RU"/>
        </w:rPr>
        <w:t>Приложения</w:t>
      </w:r>
    </w:p>
    <w:p>
      <w:pPr>
        <w:pStyle w:val="Standard"/>
        <w:jc w:val="both"/>
        <w:rPr/>
      </w:pPr>
      <w:r>
        <w:rPr>
          <w:rStyle w:val="Style8"/>
          <w:rFonts w:eastAsia="Times New Roman" w:cs="Times New Roman" w:ascii="Times New Roman" w:hAnsi="Times New Roman"/>
          <w:b w:val="false"/>
          <w:bCs/>
          <w:i w:val="false"/>
          <w:iCs w:val="false"/>
          <w:color w:val="000000"/>
          <w:kern w:val="0"/>
          <w:sz w:val="24"/>
          <w:szCs w:val="24"/>
          <w:shd w:fill="FFFFFF" w:val="clear"/>
          <w:lang w:val="ru-RU" w:eastAsia="ru-RU" w:bidi="ar-SA"/>
        </w:rPr>
        <w:t>Приложение №1: «Требования к анализу турбинного масла СТО РусГидро 02.01.112-2015».</w:t>
      </w:r>
    </w:p>
    <w:p>
      <w:pPr>
        <w:pStyle w:val="Standard"/>
        <w:jc w:val="both"/>
        <w:rPr/>
      </w:pPr>
      <w:r>
        <w:rPr>
          <w:rStyle w:val="Style8"/>
          <w:rFonts w:eastAsia="Times New Roman" w:cs="Times New Roman" w:ascii="Times New Roman" w:hAnsi="Times New Roman"/>
          <w:b w:val="false"/>
          <w:bCs/>
          <w:i w:val="false"/>
          <w:iCs w:val="false"/>
          <w:color w:val="000000"/>
          <w:kern w:val="0"/>
          <w:sz w:val="24"/>
          <w:szCs w:val="24"/>
          <w:shd w:fill="FFFFFF" w:val="clear"/>
          <w:lang w:val="ru-RU" w:eastAsia="ru-RU" w:bidi="ar-SA"/>
        </w:rPr>
        <w:t>Приложение №2: « CТО 02.01.124-2020 Силовые трансформаторы. организация технической эксплуатации. Нормы и требования таблица П9.4.».</w:t>
      </w:r>
    </w:p>
    <w:p>
      <w:pPr>
        <w:pStyle w:val="Standard"/>
        <w:jc w:val="both"/>
        <w:rPr/>
      </w:pPr>
      <w:r>
        <w:rPr>
          <w:rStyle w:val="Style8"/>
          <w:rFonts w:eastAsia="Times New Roman" w:cs="Times New Roman" w:ascii="Times New Roman" w:hAnsi="Times New Roman"/>
          <w:b w:val="false"/>
          <w:bCs/>
          <w:i w:val="false"/>
          <w:iCs w:val="false"/>
          <w:color w:val="000000"/>
          <w:kern w:val="0"/>
          <w:sz w:val="24"/>
          <w:szCs w:val="24"/>
          <w:shd w:fill="FFFFFF" w:val="clear"/>
          <w:lang w:val="ru-RU" w:eastAsia="ru-RU" w:bidi="ar-SA"/>
        </w:rPr>
        <w:t>Приложение №3: «Список проверяемого оборудования».</w:t>
      </w:r>
    </w:p>
    <w:p>
      <w:pPr>
        <w:sectPr>
          <w:headerReference w:type="default" r:id="rId10"/>
          <w:headerReference w:type="first" r:id="rId11"/>
          <w:type w:val="nextPage"/>
          <w:pgSz w:w="11906" w:h="16838"/>
          <w:pgMar w:left="1150" w:right="321" w:gutter="0" w:header="344" w:top="623" w:footer="0" w:bottom="278"/>
          <w:pgNumType w:fmt="decimal"/>
          <w:formProt w:val="false"/>
          <w:textDirection w:val="lrTb"/>
          <w:docGrid w:type="default" w:linePitch="360" w:charSpace="0"/>
        </w:sectPr>
        <w:pStyle w:val="Standard"/>
        <w:jc w:val="both"/>
        <w:rPr/>
      </w:pPr>
      <w:r>
        <w:rPr>
          <w:rStyle w:val="Style8"/>
          <w:rFonts w:eastAsia="Times New Roman" w:cs="Times New Roman" w:ascii="Times New Roman" w:hAnsi="Times New Roman"/>
          <w:b w:val="false"/>
          <w:bCs/>
          <w:i w:val="false"/>
          <w:iCs w:val="false"/>
          <w:color w:val="000000"/>
          <w:kern w:val="0"/>
          <w:sz w:val="24"/>
          <w:szCs w:val="24"/>
          <w:shd w:fill="FFFFFF" w:val="clear"/>
          <w:lang w:val="ru-RU" w:eastAsia="ru-RU" w:bidi="ar-SA"/>
        </w:rPr>
        <w:t>Приложение №4: «Требования к оформлению и составлению смет или расчетов на оказание услуг по программе эксплуатации».</w:t>
      </w:r>
      <w:bookmarkStart w:id="75" w:name="_Ref40301253"/>
      <w:r>
        <w:br w:type="page"/>
      </w:r>
    </w:p>
    <w:p>
      <w:pPr>
        <w:pStyle w:val="BodyText"/>
        <w:jc w:val="right"/>
        <w:rPr>
          <w:sz w:val="24"/>
          <w:szCs w:val="24"/>
        </w:rPr>
      </w:pPr>
      <w:bookmarkStart w:id="76" w:name="__RefHeading___Toc24488_4117644551"/>
      <w:bookmarkStart w:id="77" w:name="_Toc130914388"/>
      <w:bookmarkStart w:id="78" w:name="_Toc161410595"/>
      <w:bookmarkStart w:id="79" w:name="_Toc130547810"/>
      <w:bookmarkStart w:id="80" w:name="_Toc131007931"/>
      <w:bookmarkStart w:id="81" w:name="_Toc131077114"/>
      <w:bookmarkStart w:id="82" w:name="_Toc131004931"/>
      <w:bookmarkStart w:id="83" w:name="_Ref40301253_Копия_1"/>
      <w:bookmarkEnd w:id="75"/>
      <w:bookmarkEnd w:id="76"/>
      <w:bookmarkEnd w:id="83"/>
      <w:r>
        <w:rPr>
          <w:sz w:val="24"/>
          <w:szCs w:val="24"/>
        </w:rPr>
        <w:t>Приложение № 1 к ТТ</w:t>
      </w:r>
      <w:bookmarkEnd w:id="77"/>
      <w:bookmarkEnd w:id="78"/>
      <w:bookmarkEnd w:id="79"/>
      <w:bookmarkEnd w:id="80"/>
      <w:bookmarkEnd w:id="81"/>
      <w:bookmarkEnd w:id="82"/>
    </w:p>
    <w:p>
      <w:pPr>
        <w:pStyle w:val="Normal"/>
        <w:rPr>
          <w:sz w:val="24"/>
          <w:szCs w:val="24"/>
          <w:lang w:val="x-none" w:eastAsia="x-none"/>
        </w:rPr>
      </w:pPr>
      <w:r>
        <w:rPr>
          <w:sz w:val="24"/>
          <w:szCs w:val="24"/>
          <w:lang w:val="x-none" w:eastAsia="x-none"/>
        </w:rPr>
      </w:r>
    </w:p>
    <w:p>
      <w:pPr>
        <w:pStyle w:val="Standard"/>
        <w:jc w:val="center"/>
        <w:rPr/>
      </w:pPr>
      <w:bookmarkStart w:id="84" w:name="_Toc130547813"/>
      <w:r>
        <w:rPr>
          <w:b/>
        </w:rPr>
        <w:t>Требования к анализу турбинного масла СТО РусГидро 02.01.112-2015</w:t>
      </w:r>
      <w:bookmarkEnd w:id="84"/>
    </w:p>
    <w:p>
      <w:pPr>
        <w:pStyle w:val="Standard"/>
        <w:rPr/>
      </w:pPr>
      <w:r>
        <w:rPr/>
      </w:r>
    </w:p>
    <w:p>
      <w:pPr>
        <w:pStyle w:val="Standard"/>
        <w:numPr>
          <w:ilvl w:val="0"/>
          <w:numId w:val="26"/>
        </w:numPr>
        <w:tabs>
          <w:tab w:val="clear" w:pos="708"/>
          <w:tab w:val="left" w:pos="505" w:leader="none"/>
          <w:tab w:val="left" w:pos="993" w:leader="none"/>
        </w:tabs>
        <w:spacing w:lineRule="auto" w:line="240"/>
        <w:ind w:left="0" w:right="0" w:hanging="0"/>
        <w:jc w:val="both"/>
        <w:rPr/>
      </w:pPr>
      <w:r>
        <w:rPr>
          <w:color w:val="000000"/>
        </w:rPr>
        <w:t>Контроль качества турбинных масел при заливе в оборудование</w:t>
      </w:r>
    </w:p>
    <w:p>
      <w:pPr>
        <w:pStyle w:val="Standard"/>
        <w:numPr>
          <w:ilvl w:val="1"/>
          <w:numId w:val="27"/>
        </w:numPr>
        <w:tabs>
          <w:tab w:val="clear" w:pos="708"/>
          <w:tab w:val="left" w:pos="505" w:leader="none"/>
          <w:tab w:val="left" w:pos="993" w:leader="none"/>
        </w:tabs>
        <w:spacing w:lineRule="auto" w:line="240"/>
        <w:ind w:left="0" w:right="0" w:hanging="0"/>
        <w:jc w:val="both"/>
        <w:rPr/>
      </w:pPr>
      <w:r>
        <w:rPr>
          <w:color w:val="000000"/>
        </w:rPr>
        <w:t xml:space="preserve"> </w:t>
      </w:r>
      <w:r>
        <w:rPr>
          <w:color w:val="000000"/>
        </w:rPr>
        <w:t>Контроль качества свежего масла</w:t>
      </w:r>
    </w:p>
    <w:p>
      <w:pPr>
        <w:pStyle w:val="Standard"/>
        <w:tabs>
          <w:tab w:val="clear" w:pos="708"/>
          <w:tab w:val="left" w:pos="505" w:leader="none"/>
          <w:tab w:val="left" w:pos="993" w:leader="none"/>
        </w:tabs>
        <w:spacing w:lineRule="auto" w:line="240"/>
        <w:ind w:left="0" w:right="0" w:hanging="0"/>
        <w:jc w:val="both"/>
        <w:rPr/>
      </w:pPr>
      <w:r>
        <w:rPr>
          <w:color w:val="000000"/>
        </w:rPr>
        <w:t>Перед заполнением маслосистемы гидроагрегатов свежим маслом необходимо отобрать пробу из емкости хранения МХ и выполнить анализ, в объем которого входит определение показа</w:t>
        <w:softHyphen/>
        <w:t>телей:</w:t>
      </w:r>
    </w:p>
    <w:p>
      <w:pPr>
        <w:pStyle w:val="Standard"/>
        <w:tabs>
          <w:tab w:val="clear" w:pos="708"/>
          <w:tab w:val="left" w:pos="505" w:leader="none"/>
          <w:tab w:val="left" w:pos="993" w:leader="none"/>
        </w:tabs>
        <w:spacing w:lineRule="auto" w:line="240"/>
        <w:ind w:left="0" w:right="0" w:hanging="0"/>
        <w:jc w:val="both"/>
        <w:rPr/>
      </w:pPr>
      <w:r>
        <w:rPr>
          <w:color w:val="000000"/>
        </w:rPr>
        <w:t>внешний вид;</w:t>
      </w:r>
    </w:p>
    <w:p>
      <w:pPr>
        <w:pStyle w:val="Standard"/>
        <w:tabs>
          <w:tab w:val="clear" w:pos="708"/>
          <w:tab w:val="left" w:pos="505" w:leader="none"/>
          <w:tab w:val="left" w:pos="993" w:leader="none"/>
        </w:tabs>
        <w:spacing w:lineRule="auto" w:line="240"/>
        <w:ind w:left="0" w:right="0" w:hanging="0"/>
        <w:jc w:val="both"/>
        <w:rPr/>
      </w:pPr>
      <w:r>
        <w:rPr>
          <w:color w:val="000000"/>
        </w:rPr>
        <w:t>кислотное число;</w:t>
      </w:r>
    </w:p>
    <w:p>
      <w:pPr>
        <w:pStyle w:val="Standard"/>
        <w:tabs>
          <w:tab w:val="clear" w:pos="708"/>
          <w:tab w:val="left" w:pos="505" w:leader="none"/>
          <w:tab w:val="left" w:pos="993" w:leader="none"/>
        </w:tabs>
        <w:spacing w:lineRule="auto" w:line="240"/>
        <w:ind w:left="0" w:right="0" w:hanging="0"/>
        <w:jc w:val="both"/>
        <w:rPr/>
      </w:pPr>
      <w:r>
        <w:rPr>
          <w:color w:val="000000"/>
        </w:rPr>
        <w:t>класс промышленной чистоты;</w:t>
      </w:r>
    </w:p>
    <w:p>
      <w:pPr>
        <w:pStyle w:val="Standard"/>
        <w:tabs>
          <w:tab w:val="clear" w:pos="708"/>
          <w:tab w:val="left" w:pos="505" w:leader="none"/>
          <w:tab w:val="left" w:pos="993" w:leader="none"/>
        </w:tabs>
        <w:spacing w:lineRule="auto" w:line="240"/>
        <w:ind w:left="0" w:right="0" w:hanging="0"/>
        <w:jc w:val="both"/>
        <w:rPr/>
      </w:pPr>
      <w:r>
        <w:rPr>
          <w:color w:val="000000"/>
        </w:rPr>
        <w:t>время деэмульсации*;</w:t>
      </w:r>
    </w:p>
    <w:p>
      <w:pPr>
        <w:pStyle w:val="Standard"/>
        <w:tabs>
          <w:tab w:val="clear" w:pos="708"/>
          <w:tab w:val="left" w:pos="505" w:leader="none"/>
          <w:tab w:val="left" w:pos="993" w:leader="none"/>
        </w:tabs>
        <w:spacing w:lineRule="auto" w:line="240"/>
        <w:ind w:left="0" w:right="0" w:hanging="0"/>
        <w:jc w:val="both"/>
        <w:rPr/>
      </w:pPr>
      <w:r>
        <w:rPr>
          <w:color w:val="000000"/>
        </w:rPr>
        <w:t>содержание воды.</w:t>
      </w:r>
    </w:p>
    <w:p>
      <w:pPr>
        <w:pStyle w:val="Standard"/>
        <w:tabs>
          <w:tab w:val="clear" w:pos="708"/>
          <w:tab w:val="left" w:pos="505" w:leader="none"/>
          <w:tab w:val="left" w:pos="993" w:leader="none"/>
        </w:tabs>
        <w:spacing w:lineRule="auto" w:line="240"/>
        <w:ind w:left="0" w:right="0" w:hanging="0"/>
        <w:jc w:val="both"/>
        <w:rPr/>
      </w:pPr>
      <w:r>
        <w:rPr>
          <w:color w:val="000000"/>
        </w:rPr>
        <w:t>Качество масла должно соответствовать требованиям таблицы 2 настоящего стандарта.</w:t>
      </w:r>
    </w:p>
    <w:p>
      <w:pPr>
        <w:pStyle w:val="Standard"/>
        <w:tabs>
          <w:tab w:val="clear" w:pos="708"/>
          <w:tab w:val="left" w:pos="505" w:leader="none"/>
          <w:tab w:val="left" w:pos="993" w:leader="none"/>
        </w:tabs>
        <w:spacing w:lineRule="auto" w:line="240"/>
        <w:ind w:left="0" w:right="0" w:hanging="0"/>
        <w:jc w:val="both"/>
        <w:rPr>
          <w:color w:val="000000"/>
        </w:rPr>
      </w:pPr>
      <w:r>
        <w:rPr>
          <w:color w:val="000000"/>
        </w:rPr>
      </w:r>
    </w:p>
    <w:p>
      <w:pPr>
        <w:pStyle w:val="Standard"/>
        <w:numPr>
          <w:ilvl w:val="1"/>
          <w:numId w:val="11"/>
        </w:numPr>
        <w:tabs>
          <w:tab w:val="clear" w:pos="708"/>
          <w:tab w:val="left" w:pos="505" w:leader="none"/>
          <w:tab w:val="left" w:pos="993" w:leader="none"/>
        </w:tabs>
        <w:spacing w:lineRule="auto" w:line="240"/>
        <w:ind w:left="0" w:right="0" w:hanging="0"/>
        <w:jc w:val="both"/>
        <w:rPr/>
      </w:pPr>
      <w:r>
        <w:rPr>
          <w:color w:val="000000"/>
        </w:rPr>
        <w:t xml:space="preserve"> </w:t>
      </w:r>
      <w:r>
        <w:rPr>
          <w:color w:val="000000"/>
        </w:rPr>
        <w:t>Контроль качества регенерированного или эксплуатационного масла.</w:t>
      </w:r>
    </w:p>
    <w:p>
      <w:pPr>
        <w:pStyle w:val="Standard"/>
        <w:tabs>
          <w:tab w:val="clear" w:pos="708"/>
          <w:tab w:val="left" w:pos="505" w:leader="none"/>
          <w:tab w:val="left" w:pos="993" w:leader="none"/>
        </w:tabs>
        <w:spacing w:lineRule="auto" w:line="240"/>
        <w:ind w:left="0" w:right="0" w:hanging="0"/>
        <w:jc w:val="both"/>
        <w:rPr/>
      </w:pPr>
      <w:r>
        <w:rPr>
          <w:color w:val="000000"/>
        </w:rPr>
        <w:t>Качество регенерированного нефтяного турбинного масла или эксплуатационного нефтяного турбинного масла, вводимого в работу после его очистки на маслохозяйстве должно удовлетво</w:t>
        <w:softHyphen/>
        <w:t>рять требованиям таблицы 3. Перед заполнением или доливкой маслосистем гидроагрегата экс</w:t>
        <w:softHyphen/>
        <w:t>плуатационным или регенерированным маслом необходимо отобрать пробу из емкости хране</w:t>
        <w:softHyphen/>
        <w:t>ния МХ и выполнить анализ, в объем которого входит определение показателей:</w:t>
      </w:r>
    </w:p>
    <w:p>
      <w:pPr>
        <w:pStyle w:val="Standard"/>
        <w:tabs>
          <w:tab w:val="clear" w:pos="708"/>
          <w:tab w:val="left" w:pos="505" w:leader="none"/>
          <w:tab w:val="left" w:pos="993" w:leader="none"/>
        </w:tabs>
        <w:spacing w:lineRule="auto" w:line="240"/>
        <w:ind w:left="0" w:right="0" w:hanging="0"/>
        <w:jc w:val="both"/>
        <w:rPr/>
      </w:pPr>
      <w:r>
        <w:rPr>
          <w:color w:val="000000"/>
        </w:rPr>
        <w:t>внешний вид;</w:t>
      </w:r>
    </w:p>
    <w:p>
      <w:pPr>
        <w:pStyle w:val="Standard"/>
        <w:tabs>
          <w:tab w:val="clear" w:pos="708"/>
          <w:tab w:val="left" w:pos="505" w:leader="none"/>
          <w:tab w:val="left" w:pos="993" w:leader="none"/>
        </w:tabs>
        <w:spacing w:lineRule="auto" w:line="240"/>
        <w:ind w:left="0" w:right="0" w:hanging="0"/>
        <w:jc w:val="both"/>
        <w:rPr/>
      </w:pPr>
      <w:r>
        <w:rPr>
          <w:color w:val="000000"/>
        </w:rPr>
        <w:t>кислотное число;</w:t>
      </w:r>
    </w:p>
    <w:p>
      <w:pPr>
        <w:pStyle w:val="Standard"/>
        <w:tabs>
          <w:tab w:val="clear" w:pos="708"/>
          <w:tab w:val="left" w:pos="505" w:leader="none"/>
          <w:tab w:val="left" w:pos="993" w:leader="none"/>
        </w:tabs>
        <w:spacing w:lineRule="auto" w:line="240"/>
        <w:ind w:left="0" w:right="0" w:hanging="0"/>
        <w:jc w:val="both"/>
        <w:rPr/>
      </w:pPr>
      <w:r>
        <w:rPr>
          <w:color w:val="000000"/>
        </w:rPr>
        <w:t>время деэмульсации;</w:t>
      </w:r>
    </w:p>
    <w:p>
      <w:pPr>
        <w:pStyle w:val="Standard"/>
        <w:tabs>
          <w:tab w:val="clear" w:pos="708"/>
          <w:tab w:val="left" w:pos="505" w:leader="none"/>
          <w:tab w:val="left" w:pos="993" w:leader="none"/>
        </w:tabs>
        <w:spacing w:lineRule="auto" w:line="240"/>
        <w:ind w:left="0" w:right="0" w:hanging="0"/>
        <w:jc w:val="both"/>
        <w:rPr/>
      </w:pPr>
      <w:r>
        <w:rPr>
          <w:color w:val="000000"/>
        </w:rPr>
        <w:t>содержание шлама (общее);</w:t>
      </w:r>
    </w:p>
    <w:p>
      <w:pPr>
        <w:pStyle w:val="Standard"/>
        <w:tabs>
          <w:tab w:val="clear" w:pos="708"/>
          <w:tab w:val="left" w:pos="505" w:leader="none"/>
          <w:tab w:val="left" w:pos="993" w:leader="none"/>
        </w:tabs>
        <w:spacing w:lineRule="auto" w:line="240"/>
        <w:ind w:left="0" w:right="0" w:hanging="0"/>
        <w:jc w:val="both"/>
        <w:rPr/>
      </w:pPr>
      <w:r>
        <w:rPr>
          <w:color w:val="000000"/>
        </w:rPr>
        <w:t>класс промышленной чистоты;</w:t>
      </w:r>
    </w:p>
    <w:p>
      <w:pPr>
        <w:pStyle w:val="Standard"/>
        <w:tabs>
          <w:tab w:val="clear" w:pos="708"/>
          <w:tab w:val="left" w:pos="505" w:leader="none"/>
          <w:tab w:val="left" w:pos="993" w:leader="none"/>
        </w:tabs>
        <w:spacing w:lineRule="auto" w:line="240"/>
        <w:ind w:left="0" w:right="0" w:hanging="0"/>
        <w:jc w:val="both"/>
        <w:rPr/>
      </w:pPr>
      <w:r>
        <w:rPr>
          <w:color w:val="000000"/>
        </w:rPr>
        <w:t>содержание воды.</w:t>
      </w:r>
    </w:p>
    <w:p>
      <w:pPr>
        <w:pStyle w:val="Standard"/>
        <w:tabs>
          <w:tab w:val="clear" w:pos="708"/>
          <w:tab w:val="left" w:pos="505" w:leader="none"/>
          <w:tab w:val="left" w:pos="993" w:leader="none"/>
        </w:tabs>
        <w:spacing w:lineRule="auto" w:line="240"/>
        <w:ind w:left="0" w:right="0" w:hanging="0"/>
        <w:jc w:val="both"/>
        <w:rPr/>
      </w:pPr>
      <w:r>
        <w:rPr>
          <w:color w:val="000000"/>
        </w:rPr>
        <w:t>Качество масла должно соответствовать требованиям, приведенным в таблице 3.</w:t>
      </w:r>
    </w:p>
    <w:p>
      <w:pPr>
        <w:pStyle w:val="Standard"/>
        <w:numPr>
          <w:ilvl w:val="1"/>
          <w:numId w:val="12"/>
        </w:numPr>
        <w:tabs>
          <w:tab w:val="clear" w:pos="708"/>
          <w:tab w:val="left" w:pos="505" w:leader="none"/>
          <w:tab w:val="left" w:pos="993" w:leader="none"/>
        </w:tabs>
        <w:spacing w:lineRule="auto" w:line="240"/>
        <w:ind w:left="0" w:right="0" w:hanging="0"/>
        <w:jc w:val="both"/>
        <w:rPr/>
      </w:pPr>
      <w:r>
        <w:rPr>
          <w:color w:val="000000"/>
        </w:rPr>
        <w:t>Дополнительные рекомендации.</w:t>
      </w:r>
    </w:p>
    <w:p>
      <w:pPr>
        <w:pStyle w:val="Standard"/>
        <w:numPr>
          <w:ilvl w:val="1"/>
          <w:numId w:val="28"/>
        </w:numPr>
        <w:tabs>
          <w:tab w:val="clear" w:pos="708"/>
          <w:tab w:val="left" w:pos="505" w:leader="none"/>
          <w:tab w:val="left" w:pos="993" w:leader="none"/>
        </w:tabs>
        <w:spacing w:lineRule="auto" w:line="240"/>
        <w:ind w:left="0" w:right="0" w:hanging="0"/>
        <w:jc w:val="both"/>
        <w:rPr/>
      </w:pPr>
      <w:r>
        <w:rPr>
          <w:color w:val="000000"/>
        </w:rPr>
        <w:t>Контроль качества масла, заливаемого в насосное и вспомогательное оборудование.</w:t>
      </w:r>
    </w:p>
    <w:p>
      <w:pPr>
        <w:pStyle w:val="Standard"/>
        <w:tabs>
          <w:tab w:val="clear" w:pos="708"/>
          <w:tab w:val="left" w:pos="505" w:leader="none"/>
          <w:tab w:val="left" w:pos="993" w:leader="none"/>
        </w:tabs>
        <w:spacing w:lineRule="auto" w:line="240"/>
        <w:ind w:left="0" w:right="0" w:hanging="0"/>
        <w:jc w:val="both"/>
        <w:rPr/>
      </w:pPr>
      <w:r>
        <w:rPr>
          <w:color w:val="000000"/>
        </w:rPr>
        <w:t>Объем испытаний и нормативные значения показателей качества турбинных масел подготовлен</w:t>
        <w:softHyphen/>
        <w:t>ных к заливу в различное насосное и вспомогательное оборудование, определяется требования</w:t>
        <w:softHyphen/>
        <w:t>ми документов</w:t>
      </w:r>
    </w:p>
    <w:p>
      <w:pPr>
        <w:pStyle w:val="Standard"/>
        <w:tabs>
          <w:tab w:val="clear" w:pos="708"/>
          <w:tab w:val="left" w:pos="505" w:leader="none"/>
          <w:tab w:val="left" w:pos="993" w:leader="none"/>
        </w:tabs>
        <w:spacing w:lineRule="auto" w:line="240"/>
        <w:ind w:left="0" w:right="0" w:hanging="0"/>
        <w:jc w:val="both"/>
        <w:rPr/>
      </w:pPr>
      <w:r>
        <w:rPr>
          <w:color w:val="000000"/>
        </w:rPr>
        <w:t>заводов – изготовителей оборудования. Если нет указаний в заводских инструкциях, то выпол</w:t>
        <w:softHyphen/>
        <w:t>нить анализ, в объем которого входит определение показателей:</w:t>
      </w:r>
    </w:p>
    <w:p>
      <w:pPr>
        <w:pStyle w:val="Standard"/>
        <w:tabs>
          <w:tab w:val="clear" w:pos="708"/>
          <w:tab w:val="left" w:pos="505" w:leader="none"/>
          <w:tab w:val="left" w:pos="993" w:leader="none"/>
        </w:tabs>
        <w:spacing w:lineRule="auto" w:line="240"/>
        <w:ind w:left="0" w:right="0" w:hanging="0"/>
        <w:jc w:val="both"/>
        <w:rPr/>
      </w:pPr>
      <w:r>
        <w:rPr>
          <w:color w:val="000000"/>
        </w:rPr>
        <w:t>внешний вид;</w:t>
      </w:r>
    </w:p>
    <w:p>
      <w:pPr>
        <w:pStyle w:val="Standard"/>
        <w:tabs>
          <w:tab w:val="clear" w:pos="708"/>
          <w:tab w:val="left" w:pos="505" w:leader="none"/>
          <w:tab w:val="left" w:pos="993" w:leader="none"/>
        </w:tabs>
        <w:spacing w:lineRule="auto" w:line="240"/>
        <w:ind w:left="0" w:right="0" w:hanging="0"/>
        <w:jc w:val="both"/>
        <w:rPr/>
      </w:pPr>
      <w:r>
        <w:rPr>
          <w:color w:val="000000"/>
        </w:rPr>
        <w:t>кислотное число;</w:t>
      </w:r>
    </w:p>
    <w:p>
      <w:pPr>
        <w:pStyle w:val="Standard"/>
        <w:tabs>
          <w:tab w:val="clear" w:pos="708"/>
          <w:tab w:val="left" w:pos="505" w:leader="none"/>
          <w:tab w:val="left" w:pos="993" w:leader="none"/>
        </w:tabs>
        <w:spacing w:lineRule="auto" w:line="240"/>
        <w:ind w:left="0" w:right="0" w:hanging="0"/>
        <w:jc w:val="both"/>
        <w:rPr/>
      </w:pPr>
      <w:r>
        <w:rPr>
          <w:color w:val="000000"/>
        </w:rPr>
        <w:t xml:space="preserve"> </w:t>
      </w:r>
      <w:r>
        <w:rPr>
          <w:color w:val="000000"/>
        </w:rPr>
        <w:t>содержание механических примесей или класс промышленной чистоты;</w:t>
      </w:r>
    </w:p>
    <w:p>
      <w:pPr>
        <w:pStyle w:val="Standard"/>
        <w:tabs>
          <w:tab w:val="clear" w:pos="708"/>
          <w:tab w:val="left" w:pos="505" w:leader="none"/>
          <w:tab w:val="left" w:pos="993" w:leader="none"/>
        </w:tabs>
        <w:spacing w:lineRule="auto" w:line="240"/>
        <w:ind w:left="0" w:right="0" w:hanging="0"/>
        <w:jc w:val="both"/>
        <w:rPr/>
      </w:pPr>
      <w:r>
        <w:rPr>
          <w:color w:val="000000"/>
        </w:rPr>
        <w:t>содержание шлама (общее, качественное определение, только для эксплуатационных масел);</w:t>
      </w:r>
    </w:p>
    <w:p>
      <w:pPr>
        <w:pStyle w:val="Standard"/>
        <w:tabs>
          <w:tab w:val="clear" w:pos="708"/>
          <w:tab w:val="left" w:pos="505" w:leader="none"/>
          <w:tab w:val="left" w:pos="993" w:leader="none"/>
        </w:tabs>
        <w:spacing w:lineRule="auto" w:line="240"/>
        <w:ind w:left="0" w:right="0" w:hanging="0"/>
        <w:jc w:val="both"/>
        <w:rPr/>
      </w:pPr>
      <w:r>
        <w:rPr>
          <w:color w:val="000000"/>
        </w:rPr>
        <w:t>содержание воды.</w:t>
      </w:r>
    </w:p>
    <w:p>
      <w:pPr>
        <w:pStyle w:val="Standard"/>
        <w:numPr>
          <w:ilvl w:val="0"/>
          <w:numId w:val="13"/>
        </w:numPr>
        <w:tabs>
          <w:tab w:val="clear" w:pos="708"/>
          <w:tab w:val="left" w:pos="505" w:leader="none"/>
          <w:tab w:val="left" w:pos="993" w:leader="none"/>
        </w:tabs>
        <w:spacing w:lineRule="auto" w:line="240"/>
        <w:ind w:left="0" w:right="0" w:hanging="0"/>
        <w:jc w:val="both"/>
        <w:rPr/>
      </w:pPr>
      <w:r>
        <w:rPr>
          <w:color w:val="000000"/>
        </w:rPr>
        <w:t>Контроль качества турбинного масла при эксплуатации в оборудовании</w:t>
      </w:r>
    </w:p>
    <w:p>
      <w:pPr>
        <w:pStyle w:val="Standard"/>
        <w:numPr>
          <w:ilvl w:val="1"/>
          <w:numId w:val="29"/>
        </w:numPr>
        <w:tabs>
          <w:tab w:val="clear" w:pos="708"/>
          <w:tab w:val="left" w:pos="505" w:leader="none"/>
          <w:tab w:val="left" w:pos="993" w:leader="none"/>
        </w:tabs>
        <w:spacing w:lineRule="auto" w:line="240"/>
        <w:ind w:left="0" w:right="0" w:hanging="0"/>
        <w:jc w:val="both"/>
        <w:rPr/>
      </w:pPr>
      <w:r>
        <w:rPr>
          <w:color w:val="000000"/>
        </w:rPr>
        <w:t>Визуальный контроль.</w:t>
      </w:r>
    </w:p>
    <w:p>
      <w:pPr>
        <w:pStyle w:val="Standard"/>
        <w:tabs>
          <w:tab w:val="clear" w:pos="708"/>
          <w:tab w:val="left" w:pos="505" w:leader="none"/>
          <w:tab w:val="left" w:pos="993" w:leader="none"/>
        </w:tabs>
        <w:spacing w:lineRule="auto" w:line="240"/>
        <w:ind w:left="0" w:right="0" w:hanging="0"/>
        <w:jc w:val="both"/>
        <w:rPr/>
      </w:pPr>
      <w:r>
        <w:rPr>
          <w:color w:val="000000"/>
        </w:rPr>
        <w:t>Визуальный контроль масла заключается в проверке его внешнего вида, масло должно быть прозрачным и свободным от загрязнений и осадков (не содержать видимых загрязнений, воды, шлама и механических примесей). При визуальном обнаружении в масле механических приме</w:t>
        <w:softHyphen/>
        <w:t>сей, шлама или воды, а также при помутнении масла, должен быть проведен его внеочередной анализ по следующим показателям таблицы 1:</w:t>
      </w:r>
    </w:p>
    <w:p>
      <w:pPr>
        <w:pStyle w:val="Standard"/>
        <w:tabs>
          <w:tab w:val="clear" w:pos="708"/>
          <w:tab w:val="left" w:pos="505" w:leader="none"/>
          <w:tab w:val="left" w:pos="993" w:leader="none"/>
        </w:tabs>
        <w:spacing w:lineRule="auto" w:line="240"/>
        <w:ind w:left="0" w:right="0" w:hanging="0"/>
        <w:jc w:val="both"/>
        <w:rPr/>
      </w:pPr>
      <w:r>
        <w:rPr>
          <w:color w:val="000000"/>
        </w:rPr>
        <w:t>внешний вид;</w:t>
      </w:r>
    </w:p>
    <w:p>
      <w:pPr>
        <w:pStyle w:val="Standard"/>
        <w:tabs>
          <w:tab w:val="clear" w:pos="708"/>
          <w:tab w:val="left" w:pos="505" w:leader="none"/>
          <w:tab w:val="left" w:pos="993" w:leader="none"/>
        </w:tabs>
        <w:spacing w:lineRule="auto" w:line="240"/>
        <w:ind w:left="0" w:right="0" w:hanging="0"/>
        <w:jc w:val="both"/>
        <w:rPr/>
      </w:pPr>
      <w:r>
        <w:rPr>
          <w:color w:val="000000"/>
        </w:rPr>
        <w:t>кислотное число;</w:t>
      </w:r>
    </w:p>
    <w:p>
      <w:pPr>
        <w:pStyle w:val="Standard"/>
        <w:tabs>
          <w:tab w:val="clear" w:pos="708"/>
          <w:tab w:val="left" w:pos="505" w:leader="none"/>
          <w:tab w:val="left" w:pos="993" w:leader="none"/>
        </w:tabs>
        <w:spacing w:lineRule="auto" w:line="240"/>
        <w:ind w:left="0" w:right="0" w:hanging="0"/>
        <w:jc w:val="both"/>
        <w:rPr/>
      </w:pPr>
      <w:r>
        <w:rPr>
          <w:color w:val="000000"/>
        </w:rPr>
        <w:t>время деэмульсации;</w:t>
      </w:r>
    </w:p>
    <w:p>
      <w:pPr>
        <w:pStyle w:val="Standard"/>
        <w:tabs>
          <w:tab w:val="clear" w:pos="708"/>
          <w:tab w:val="left" w:pos="505" w:leader="none"/>
          <w:tab w:val="left" w:pos="993" w:leader="none"/>
        </w:tabs>
        <w:spacing w:lineRule="auto" w:line="240"/>
        <w:ind w:left="0" w:right="0" w:hanging="0"/>
        <w:jc w:val="both"/>
        <w:rPr/>
      </w:pPr>
      <w:r>
        <w:rPr>
          <w:color w:val="000000"/>
        </w:rPr>
        <w:t>содержание шлама (общее);</w:t>
      </w:r>
    </w:p>
    <w:p>
      <w:pPr>
        <w:pStyle w:val="Standard"/>
        <w:tabs>
          <w:tab w:val="clear" w:pos="708"/>
          <w:tab w:val="left" w:pos="505" w:leader="none"/>
          <w:tab w:val="left" w:pos="993" w:leader="none"/>
        </w:tabs>
        <w:spacing w:lineRule="auto" w:line="240"/>
        <w:ind w:left="0" w:right="0" w:hanging="0"/>
        <w:jc w:val="both"/>
        <w:rPr/>
      </w:pPr>
      <w:r>
        <w:rPr>
          <w:color w:val="000000"/>
        </w:rPr>
        <w:t>класс промышленной чистоты;</w:t>
      </w:r>
    </w:p>
    <w:p>
      <w:pPr>
        <w:pStyle w:val="Standard"/>
        <w:tabs>
          <w:tab w:val="clear" w:pos="708"/>
          <w:tab w:val="left" w:pos="505" w:leader="none"/>
          <w:tab w:val="left" w:pos="993" w:leader="none"/>
        </w:tabs>
        <w:spacing w:lineRule="auto" w:line="240"/>
        <w:ind w:left="0" w:right="0" w:hanging="0"/>
        <w:jc w:val="both"/>
        <w:rPr/>
      </w:pPr>
      <w:r>
        <w:rPr>
          <w:color w:val="000000"/>
        </w:rPr>
        <w:t>содержание воды.</w:t>
      </w:r>
    </w:p>
    <w:p>
      <w:pPr>
        <w:pStyle w:val="Standard"/>
        <w:numPr>
          <w:ilvl w:val="1"/>
          <w:numId w:val="14"/>
        </w:numPr>
        <w:tabs>
          <w:tab w:val="clear" w:pos="708"/>
          <w:tab w:val="left" w:pos="505" w:leader="none"/>
          <w:tab w:val="left" w:pos="993" w:leader="none"/>
        </w:tabs>
        <w:spacing w:lineRule="auto" w:line="240"/>
        <w:ind w:left="0" w:right="0" w:hanging="0"/>
        <w:jc w:val="both"/>
        <w:rPr/>
      </w:pPr>
      <w:r>
        <w:rPr>
          <w:color w:val="000000"/>
        </w:rPr>
        <w:t>Контроль качества масла после залива.</w:t>
      </w:r>
    </w:p>
    <w:p>
      <w:pPr>
        <w:pStyle w:val="Standard"/>
        <w:tabs>
          <w:tab w:val="clear" w:pos="708"/>
          <w:tab w:val="left" w:pos="505" w:leader="none"/>
          <w:tab w:val="left" w:pos="993" w:leader="none"/>
        </w:tabs>
        <w:spacing w:lineRule="auto" w:line="240"/>
        <w:ind w:left="0" w:right="0" w:hanging="0"/>
        <w:jc w:val="both"/>
        <w:rPr/>
      </w:pPr>
      <w:r>
        <w:rPr>
          <w:color w:val="000000"/>
        </w:rPr>
        <w:t>После залива масла в гидроагрегат после монтажа или капитального ремонта следует отобрать пробу через 72 ч непрерывной работы маслосистемы и выполнить анализ масла по следующим показателям таблицы 1:</w:t>
      </w:r>
    </w:p>
    <w:p>
      <w:pPr>
        <w:pStyle w:val="Standard"/>
        <w:tabs>
          <w:tab w:val="clear" w:pos="708"/>
          <w:tab w:val="left" w:pos="993" w:leader="none"/>
        </w:tabs>
        <w:spacing w:lineRule="auto" w:line="240"/>
        <w:ind w:left="0" w:right="0" w:hanging="0"/>
        <w:jc w:val="both"/>
        <w:rPr/>
      </w:pPr>
      <w:r>
        <w:rPr>
          <w:color w:val="000000"/>
        </w:rPr>
        <w:t>внешний вид;</w:t>
      </w:r>
    </w:p>
    <w:p>
      <w:pPr>
        <w:pStyle w:val="Standard"/>
        <w:tabs>
          <w:tab w:val="clear" w:pos="708"/>
          <w:tab w:val="left" w:pos="993" w:leader="none"/>
        </w:tabs>
        <w:spacing w:lineRule="auto" w:line="240"/>
        <w:ind w:left="0" w:right="0" w:hanging="0"/>
        <w:jc w:val="both"/>
        <w:rPr/>
      </w:pPr>
      <w:r>
        <w:rPr>
          <w:color w:val="000000"/>
        </w:rPr>
        <w:t>кислотное число;</w:t>
      </w:r>
    </w:p>
    <w:p>
      <w:pPr>
        <w:pStyle w:val="Standard"/>
        <w:tabs>
          <w:tab w:val="clear" w:pos="708"/>
          <w:tab w:val="left" w:pos="993" w:leader="none"/>
        </w:tabs>
        <w:spacing w:lineRule="auto" w:line="240"/>
        <w:ind w:left="0" w:right="0" w:hanging="0"/>
        <w:jc w:val="both"/>
        <w:rPr/>
      </w:pPr>
      <w:r>
        <w:rPr>
          <w:color w:val="000000"/>
        </w:rPr>
        <w:t>время деэмульсации*;</w:t>
      </w:r>
    </w:p>
    <w:p>
      <w:pPr>
        <w:pStyle w:val="Standard"/>
        <w:tabs>
          <w:tab w:val="clear" w:pos="708"/>
          <w:tab w:val="left" w:pos="993" w:leader="none"/>
        </w:tabs>
        <w:spacing w:lineRule="auto" w:line="240"/>
        <w:ind w:left="0" w:right="0" w:hanging="0"/>
        <w:jc w:val="both"/>
        <w:rPr/>
      </w:pPr>
      <w:r>
        <w:rPr>
          <w:color w:val="000000"/>
        </w:rPr>
        <w:t>содержание шлама (общее);</w:t>
      </w:r>
    </w:p>
    <w:p>
      <w:pPr>
        <w:pStyle w:val="Standard"/>
        <w:tabs>
          <w:tab w:val="clear" w:pos="708"/>
          <w:tab w:val="left" w:pos="993" w:leader="none"/>
        </w:tabs>
        <w:spacing w:lineRule="auto" w:line="240"/>
        <w:ind w:left="0" w:right="0" w:hanging="0"/>
        <w:jc w:val="both"/>
        <w:rPr/>
      </w:pPr>
      <w:r>
        <w:rPr>
          <w:color w:val="000000"/>
        </w:rPr>
        <w:t>класс промышленной чистоты;</w:t>
      </w:r>
    </w:p>
    <w:p>
      <w:pPr>
        <w:pStyle w:val="Standard"/>
        <w:tabs>
          <w:tab w:val="clear" w:pos="708"/>
          <w:tab w:val="left" w:pos="993" w:leader="none"/>
        </w:tabs>
        <w:spacing w:lineRule="auto" w:line="240"/>
        <w:ind w:left="0" w:right="0" w:hanging="0"/>
        <w:jc w:val="both"/>
        <w:rPr/>
      </w:pPr>
      <w:r>
        <w:rPr>
          <w:color w:val="000000"/>
        </w:rPr>
        <w:t>содержание воды.</w:t>
      </w:r>
    </w:p>
    <w:p>
      <w:pPr>
        <w:pStyle w:val="Standard"/>
        <w:tabs>
          <w:tab w:val="clear" w:pos="708"/>
          <w:tab w:val="left" w:pos="993" w:leader="none"/>
        </w:tabs>
        <w:spacing w:lineRule="auto" w:line="240"/>
        <w:ind w:left="0" w:right="0" w:hanging="0"/>
        <w:jc w:val="both"/>
        <w:rPr/>
      </w:pPr>
      <w:r>
        <w:rPr>
          <w:color w:val="000000"/>
        </w:rPr>
        <w:t>Результаты этих испытаний позволят оценить показатели качества масла в начальный период эксплуатации агрегата.</w:t>
      </w:r>
    </w:p>
    <w:p>
      <w:pPr>
        <w:pStyle w:val="Standard"/>
        <w:numPr>
          <w:ilvl w:val="1"/>
          <w:numId w:val="15"/>
        </w:numPr>
        <w:tabs>
          <w:tab w:val="clear" w:pos="708"/>
          <w:tab w:val="left" w:pos="505" w:leader="none"/>
        </w:tabs>
        <w:spacing w:lineRule="auto" w:line="240"/>
        <w:ind w:left="0" w:right="0" w:hanging="0"/>
        <w:jc w:val="both"/>
        <w:rPr/>
      </w:pPr>
      <w:r>
        <w:rPr>
          <w:color w:val="000000"/>
        </w:rPr>
        <w:t>Контроль качества масла при эксплуатации.</w:t>
      </w:r>
    </w:p>
    <w:p>
      <w:pPr>
        <w:pStyle w:val="Standard"/>
        <w:tabs>
          <w:tab w:val="clear" w:pos="708"/>
          <w:tab w:val="left" w:pos="505" w:leader="none"/>
        </w:tabs>
        <w:spacing w:lineRule="auto" w:line="240"/>
        <w:ind w:left="0" w:right="0" w:hanging="0"/>
        <w:jc w:val="both"/>
        <w:rPr/>
      </w:pPr>
      <w:r>
        <w:rPr>
          <w:color w:val="000000"/>
        </w:rPr>
        <w:t>Анализ турбинного масла из гидроагрегатов на соответствие требованиям таблицы 7 следует осуществлять:</w:t>
      </w:r>
    </w:p>
    <w:p>
      <w:pPr>
        <w:pStyle w:val="Standard"/>
        <w:tabs>
          <w:tab w:val="clear" w:pos="708"/>
          <w:tab w:val="left" w:pos="505" w:leader="none"/>
        </w:tabs>
        <w:spacing w:lineRule="auto" w:line="240"/>
        <w:ind w:left="0" w:right="0" w:hanging="0"/>
        <w:jc w:val="both"/>
        <w:rPr>
          <w:spacing w:val="-2"/>
        </w:rPr>
      </w:pPr>
      <w:r>
        <w:rPr>
          <w:color w:val="000000"/>
          <w:spacing w:val="-2"/>
        </w:rPr>
        <w:t>через 1 месяц после начала его эксплуатации в маслосистеме агрегата по всем показателям та</w:t>
        <w:softHyphen/>
        <w:t>блицы 1;</w:t>
      </w:r>
    </w:p>
    <w:p>
      <w:pPr>
        <w:pStyle w:val="Standard"/>
        <w:tabs>
          <w:tab w:val="clear" w:pos="708"/>
          <w:tab w:val="left" w:pos="505" w:leader="none"/>
        </w:tabs>
        <w:spacing w:lineRule="auto" w:line="240"/>
        <w:ind w:left="0" w:right="0" w:hanging="0"/>
        <w:jc w:val="both"/>
        <w:rPr/>
      </w:pPr>
      <w:r>
        <w:rPr>
          <w:color w:val="000000"/>
        </w:rPr>
        <w:t>для масла с содержанием шлама менее 0,005% масс. – не реже 1 раза в год по показателям та</w:t>
        <w:softHyphen/>
        <w:t>блицы 7 «кислотное число», «содержание шлама (общее)», «класс промышленной чистоты» и «содержание воды»;</w:t>
      </w:r>
    </w:p>
    <w:p>
      <w:pPr>
        <w:pStyle w:val="Standard"/>
        <w:tabs>
          <w:tab w:val="clear" w:pos="708"/>
          <w:tab w:val="left" w:pos="505" w:leader="none"/>
        </w:tabs>
        <w:spacing w:lineRule="auto" w:line="240"/>
        <w:ind w:left="0" w:right="0" w:hanging="0"/>
        <w:jc w:val="both"/>
        <w:rPr/>
      </w:pPr>
      <w:r>
        <w:rPr>
          <w:color w:val="000000"/>
        </w:rPr>
        <w:t>для масла из гидроагрегатов с содержанием шлама 0,005% масс. и более – не реже 1 раза в 6 ме</w:t>
        <w:softHyphen/>
        <w:t xml:space="preserve">сяцев по показателям «кислотное число», «содержание </w:t>
      </w:r>
      <w:r>
        <w:rPr>
          <w:color w:val="000000"/>
          <w:spacing w:val="-2"/>
        </w:rPr>
        <w:t>шлама (общее)», «класс промышленной чистоты» и «содержание воды» таблицы 1.</w:t>
      </w:r>
    </w:p>
    <w:p>
      <w:pPr>
        <w:pStyle w:val="Standard"/>
        <w:tabs>
          <w:tab w:val="clear" w:pos="708"/>
          <w:tab w:val="left" w:pos="505" w:leader="none"/>
        </w:tabs>
        <w:spacing w:lineRule="auto" w:line="240"/>
        <w:ind w:left="0" w:right="0" w:hanging="0"/>
        <w:jc w:val="both"/>
        <w:rPr/>
      </w:pPr>
      <w:r>
        <w:rPr>
          <w:color w:val="000000"/>
        </w:rPr>
        <w:t>Нефтяное турбинное масло, находящееся в эксплуатации в маслосистемах гидроагрегатов долж</w:t>
        <w:softHyphen/>
        <w:t>но удовлетворять требованиям, приведенным в таблице 1.</w:t>
      </w:r>
    </w:p>
    <w:p>
      <w:pPr>
        <w:pStyle w:val="Standard"/>
        <w:numPr>
          <w:ilvl w:val="1"/>
          <w:numId w:val="16"/>
        </w:numPr>
        <w:tabs>
          <w:tab w:val="clear" w:pos="708"/>
          <w:tab w:val="left" w:pos="505" w:leader="none"/>
        </w:tabs>
        <w:spacing w:lineRule="auto" w:line="240"/>
        <w:ind w:left="0" w:right="0" w:hanging="0"/>
        <w:jc w:val="both"/>
        <w:rPr/>
      </w:pPr>
      <w:r>
        <w:rPr>
          <w:color w:val="000000"/>
        </w:rPr>
        <w:t>Дополнительные рекомендации.</w:t>
      </w:r>
    </w:p>
    <w:p>
      <w:pPr>
        <w:pStyle w:val="Standard"/>
        <w:tabs>
          <w:tab w:val="clear" w:pos="708"/>
          <w:tab w:val="left" w:pos="505" w:leader="none"/>
        </w:tabs>
        <w:spacing w:lineRule="auto" w:line="240"/>
        <w:ind w:left="0" w:right="0" w:hanging="0"/>
        <w:jc w:val="both"/>
        <w:rPr/>
      </w:pPr>
      <w:r>
        <w:rPr>
          <w:color w:val="000000"/>
        </w:rPr>
        <w:t>Дополнительные анализы выполняются по решению технического руководителя ГЭС в следую</w:t>
        <w:softHyphen/>
        <w:t>щих случаях:</w:t>
      </w:r>
    </w:p>
    <w:p>
      <w:pPr>
        <w:pStyle w:val="Standard"/>
        <w:tabs>
          <w:tab w:val="clear" w:pos="708"/>
          <w:tab w:val="left" w:pos="505" w:leader="none"/>
        </w:tabs>
        <w:spacing w:lineRule="auto" w:line="240"/>
        <w:ind w:left="0" w:right="0" w:hanging="0"/>
        <w:jc w:val="both"/>
        <w:rPr/>
      </w:pPr>
      <w:r>
        <w:rPr>
          <w:color w:val="000000"/>
        </w:rPr>
        <w:t>стабильность против окисления и содержание присадки АГИДОЛ-1 следует дополнительно определять при обнаружении в масле наличия шлама;</w:t>
      </w:r>
    </w:p>
    <w:p>
      <w:pPr>
        <w:pStyle w:val="Standard"/>
        <w:tabs>
          <w:tab w:val="clear" w:pos="708"/>
          <w:tab w:val="left" w:pos="505" w:leader="none"/>
        </w:tabs>
        <w:spacing w:lineRule="auto" w:line="240"/>
        <w:ind w:left="0" w:right="0" w:hanging="0"/>
        <w:jc w:val="both"/>
        <w:rPr/>
      </w:pPr>
      <w:r>
        <w:rPr>
          <w:color w:val="000000"/>
        </w:rPr>
        <w:t xml:space="preserve"> </w:t>
      </w:r>
      <w:r>
        <w:rPr>
          <w:color w:val="000000"/>
        </w:rPr>
        <w:t>время деэмульсации следует дополнительно определять после обнаружения в масле воды и проведения операций по очистке масла;</w:t>
      </w:r>
    </w:p>
    <w:p>
      <w:pPr>
        <w:pStyle w:val="Standard"/>
        <w:tabs>
          <w:tab w:val="clear" w:pos="708"/>
          <w:tab w:val="left" w:pos="505" w:leader="none"/>
        </w:tabs>
        <w:spacing w:lineRule="auto" w:line="240"/>
        <w:ind w:left="0" w:right="0" w:hanging="0"/>
        <w:jc w:val="both"/>
        <w:rPr/>
      </w:pPr>
      <w:r>
        <w:rPr>
          <w:color w:val="000000"/>
        </w:rPr>
        <w:t>антикоррозионные свойства следует дополнительно определять, если при визуальном осмотре имеются очаги коррозии на элементах маслосистем гидроагрегатов;</w:t>
      </w:r>
    </w:p>
    <w:p>
      <w:pPr>
        <w:pStyle w:val="Standard"/>
        <w:tabs>
          <w:tab w:val="clear" w:pos="708"/>
          <w:tab w:val="left" w:pos="505" w:leader="none"/>
        </w:tabs>
        <w:spacing w:lineRule="auto" w:line="240"/>
        <w:ind w:left="0" w:right="0" w:hanging="0"/>
        <w:jc w:val="both"/>
        <w:rPr/>
      </w:pPr>
      <w:r>
        <w:rPr>
          <w:color w:val="000000"/>
        </w:rPr>
        <w:t>кинематическую вязкость и температуру вспышки рекомендуется выполнять при обнаружении в масле наличия шлама и помутнении масла, которое не устраняется очисткой (должны соответ</w:t>
        <w:softHyphen/>
        <w:t>ствовать требованиям таблицы 1, при несоответствии качества масла, его рекомендуется заме</w:t>
        <w:softHyphen/>
        <w:t>нить), а так же с периодичностью 1 раз в год.</w:t>
      </w:r>
    </w:p>
    <w:p>
      <w:pPr>
        <w:pStyle w:val="Standard"/>
        <w:numPr>
          <w:ilvl w:val="1"/>
          <w:numId w:val="17"/>
        </w:numPr>
        <w:tabs>
          <w:tab w:val="clear" w:pos="708"/>
          <w:tab w:val="left" w:pos="505" w:leader="none"/>
        </w:tabs>
        <w:spacing w:lineRule="auto" w:line="240"/>
        <w:ind w:left="0" w:right="0" w:hanging="0"/>
        <w:jc w:val="both"/>
        <w:rPr/>
      </w:pPr>
      <w:r>
        <w:rPr>
          <w:color w:val="000000"/>
        </w:rPr>
        <w:t>Контроль при диагностике состояния оборудования.</w:t>
      </w:r>
    </w:p>
    <w:p>
      <w:pPr>
        <w:sectPr>
          <w:headerReference w:type="default" r:id="rId12"/>
          <w:headerReference w:type="first" r:id="rId13"/>
          <w:type w:val="nextPage"/>
          <w:pgSz w:w="11906" w:h="16838"/>
          <w:pgMar w:left="1134" w:right="337" w:gutter="0" w:header="387" w:top="666" w:footer="0" w:bottom="289"/>
          <w:pgNumType w:fmt="decimal"/>
          <w:formProt w:val="false"/>
          <w:textDirection w:val="lrTb"/>
          <w:docGrid w:type="default" w:linePitch="381" w:charSpace="0"/>
        </w:sectPr>
        <w:pStyle w:val="Standard"/>
        <w:tabs>
          <w:tab w:val="clear" w:pos="708"/>
          <w:tab w:val="left" w:pos="505" w:leader="none"/>
        </w:tabs>
        <w:spacing w:lineRule="auto" w:line="240"/>
        <w:ind w:left="0" w:right="0" w:hanging="0"/>
        <w:jc w:val="both"/>
        <w:rPr/>
      </w:pPr>
      <w:r>
        <w:rPr>
          <w:color w:val="000000"/>
        </w:rPr>
        <w:t>При необходимости проведения диагностики состояния узлов и элементов гидроагрегатов, а также систем масляного хозяйства могут применяться и другие методы контроля, которые не приведены в таблице 1.  Критерии оценки технического состояния узлов и элементов систем при диагностике с применением дополнительных методов контроля качества масла определяет организация, выполняющая такое обследование, на основании требований действующих норма</w:t>
        <w:softHyphen/>
        <w:t>тивных документов и собственного практического опыта диагностики агрегатов, в соответствии с программой, согласованной с техническим руководителем ГЭС.</w:t>
      </w:r>
    </w:p>
    <w:p>
      <w:pPr>
        <w:pStyle w:val="Standard"/>
        <w:tabs>
          <w:tab w:val="clear" w:pos="708"/>
          <w:tab w:val="left" w:pos="993" w:leader="none"/>
        </w:tabs>
        <w:spacing w:lineRule="auto" w:line="240"/>
        <w:ind w:left="0" w:right="0" w:hanging="0"/>
        <w:jc w:val="both"/>
        <w:rPr/>
      </w:pPr>
      <w:r>
        <w:rPr>
          <w:bCs/>
        </w:rPr>
        <w:t>Таблица 1 – Требования, предъявляемые к нефтяным маслам, работающим в маслосистемах гидроагрегатов</w:t>
      </w:r>
    </w:p>
    <w:tbl>
      <w:tblPr>
        <w:tblW w:w="4950" w:type="pct"/>
        <w:jc w:val="center"/>
        <w:tblInd w:w="0" w:type="dxa"/>
        <w:tblLayout w:type="fixed"/>
        <w:tblCellMar>
          <w:top w:w="0" w:type="dxa"/>
          <w:left w:w="108" w:type="dxa"/>
          <w:bottom w:w="0" w:type="dxa"/>
          <w:right w:w="108" w:type="dxa"/>
        </w:tblCellMar>
      </w:tblPr>
      <w:tblGrid>
        <w:gridCol w:w="4713"/>
        <w:gridCol w:w="1194"/>
        <w:gridCol w:w="2059"/>
        <w:gridCol w:w="2363"/>
      </w:tblGrid>
      <w:tr>
        <w:trPr>
          <w:trHeight w:val="170" w:hRule="atLeast"/>
          <w:cantSplit w:val="true"/>
        </w:trPr>
        <w:tc>
          <w:tcPr>
            <w:tcW w:w="4713" w:type="dxa"/>
            <w:vMerge w:val="restart"/>
            <w:tcBorders>
              <w:top w:val="single" w:sz="4" w:space="0" w:color="000000"/>
              <w:left w:val="single" w:sz="4" w:space="0" w:color="000000"/>
              <w:bottom w:val="double" w:sz="4" w:space="0" w:color="000000"/>
              <w:right w:val="single" w:sz="4" w:space="0" w:color="000000"/>
            </w:tcBorders>
            <w:vAlign w:val="center"/>
          </w:tcPr>
          <w:p>
            <w:pPr>
              <w:pStyle w:val="Standard"/>
              <w:widowControl w:val="false"/>
              <w:jc w:val="center"/>
              <w:rPr/>
            </w:pPr>
            <w:r>
              <w:rPr/>
              <w:t>Наименование показателя</w:t>
            </w:r>
          </w:p>
          <w:p>
            <w:pPr>
              <w:pStyle w:val="Standard"/>
              <w:widowControl w:val="false"/>
              <w:jc w:val="center"/>
              <w:rPr/>
            </w:pPr>
            <w:r>
              <w:rPr/>
              <w:t>качества</w:t>
            </w:r>
          </w:p>
        </w:tc>
        <w:tc>
          <w:tcPr>
            <w:tcW w:w="3253" w:type="dxa"/>
            <w:gridSpan w:val="2"/>
            <w:tcBorders>
              <w:top w:val="single" w:sz="4" w:space="0" w:color="000000"/>
              <w:left w:val="single" w:sz="4" w:space="0" w:color="000000"/>
              <w:bottom w:val="single" w:sz="4" w:space="0" w:color="000000"/>
              <w:right w:val="single" w:sz="4" w:space="0" w:color="000000"/>
            </w:tcBorders>
            <w:vAlign w:val="center"/>
          </w:tcPr>
          <w:p>
            <w:pPr>
              <w:pStyle w:val="Standard"/>
              <w:widowControl w:val="false"/>
              <w:spacing w:before="0" w:after="120"/>
              <w:ind w:left="283" w:right="0" w:hanging="0"/>
              <w:jc w:val="center"/>
              <w:rPr/>
            </w:pPr>
            <w:r>
              <w:rPr/>
              <w:t>Значение показателя ка</w:t>
              <w:softHyphen/>
              <w:t>чества масла</w:t>
            </w:r>
          </w:p>
        </w:tc>
        <w:tc>
          <w:tcPr>
            <w:tcW w:w="2363" w:type="dxa"/>
            <w:vMerge w:val="restart"/>
            <w:tcBorders>
              <w:top w:val="single" w:sz="4" w:space="0" w:color="000000"/>
              <w:left w:val="single" w:sz="4" w:space="0" w:color="000000"/>
              <w:bottom w:val="double" w:sz="4" w:space="0" w:color="000000"/>
              <w:right w:val="single" w:sz="4" w:space="0" w:color="000000"/>
            </w:tcBorders>
            <w:vAlign w:val="center"/>
          </w:tcPr>
          <w:p>
            <w:pPr>
              <w:pStyle w:val="Standard"/>
              <w:widowControl w:val="false"/>
              <w:jc w:val="center"/>
              <w:rPr/>
            </w:pPr>
            <w:r>
              <w:rPr/>
              <w:t>Методы</w:t>
            </w:r>
          </w:p>
          <w:p>
            <w:pPr>
              <w:pStyle w:val="Standard"/>
              <w:widowControl w:val="false"/>
              <w:spacing w:before="0" w:after="120"/>
              <w:ind w:left="283" w:right="0" w:hanging="0"/>
              <w:jc w:val="center"/>
              <w:rPr/>
            </w:pPr>
            <w:r>
              <w:rPr/>
              <w:t>испытаний</w:t>
            </w:r>
          </w:p>
        </w:tc>
      </w:tr>
      <w:tr>
        <w:trPr>
          <w:trHeight w:val="167" w:hRule="atLeast"/>
          <w:cantSplit w:val="true"/>
        </w:trPr>
        <w:tc>
          <w:tcPr>
            <w:tcW w:w="4713" w:type="dxa"/>
            <w:vMerge w:val="continue"/>
            <w:tcBorders>
              <w:top w:val="single" w:sz="4" w:space="0" w:color="000000"/>
              <w:left w:val="single" w:sz="4" w:space="0" w:color="000000"/>
              <w:bottom w:val="double" w:sz="4" w:space="0" w:color="000000"/>
              <w:right w:val="single" w:sz="4" w:space="0" w:color="000000"/>
            </w:tcBorders>
            <w:vAlign w:val="center"/>
          </w:tcPr>
          <w:p>
            <w:pPr>
              <w:pStyle w:val="Normal"/>
              <w:widowControl w:val="false"/>
              <w:rPr/>
            </w:pPr>
            <w:r>
              <w:rPr/>
            </w:r>
          </w:p>
        </w:tc>
        <w:tc>
          <w:tcPr>
            <w:tcW w:w="1194" w:type="dxa"/>
            <w:tcBorders>
              <w:top w:val="single" w:sz="4" w:space="0" w:color="000000"/>
              <w:left w:val="single" w:sz="4" w:space="0" w:color="000000"/>
              <w:bottom w:val="double" w:sz="4" w:space="0" w:color="000000"/>
              <w:right w:val="single" w:sz="4" w:space="0" w:color="000000"/>
            </w:tcBorders>
            <w:vAlign w:val="center"/>
          </w:tcPr>
          <w:p>
            <w:pPr>
              <w:pStyle w:val="Standard"/>
              <w:widowControl w:val="false"/>
              <w:spacing w:before="0" w:after="120"/>
              <w:ind w:left="-104" w:right="-74" w:hanging="0"/>
              <w:jc w:val="center"/>
              <w:rPr/>
            </w:pPr>
            <w:r>
              <w:rPr/>
              <w:t>ТП-30</w:t>
            </w:r>
          </w:p>
        </w:tc>
        <w:tc>
          <w:tcPr>
            <w:tcW w:w="2059" w:type="dxa"/>
            <w:tcBorders>
              <w:top w:val="single" w:sz="4" w:space="0" w:color="000000"/>
              <w:left w:val="single" w:sz="4" w:space="0" w:color="000000"/>
              <w:bottom w:val="double" w:sz="4" w:space="0" w:color="000000"/>
              <w:right w:val="single" w:sz="4" w:space="0" w:color="000000"/>
            </w:tcBorders>
            <w:vAlign w:val="center"/>
          </w:tcPr>
          <w:p>
            <w:pPr>
              <w:pStyle w:val="Standard"/>
              <w:widowControl w:val="false"/>
              <w:spacing w:before="0" w:after="120"/>
              <w:ind w:left="283" w:right="0" w:hanging="0"/>
              <w:jc w:val="center"/>
              <w:rPr/>
            </w:pPr>
            <w:r>
              <w:rPr/>
              <w:t>Импортное*</w:t>
            </w:r>
          </w:p>
        </w:tc>
        <w:tc>
          <w:tcPr>
            <w:tcW w:w="2363" w:type="dxa"/>
            <w:vMerge w:val="continue"/>
            <w:tcBorders>
              <w:top w:val="single" w:sz="4" w:space="0" w:color="000000"/>
              <w:left w:val="single" w:sz="4" w:space="0" w:color="000000"/>
              <w:bottom w:val="double" w:sz="4" w:space="0" w:color="000000"/>
              <w:right w:val="single" w:sz="4" w:space="0" w:color="000000"/>
            </w:tcBorders>
            <w:vAlign w:val="center"/>
          </w:tcPr>
          <w:p>
            <w:pPr>
              <w:pStyle w:val="Normal"/>
              <w:widowControl w:val="false"/>
              <w:rPr/>
            </w:pPr>
            <w:r>
              <w:rPr/>
            </w:r>
          </w:p>
        </w:tc>
      </w:tr>
      <w:tr>
        <w:trPr>
          <w:trHeight w:val="167" w:hRule="atLeast"/>
        </w:trPr>
        <w:tc>
          <w:tcPr>
            <w:tcW w:w="4713" w:type="dxa"/>
            <w:tcBorders>
              <w:top w:val="doub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t>Кислотное число, мг КОН/г, не более</w:t>
            </w:r>
          </w:p>
        </w:tc>
        <w:tc>
          <w:tcPr>
            <w:tcW w:w="1194" w:type="dxa"/>
            <w:tcBorders>
              <w:top w:val="doub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0,6</w:t>
            </w:r>
          </w:p>
        </w:tc>
        <w:tc>
          <w:tcPr>
            <w:tcW w:w="2059" w:type="dxa"/>
            <w:tcBorders>
              <w:top w:val="doub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w:t>
            </w:r>
          </w:p>
        </w:tc>
        <w:tc>
          <w:tcPr>
            <w:tcW w:w="2363" w:type="dxa"/>
            <w:tcBorders>
              <w:top w:val="doub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rFonts w:eastAsia="F"/>
              </w:rPr>
              <w:t>ГОСТ 5985-2022</w:t>
            </w:r>
            <w:r>
              <w:rPr/>
              <w:t>, возможно определять по ГОСТ 11362</w:t>
            </w:r>
          </w:p>
        </w:tc>
      </w:tr>
      <w:tr>
        <w:trPr>
          <w:trHeight w:val="167" w:hRule="atLeast"/>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t>Стабильность против окисления</w:t>
            </w:r>
          </w:p>
          <w:p>
            <w:pPr>
              <w:pStyle w:val="Standard"/>
              <w:widowControl w:val="false"/>
              <w:tabs>
                <w:tab w:val="clear" w:pos="708"/>
                <w:tab w:val="left" w:pos="284" w:leader="none"/>
                <w:tab w:val="left" w:pos="567" w:leader="none"/>
                <w:tab w:val="left" w:pos="851" w:leader="none"/>
                <w:tab w:val="left" w:pos="993" w:leader="none"/>
              </w:tabs>
              <w:rPr/>
            </w:pPr>
            <w:r>
              <w:rPr/>
              <w:t>при 150</w:t>
            </w:r>
            <w:r>
              <w:rPr>
                <w:rFonts w:eastAsia="Symbol" w:cs="Symbol" w:ascii="Symbol" w:hAnsi="Symbol"/>
              </w:rPr>
              <w:t></w:t>
            </w:r>
            <w:r>
              <w:rPr/>
              <w:t>С, 15 ч и расходе кислорода 5 дм</w:t>
            </w:r>
            <w:r>
              <w:rPr>
                <w:vertAlign w:val="superscript"/>
              </w:rPr>
              <w:t>3</w:t>
            </w:r>
            <w:r>
              <w:rPr/>
              <w:t>/ч</w:t>
            </w:r>
          </w:p>
          <w:p>
            <w:pPr>
              <w:pStyle w:val="Standard"/>
              <w:widowControl w:val="false"/>
              <w:tabs>
                <w:tab w:val="clear" w:pos="708"/>
                <w:tab w:val="left" w:pos="284" w:leader="none"/>
                <w:tab w:val="left" w:pos="567" w:leader="none"/>
                <w:tab w:val="left" w:pos="851" w:leader="none"/>
                <w:tab w:val="left" w:pos="993" w:leader="none"/>
              </w:tabs>
              <w:rPr/>
            </w:pPr>
            <w:r>
              <w:rPr/>
              <w:t xml:space="preserve">– </w:t>
            </w:r>
            <w:r>
              <w:rPr/>
              <w:t>кислотное число, мгКОН/г</w:t>
            </w:r>
          </w:p>
          <w:p>
            <w:pPr>
              <w:pStyle w:val="Standard"/>
              <w:widowControl w:val="false"/>
              <w:tabs>
                <w:tab w:val="clear" w:pos="708"/>
                <w:tab w:val="left" w:pos="284" w:leader="none"/>
              </w:tabs>
              <w:rPr>
                <w:spacing w:val="-2"/>
              </w:rPr>
            </w:pPr>
            <w:r>
              <w:rPr>
                <w:spacing w:val="-2"/>
              </w:rPr>
              <w:t xml:space="preserve">– </w:t>
            </w:r>
            <w:r>
              <w:rPr>
                <w:spacing w:val="-2"/>
              </w:rPr>
              <w:t>массовая доля осадка,  %</w:t>
            </w:r>
          </w:p>
        </w:tc>
        <w:tc>
          <w:tcPr>
            <w:tcW w:w="1194"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pPr>
            <w:r>
              <w:rPr/>
            </w:r>
          </w:p>
          <w:p>
            <w:pPr>
              <w:pStyle w:val="Standard"/>
              <w:widowControl w:val="false"/>
              <w:jc w:val="center"/>
              <w:rPr/>
            </w:pPr>
            <w:r>
              <w:rPr/>
            </w:r>
          </w:p>
          <w:p>
            <w:pPr>
              <w:pStyle w:val="Standard"/>
              <w:widowControl w:val="false"/>
              <w:ind w:left="283" w:right="0" w:hanging="0"/>
              <w:jc w:val="center"/>
              <w:rPr>
                <w:sz w:val="16"/>
                <w:szCs w:val="16"/>
              </w:rPr>
            </w:pPr>
            <w:r>
              <w:rPr>
                <w:sz w:val="16"/>
                <w:szCs w:val="16"/>
              </w:rPr>
              <w:t>**</w:t>
            </w:r>
          </w:p>
          <w:p>
            <w:pPr>
              <w:pStyle w:val="Standard"/>
              <w:widowControl w:val="false"/>
              <w:ind w:left="283" w:right="0" w:hanging="0"/>
              <w:jc w:val="center"/>
              <w:rPr>
                <w:sz w:val="16"/>
                <w:szCs w:val="16"/>
              </w:rPr>
            </w:pPr>
            <w:r>
              <w:rPr>
                <w:sz w:val="16"/>
                <w:szCs w:val="16"/>
              </w:rPr>
              <w:t>**</w:t>
            </w:r>
          </w:p>
        </w:tc>
        <w:tc>
          <w:tcPr>
            <w:tcW w:w="2059" w:type="dxa"/>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r>
          </w:p>
          <w:p>
            <w:pPr>
              <w:pStyle w:val="Standard"/>
              <w:widowControl w:val="false"/>
              <w:ind w:left="283" w:right="0" w:hanging="0"/>
              <w:jc w:val="center"/>
              <w:rPr/>
            </w:pPr>
            <w:r>
              <w:rPr/>
            </w:r>
          </w:p>
          <w:p>
            <w:pPr>
              <w:pStyle w:val="Standard"/>
              <w:widowControl w:val="false"/>
              <w:ind w:left="283" w:right="0" w:hanging="0"/>
              <w:jc w:val="center"/>
              <w:rPr/>
            </w:pPr>
            <w:r>
              <w:rPr/>
              <w:t>*</w:t>
            </w:r>
          </w:p>
          <w:p>
            <w:pPr>
              <w:pStyle w:val="Standard"/>
              <w:widowControl w:val="false"/>
              <w:ind w:left="283" w:right="0" w:hanging="0"/>
              <w:jc w:val="center"/>
              <w:rPr/>
            </w:pPr>
            <w:r>
              <w:rPr/>
              <w:t>*</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ГОСТ 981</w:t>
            </w:r>
          </w:p>
        </w:tc>
      </w:tr>
      <w:tr>
        <w:trPr>
          <w:trHeight w:val="167" w:hRule="atLeast"/>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t>Время деэмульсации, с, не более</w:t>
            </w:r>
          </w:p>
        </w:tc>
        <w:tc>
          <w:tcPr>
            <w:tcW w:w="1194" w:type="dxa"/>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1200**</w:t>
            </w:r>
          </w:p>
        </w:tc>
        <w:tc>
          <w:tcPr>
            <w:tcW w:w="2059" w:type="dxa"/>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ГОСТ 12068</w:t>
            </w:r>
          </w:p>
        </w:tc>
      </w:tr>
      <w:tr>
        <w:trPr>
          <w:trHeight w:val="662" w:hRule="atLeast"/>
          <w:cantSplit w:val="true"/>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color w:val="000000"/>
                <w:spacing w:val="-3"/>
              </w:rPr>
              <w:t xml:space="preserve">Содержание шлама (общее), </w:t>
            </w:r>
            <w:r>
              <w:rPr>
                <w:color w:val="000000"/>
              </w:rPr>
              <w:t xml:space="preserve"> % масс., не более</w:t>
            </w:r>
          </w:p>
          <w:p>
            <w:pPr>
              <w:pStyle w:val="Standard"/>
              <w:widowControl w:val="false"/>
              <w:rPr>
                <w:color w:val="000000"/>
                <w:spacing w:val="-3"/>
              </w:rPr>
            </w:pPr>
            <w:r>
              <w:rPr>
                <w:color w:val="000000"/>
                <w:spacing w:val="-3"/>
              </w:rPr>
              <w:t>- для системы регулирования</w:t>
            </w:r>
          </w:p>
          <w:p>
            <w:pPr>
              <w:pStyle w:val="Standard"/>
              <w:widowControl w:val="false"/>
              <w:tabs>
                <w:tab w:val="clear" w:pos="708"/>
                <w:tab w:val="left" w:pos="284" w:leader="none"/>
              </w:tabs>
              <w:rPr>
                <w:color w:val="000000"/>
                <w:spacing w:val="-3"/>
              </w:rPr>
            </w:pPr>
            <w:r>
              <w:rPr>
                <w:color w:val="000000"/>
                <w:spacing w:val="-3"/>
              </w:rPr>
              <w:t>- для системы смазки</w:t>
            </w:r>
          </w:p>
        </w:tc>
        <w:tc>
          <w:tcPr>
            <w:tcW w:w="3253"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ind w:left="-144" w:right="0" w:firstLine="100"/>
              <w:jc w:val="center"/>
              <w:rPr/>
            </w:pPr>
            <w:r>
              <w:rPr/>
            </w:r>
          </w:p>
          <w:p>
            <w:pPr>
              <w:pStyle w:val="Standard"/>
              <w:widowControl w:val="false"/>
              <w:ind w:left="-144" w:right="-108" w:firstLine="100"/>
              <w:jc w:val="center"/>
              <w:rPr/>
            </w:pPr>
            <w:r>
              <w:rPr/>
              <w:t>0,005 (отсутствие)</w:t>
            </w:r>
          </w:p>
          <w:p>
            <w:pPr>
              <w:pStyle w:val="Standard"/>
              <w:widowControl w:val="false"/>
              <w:ind w:left="283" w:right="0" w:hanging="0"/>
              <w:jc w:val="center"/>
              <w:rPr/>
            </w:pPr>
            <w:r>
              <w:rPr/>
              <w:t>0,01</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szCs w:val="16"/>
              </w:rPr>
            </w:pPr>
            <w:r>
              <w:rPr>
                <w:szCs w:val="16"/>
              </w:rPr>
              <w:t xml:space="preserve"> </w:t>
            </w:r>
            <w:r>
              <w:rPr>
                <w:szCs w:val="16"/>
              </w:rPr>
              <w:t>[1]</w:t>
            </w:r>
          </w:p>
        </w:tc>
      </w:tr>
      <w:tr>
        <w:trPr>
          <w:trHeight w:val="167" w:hRule="atLeast"/>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color w:val="000000"/>
              </w:rPr>
            </w:pPr>
            <w:r>
              <w:rPr>
                <w:color w:val="000000"/>
              </w:rPr>
              <w:t>Содержание воды,  % масс., не более</w:t>
            </w:r>
          </w:p>
        </w:tc>
        <w:tc>
          <w:tcPr>
            <w:tcW w:w="3253"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0,03 (отсутствие)</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t>ГОСТ 24614, ГОСТ Р МЭК 60814, возможно определять по ГОСТ 2477</w:t>
            </w:r>
          </w:p>
        </w:tc>
      </w:tr>
      <w:tr>
        <w:trPr>
          <w:trHeight w:val="167" w:hRule="atLeast"/>
          <w:cantSplit w:val="true"/>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t>Класс промышленной чистоты, не бо</w:t>
              <w:softHyphen/>
              <w:t>лее</w:t>
            </w:r>
          </w:p>
          <w:p>
            <w:pPr>
              <w:pStyle w:val="Standard"/>
              <w:widowControl w:val="false"/>
              <w:rPr>
                <w:color w:val="000000"/>
                <w:spacing w:val="-3"/>
              </w:rPr>
            </w:pPr>
            <w:r>
              <w:rPr>
                <w:color w:val="000000"/>
                <w:spacing w:val="-3"/>
              </w:rPr>
              <w:t xml:space="preserve"> </w:t>
            </w:r>
            <w:r>
              <w:rPr>
                <w:color w:val="000000"/>
                <w:spacing w:val="-3"/>
              </w:rPr>
              <w:t>- для системы регулирования</w:t>
            </w:r>
          </w:p>
          <w:p>
            <w:pPr>
              <w:pStyle w:val="Standard"/>
              <w:widowControl w:val="false"/>
              <w:rPr>
                <w:color w:val="000000"/>
                <w:spacing w:val="-3"/>
              </w:rPr>
            </w:pPr>
            <w:r>
              <w:rPr>
                <w:color w:val="000000"/>
                <w:spacing w:val="-3"/>
              </w:rPr>
              <w:t xml:space="preserve"> </w:t>
            </w:r>
            <w:r>
              <w:rPr>
                <w:color w:val="000000"/>
                <w:spacing w:val="-3"/>
              </w:rPr>
              <w:t>- для системы смазки</w:t>
            </w:r>
          </w:p>
        </w:tc>
        <w:tc>
          <w:tcPr>
            <w:tcW w:w="3253"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ind w:left="283" w:right="0" w:hanging="0"/>
              <w:jc w:val="center"/>
              <w:rPr/>
            </w:pPr>
            <w:r>
              <w:rPr/>
            </w:r>
          </w:p>
          <w:p>
            <w:pPr>
              <w:pStyle w:val="Standard"/>
              <w:widowControl w:val="false"/>
              <w:ind w:left="283" w:right="0" w:hanging="0"/>
              <w:jc w:val="center"/>
              <w:rPr/>
            </w:pPr>
            <w:r>
              <w:rPr/>
              <w:t>11</w:t>
            </w:r>
          </w:p>
          <w:p>
            <w:pPr>
              <w:pStyle w:val="Standard"/>
              <w:widowControl w:val="false"/>
              <w:ind w:left="283" w:right="0" w:hanging="0"/>
              <w:jc w:val="center"/>
              <w:rPr/>
            </w:pPr>
            <w:r>
              <w:rPr/>
              <w:t>13</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pPr>
            <w:r>
              <w:rPr/>
              <w:t>ГОСТ 17216</w:t>
            </w:r>
          </w:p>
          <w:p>
            <w:pPr>
              <w:pStyle w:val="Standard"/>
              <w:widowControl w:val="false"/>
              <w:ind w:left="283" w:right="0" w:hanging="0"/>
              <w:jc w:val="center"/>
              <w:rPr/>
            </w:pPr>
            <w:r>
              <w:rPr/>
              <w:t>(приложения А, В и Г ГОСТ 17216), ГОСТ ИСО 4407</w:t>
            </w:r>
          </w:p>
        </w:tc>
      </w:tr>
      <w:tr>
        <w:trPr>
          <w:trHeight w:val="167" w:hRule="atLeast"/>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t>Содержание присадки АГИДОЛ-1 (ионол),  % масс.,</w:t>
            </w:r>
          </w:p>
          <w:p>
            <w:pPr>
              <w:pStyle w:val="Standard"/>
              <w:widowControl w:val="false"/>
              <w:tabs>
                <w:tab w:val="clear" w:pos="708"/>
                <w:tab w:val="left" w:pos="284" w:leader="none"/>
              </w:tabs>
              <w:rPr/>
            </w:pPr>
            <w:r>
              <w:rPr/>
              <w:t>не менее</w:t>
            </w:r>
          </w:p>
        </w:tc>
        <w:tc>
          <w:tcPr>
            <w:tcW w:w="1194"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t>0,1**</w:t>
            </w:r>
          </w:p>
        </w:tc>
        <w:tc>
          <w:tcPr>
            <w:tcW w:w="2059"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szCs w:val="16"/>
              </w:rPr>
            </w:pPr>
            <w:r>
              <w:rPr>
                <w:szCs w:val="16"/>
              </w:rPr>
              <w:t>Определение данного показа</w:t>
              <w:softHyphen/>
              <w:t>теля в соответ</w:t>
              <w:softHyphen/>
              <w:t>ствии с</w:t>
            </w:r>
          </w:p>
          <w:p>
            <w:pPr>
              <w:pStyle w:val="Standard"/>
              <w:widowControl w:val="false"/>
              <w:tabs>
                <w:tab w:val="clear" w:pos="708"/>
                <w:tab w:val="left" w:pos="567" w:leader="none"/>
                <w:tab w:val="left" w:pos="850" w:leader="none"/>
                <w:tab w:val="left" w:pos="1134" w:leader="none"/>
              </w:tabs>
              <w:ind w:left="283" w:right="0" w:hanging="0"/>
              <w:jc w:val="center"/>
              <w:rPr>
                <w:szCs w:val="16"/>
              </w:rPr>
            </w:pPr>
            <w:r>
              <w:rPr>
                <w:szCs w:val="16"/>
              </w:rPr>
              <w:t>[2] или [3]</w:t>
            </w:r>
          </w:p>
        </w:tc>
      </w:tr>
      <w:tr>
        <w:trPr>
          <w:trHeight w:val="167" w:hRule="atLeast"/>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t xml:space="preserve"> </w:t>
            </w:r>
            <w:r>
              <w:rPr/>
              <w:t>Изменение кинематической вязкости от исходного значения для масла перед его заливкой в оборудование, %, не более</w:t>
            </w:r>
          </w:p>
        </w:tc>
        <w:tc>
          <w:tcPr>
            <w:tcW w:w="3253"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jc w:val="center"/>
              <w:rPr/>
            </w:pPr>
            <w:r>
              <w:rPr/>
              <w:t>10</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ГОСТ 33</w:t>
            </w:r>
          </w:p>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r>
          </w:p>
        </w:tc>
      </w:tr>
      <w:tr>
        <w:trPr>
          <w:trHeight w:val="167" w:hRule="atLeast"/>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s>
              <w:ind w:left="0" w:right="0" w:hanging="0"/>
              <w:rPr/>
            </w:pPr>
            <w:r>
              <w:rPr/>
              <w:t>Изменение температуры вспышки в открытом тигле от предыдущего значе</w:t>
              <w:softHyphen/>
              <w:t>ния, ºС, не более</w:t>
            </w:r>
          </w:p>
        </w:tc>
        <w:tc>
          <w:tcPr>
            <w:tcW w:w="3253"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jc w:val="center"/>
              <w:rPr/>
            </w:pPr>
            <w:r>
              <w:rPr/>
              <w:t>10</w:t>
            </w:r>
          </w:p>
        </w:tc>
        <w:tc>
          <w:tcPr>
            <w:tcW w:w="2363"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jc w:val="center"/>
              <w:rPr/>
            </w:pPr>
            <w:r>
              <w:rPr/>
              <w:t>ГОСТ 4333</w:t>
            </w:r>
          </w:p>
        </w:tc>
      </w:tr>
      <w:tr>
        <w:trPr>
          <w:trHeight w:val="167" w:hRule="atLeast"/>
          <w:cantSplit w:val="true"/>
        </w:trPr>
        <w:tc>
          <w:tcPr>
            <w:tcW w:w="4713"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8"/>
              </w:numPr>
              <w:tabs>
                <w:tab w:val="clear" w:pos="708"/>
                <w:tab w:val="left" w:pos="284" w:leader="none"/>
                <w:tab w:val="left" w:pos="333" w:leader="none"/>
              </w:tabs>
              <w:ind w:left="0" w:right="0" w:hanging="0"/>
              <w:rPr/>
            </w:pPr>
            <w:r>
              <w:rPr/>
              <w:t xml:space="preserve"> </w:t>
            </w:r>
            <w:r>
              <w:rPr/>
              <w:t>Внешний вид (визуальный контроль)</w:t>
            </w:r>
          </w:p>
        </w:tc>
        <w:tc>
          <w:tcPr>
            <w:tcW w:w="5616" w:type="dxa"/>
            <w:gridSpan w:val="3"/>
            <w:tcBorders>
              <w:top w:val="single" w:sz="4" w:space="0" w:color="000000"/>
              <w:left w:val="single" w:sz="4" w:space="0" w:color="000000"/>
              <w:bottom w:val="single" w:sz="4" w:space="0" w:color="000000"/>
              <w:right w:val="single" w:sz="4" w:space="0" w:color="000000"/>
            </w:tcBorders>
          </w:tcPr>
          <w:p>
            <w:pPr>
              <w:pStyle w:val="Standard"/>
              <w:widowControl w:val="false"/>
              <w:ind w:left="-112" w:right="-172" w:hanging="0"/>
              <w:rPr/>
            </w:pPr>
            <w:r>
              <w:rPr/>
              <w:t>Чистая и прозрачная жидкость, желтого или корич</w:t>
              <w:softHyphen/>
              <w:t>невого цвета, не содержащая взвешенных частиц за</w:t>
              <w:softHyphen/>
              <w:t>грязнений и осадков.</w:t>
            </w:r>
          </w:p>
        </w:tc>
      </w:tr>
      <w:tr>
        <w:trPr>
          <w:trHeight w:val="167" w:hRule="atLeast"/>
        </w:trPr>
        <w:tc>
          <w:tcPr>
            <w:tcW w:w="10329" w:type="dxa"/>
            <w:gridSpan w:val="4"/>
            <w:tcBorders>
              <w:top w:val="single" w:sz="4" w:space="0" w:color="000000"/>
              <w:left w:val="single" w:sz="4" w:space="0" w:color="000000"/>
              <w:bottom w:val="single" w:sz="4" w:space="0" w:color="000000"/>
              <w:right w:val="single" w:sz="4" w:space="0" w:color="000000"/>
            </w:tcBorders>
          </w:tcPr>
          <w:p>
            <w:pPr>
              <w:pStyle w:val="Standard"/>
              <w:widowControl w:val="false"/>
              <w:rPr>
                <w:spacing w:val="20"/>
                <w:sz w:val="20"/>
                <w:szCs w:val="20"/>
              </w:rPr>
            </w:pPr>
            <w:r>
              <w:rPr>
                <w:spacing w:val="20"/>
                <w:sz w:val="20"/>
                <w:szCs w:val="20"/>
              </w:rPr>
              <w:t>Примечания:</w:t>
            </w:r>
          </w:p>
          <w:p>
            <w:pPr>
              <w:pStyle w:val="Standard"/>
              <w:widowControl w:val="false"/>
              <w:rPr>
                <w:sz w:val="20"/>
                <w:szCs w:val="20"/>
              </w:rPr>
            </w:pPr>
            <w:r>
              <w:rPr>
                <w:sz w:val="20"/>
                <w:szCs w:val="20"/>
              </w:rPr>
              <w:t>* Определяется требованием изготовителя на конкретную марку масла</w:t>
            </w:r>
          </w:p>
          <w:p>
            <w:pPr>
              <w:pStyle w:val="Standard"/>
              <w:widowControl w:val="false"/>
              <w:rPr>
                <w:sz w:val="20"/>
                <w:szCs w:val="20"/>
              </w:rPr>
            </w:pPr>
            <w:r>
              <w:rPr>
                <w:sz w:val="20"/>
                <w:szCs w:val="20"/>
              </w:rPr>
              <w:t>** Приведенные нормы не являются браковочными, определение выполняют по решению технического руково</w:t>
              <w:softHyphen/>
              <w:t>дителя ГЭС в соответствии с п. 8.3.4 настоящего стандарта.</w:t>
            </w:r>
          </w:p>
        </w:tc>
      </w:tr>
    </w:tbl>
    <w:p>
      <w:pPr>
        <w:pStyle w:val="Standard"/>
        <w:rPr>
          <w:spacing w:val="20"/>
        </w:rPr>
      </w:pPr>
      <w:r>
        <w:rPr>
          <w:spacing w:val="20"/>
        </w:rPr>
      </w:r>
      <w:r>
        <w:br w:type="page"/>
      </w:r>
    </w:p>
    <w:p>
      <w:pPr>
        <w:pStyle w:val="Standard"/>
        <w:rPr/>
      </w:pPr>
      <w:r>
        <w:rPr>
          <w:spacing w:val="20"/>
        </w:rPr>
        <w:t xml:space="preserve">Таблица </w:t>
      </w:r>
      <w:r>
        <w:rPr/>
        <w:t>2 – Требования к качеству свежих нефтяных турбинных масел класса вязкости 46 для гидроагрегатов</w:t>
      </w:r>
    </w:p>
    <w:tbl>
      <w:tblPr>
        <w:tblW w:w="5000" w:type="pct"/>
        <w:jc w:val="center"/>
        <w:tblInd w:w="0" w:type="dxa"/>
        <w:tblLayout w:type="fixed"/>
        <w:tblCellMar>
          <w:top w:w="0" w:type="dxa"/>
          <w:left w:w="108" w:type="dxa"/>
          <w:bottom w:w="0" w:type="dxa"/>
          <w:right w:w="108" w:type="dxa"/>
        </w:tblCellMar>
      </w:tblPr>
      <w:tblGrid>
        <w:gridCol w:w="3686"/>
        <w:gridCol w:w="1193"/>
        <w:gridCol w:w="284"/>
        <w:gridCol w:w="1325"/>
        <w:gridCol w:w="1195"/>
        <w:gridCol w:w="2752"/>
      </w:tblGrid>
      <w:tr>
        <w:trPr>
          <w:tblHeader w:val="true"/>
          <w:trHeight w:val="170" w:hRule="atLeast"/>
          <w:cantSplit w:val="true"/>
        </w:trPr>
        <w:tc>
          <w:tcPr>
            <w:tcW w:w="3686" w:type="dxa"/>
            <w:vMerge w:val="restart"/>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284" w:leader="none"/>
                <w:tab w:val="left" w:pos="567" w:leader="none"/>
                <w:tab w:val="left" w:pos="851" w:leader="none"/>
              </w:tabs>
              <w:jc w:val="center"/>
              <w:rPr/>
            </w:pPr>
            <w:r>
              <w:rPr/>
              <w:t>Наименование показателя</w:t>
            </w:r>
          </w:p>
          <w:p>
            <w:pPr>
              <w:pStyle w:val="Standard"/>
              <w:widowControl w:val="false"/>
              <w:tabs>
                <w:tab w:val="clear" w:pos="708"/>
                <w:tab w:val="left" w:pos="284" w:leader="none"/>
                <w:tab w:val="left" w:pos="567" w:leader="none"/>
                <w:tab w:val="left" w:pos="851" w:leader="none"/>
              </w:tabs>
              <w:jc w:val="center"/>
              <w:rPr/>
            </w:pPr>
            <w:r>
              <w:rPr/>
              <w:t>качества</w:t>
            </w:r>
          </w:p>
        </w:tc>
        <w:tc>
          <w:tcPr>
            <w:tcW w:w="3997" w:type="dxa"/>
            <w:gridSpan w:val="4"/>
            <w:tcBorders>
              <w:top w:val="single" w:sz="4" w:space="0" w:color="000000"/>
              <w:left w:val="single" w:sz="4" w:space="0" w:color="000000"/>
              <w:bottom w:val="single" w:sz="4" w:space="0" w:color="000000"/>
              <w:right w:val="single" w:sz="4" w:space="0" w:color="000000"/>
            </w:tcBorders>
            <w:vAlign w:val="center"/>
          </w:tcPr>
          <w:p>
            <w:pPr>
              <w:pStyle w:val="Standard"/>
              <w:widowControl w:val="false"/>
              <w:tabs>
                <w:tab w:val="clear" w:pos="708"/>
                <w:tab w:val="left" w:pos="567" w:leader="none"/>
                <w:tab w:val="left" w:pos="850" w:leader="none"/>
                <w:tab w:val="left" w:pos="1134" w:leader="none"/>
              </w:tabs>
              <w:ind w:left="283" w:right="0" w:hanging="0"/>
              <w:jc w:val="center"/>
              <w:rPr/>
            </w:pPr>
            <w:r>
              <w:rPr/>
              <w:t>Значение показателя</w:t>
            </w:r>
          </w:p>
          <w:p>
            <w:pPr>
              <w:pStyle w:val="Standard"/>
              <w:widowControl w:val="false"/>
              <w:tabs>
                <w:tab w:val="clear" w:pos="708"/>
                <w:tab w:val="left" w:pos="284" w:leader="none"/>
                <w:tab w:val="left" w:pos="567" w:leader="none"/>
                <w:tab w:val="left" w:pos="851" w:leader="none"/>
              </w:tabs>
              <w:jc w:val="center"/>
              <w:rPr/>
            </w:pPr>
            <w:r>
              <w:rPr/>
              <w:t>качества масла</w:t>
            </w:r>
          </w:p>
        </w:tc>
        <w:tc>
          <w:tcPr>
            <w:tcW w:w="2752" w:type="dxa"/>
            <w:vMerge w:val="restart"/>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567" w:leader="none"/>
                <w:tab w:val="left" w:pos="850" w:leader="none"/>
                <w:tab w:val="left" w:pos="1134" w:leader="none"/>
              </w:tabs>
              <w:ind w:left="283" w:right="0" w:hanging="0"/>
              <w:jc w:val="center"/>
              <w:rPr/>
            </w:pPr>
            <w:r>
              <w:rPr/>
              <w:t>Методы</w:t>
            </w:r>
          </w:p>
          <w:p>
            <w:pPr>
              <w:pStyle w:val="Standard"/>
              <w:widowControl w:val="false"/>
              <w:tabs>
                <w:tab w:val="clear" w:pos="708"/>
                <w:tab w:val="left" w:pos="567" w:leader="none"/>
                <w:tab w:val="left" w:pos="850" w:leader="none"/>
                <w:tab w:val="left" w:pos="1134" w:leader="none"/>
              </w:tabs>
              <w:ind w:left="283" w:right="0" w:hanging="0"/>
              <w:jc w:val="center"/>
              <w:rPr/>
            </w:pPr>
            <w:r>
              <w:rPr/>
              <w:t>испытаний</w:t>
            </w:r>
          </w:p>
        </w:tc>
      </w:tr>
      <w:tr>
        <w:trPr>
          <w:tblHeader w:val="true"/>
          <w:trHeight w:val="167" w:hRule="atLeast"/>
          <w:cantSplit w:val="true"/>
        </w:trPr>
        <w:tc>
          <w:tcPr>
            <w:tcW w:w="3686" w:type="dxa"/>
            <w:vMerge w:val="continue"/>
            <w:tcBorders>
              <w:top w:val="single" w:sz="4" w:space="0" w:color="000000"/>
              <w:left w:val="single" w:sz="4" w:space="0" w:color="000000"/>
              <w:bottom w:val="double" w:sz="4" w:space="0" w:color="000000"/>
              <w:right w:val="single" w:sz="4" w:space="0" w:color="000000"/>
            </w:tcBorders>
            <w:vAlign w:val="center"/>
          </w:tcPr>
          <w:p>
            <w:pPr>
              <w:pStyle w:val="Normal"/>
              <w:widowControl w:val="false"/>
              <w:rPr/>
            </w:pPr>
            <w:r>
              <w:rPr/>
            </w:r>
          </w:p>
        </w:tc>
        <w:tc>
          <w:tcPr>
            <w:tcW w:w="1477" w:type="dxa"/>
            <w:gridSpan w:val="2"/>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6404" w:leader="none"/>
              </w:tabs>
              <w:ind w:left="-83" w:right="0" w:hanging="0"/>
              <w:jc w:val="center"/>
              <w:rPr/>
            </w:pPr>
            <w:r>
              <w:rPr/>
              <w:t>ТП-30 по ГОСТ 9972</w:t>
            </w:r>
          </w:p>
        </w:tc>
        <w:tc>
          <w:tcPr>
            <w:tcW w:w="1325" w:type="dxa"/>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6404" w:leader="none"/>
              </w:tabs>
              <w:ind w:left="-83" w:right="0" w:hanging="0"/>
              <w:jc w:val="center"/>
              <w:rPr/>
            </w:pPr>
            <w:r>
              <w:rPr/>
              <w:t>Импортное*</w:t>
            </w:r>
          </w:p>
        </w:tc>
        <w:tc>
          <w:tcPr>
            <w:tcW w:w="1195" w:type="dxa"/>
            <w:tcBorders>
              <w:top w:val="single" w:sz="4" w:space="0" w:color="000000"/>
              <w:left w:val="single" w:sz="4" w:space="0" w:color="000000"/>
              <w:bottom w:val="double" w:sz="4" w:space="0" w:color="000000"/>
              <w:right w:val="single" w:sz="4" w:space="0" w:color="000000"/>
            </w:tcBorders>
          </w:tcPr>
          <w:p>
            <w:pPr>
              <w:pStyle w:val="Standard"/>
              <w:widowControl w:val="false"/>
              <w:tabs>
                <w:tab w:val="clear" w:pos="708"/>
                <w:tab w:val="left" w:pos="-6404" w:leader="none"/>
              </w:tabs>
              <w:ind w:left="-83" w:right="0" w:hanging="0"/>
              <w:jc w:val="center"/>
              <w:rPr/>
            </w:pPr>
            <w:r>
              <w:rPr/>
              <w:t xml:space="preserve">ИСО 8068 </w:t>
            </w:r>
            <w:r>
              <w:rPr>
                <w:szCs w:val="16"/>
              </w:rPr>
              <w:t>[4]</w:t>
            </w:r>
          </w:p>
        </w:tc>
        <w:tc>
          <w:tcPr>
            <w:tcW w:w="2752" w:type="dxa"/>
            <w:vMerge w:val="continue"/>
            <w:tcBorders>
              <w:top w:val="single" w:sz="4" w:space="0" w:color="000000"/>
              <w:left w:val="single" w:sz="4" w:space="0" w:color="000000"/>
              <w:bottom w:val="double" w:sz="4" w:space="0" w:color="000000"/>
              <w:right w:val="single" w:sz="4" w:space="0" w:color="000000"/>
            </w:tcBorders>
            <w:vAlign w:val="center"/>
          </w:tcPr>
          <w:p>
            <w:pPr>
              <w:pStyle w:val="Normal"/>
              <w:widowControl w:val="false"/>
              <w:rPr/>
            </w:pPr>
            <w:r>
              <w:rPr/>
            </w:r>
          </w:p>
        </w:tc>
      </w:tr>
      <w:tr>
        <w:trPr>
          <w:trHeight w:val="427" w:hRule="atLeast"/>
        </w:trPr>
        <w:tc>
          <w:tcPr>
            <w:tcW w:w="3686"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 w:val="left" w:pos="2148" w:leader="none"/>
              </w:tabs>
              <w:rPr/>
            </w:pPr>
            <w:r>
              <w:rPr/>
              <w:t>1) Вязкость кинематическая, мм</w:t>
            </w:r>
            <w:r>
              <w:rPr>
                <w:vertAlign w:val="superscript"/>
              </w:rPr>
              <w:t>2</w:t>
            </w:r>
            <w:r>
              <w:rPr/>
              <w:t>/с, при температуре 40</w:t>
            </w:r>
            <w:r>
              <w:rPr>
                <w:rFonts w:eastAsia="Symbol" w:cs="Symbol" w:ascii="Symbol" w:hAnsi="Symbol"/>
              </w:rPr>
              <w:t></w:t>
            </w:r>
            <w:r>
              <w:rPr/>
              <w:t>С</w:t>
            </w:r>
          </w:p>
        </w:tc>
        <w:tc>
          <w:tcPr>
            <w:tcW w:w="1477" w:type="dxa"/>
            <w:gridSpan w:val="2"/>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41,4-50,6</w:t>
            </w:r>
          </w:p>
          <w:p>
            <w:pPr>
              <w:pStyle w:val="Standard"/>
              <w:widowControl w:val="false"/>
              <w:tabs>
                <w:tab w:val="clear" w:pos="708"/>
                <w:tab w:val="left" w:pos="567" w:leader="none"/>
                <w:tab w:val="left" w:pos="850" w:leader="none"/>
                <w:tab w:val="left" w:pos="1134" w:leader="none"/>
              </w:tabs>
              <w:ind w:left="283" w:right="0" w:hanging="0"/>
              <w:jc w:val="center"/>
              <w:rPr/>
            </w:pPr>
            <w:r>
              <w:rPr/>
            </w:r>
          </w:p>
        </w:tc>
        <w:tc>
          <w:tcPr>
            <w:tcW w:w="1325"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41,4-50,6</w:t>
            </w:r>
          </w:p>
          <w:p>
            <w:pPr>
              <w:pStyle w:val="Standard"/>
              <w:widowControl w:val="false"/>
              <w:tabs>
                <w:tab w:val="clear" w:pos="708"/>
                <w:tab w:val="left" w:pos="567" w:leader="none"/>
                <w:tab w:val="left" w:pos="850" w:leader="none"/>
                <w:tab w:val="left" w:pos="1134" w:leader="none"/>
              </w:tabs>
              <w:ind w:left="283" w:right="0" w:hanging="0"/>
              <w:jc w:val="center"/>
              <w:rPr/>
            </w:pPr>
            <w:r>
              <w:rPr/>
            </w:r>
          </w:p>
        </w:tc>
        <w:tc>
          <w:tcPr>
            <w:tcW w:w="1195"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41,4-50,6</w:t>
            </w:r>
          </w:p>
          <w:p>
            <w:pPr>
              <w:pStyle w:val="Standard"/>
              <w:widowControl w:val="false"/>
              <w:tabs>
                <w:tab w:val="clear" w:pos="708"/>
                <w:tab w:val="left" w:pos="284" w:leader="none"/>
                <w:tab w:val="left" w:pos="567" w:leader="none"/>
                <w:tab w:val="left" w:pos="851" w:leader="none"/>
              </w:tabs>
              <w:jc w:val="center"/>
              <w:rPr/>
            </w:pPr>
            <w:r>
              <w:rPr/>
            </w:r>
          </w:p>
        </w:tc>
        <w:tc>
          <w:tcPr>
            <w:tcW w:w="2752"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ГОСТ 33</w:t>
            </w:r>
          </w:p>
        </w:tc>
      </w:tr>
      <w:tr>
        <w:trPr>
          <w:trHeight w:val="167" w:hRule="atLeast"/>
        </w:trPr>
        <w:tc>
          <w:tcPr>
            <w:tcW w:w="3686"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2) Кислотное число, мг КОН/г, не более</w:t>
            </w:r>
          </w:p>
        </w:tc>
        <w:tc>
          <w:tcPr>
            <w:tcW w:w="1477" w:type="dxa"/>
            <w:gridSpan w:val="2"/>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0,5</w:t>
            </w:r>
          </w:p>
        </w:tc>
        <w:tc>
          <w:tcPr>
            <w:tcW w:w="1325"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1195"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0,2</w:t>
            </w:r>
          </w:p>
        </w:tc>
        <w:tc>
          <w:tcPr>
            <w:tcW w:w="2752"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rFonts w:eastAsia="F"/>
              </w:rPr>
              <w:t>ГОСТ 5985-2022</w:t>
            </w:r>
            <w:r>
              <w:rPr/>
              <w:t>, возможно опреде</w:t>
              <w:softHyphen/>
              <w:t>лять по ГОСТ 11362</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3) Стабильность против окис</w:t>
              <w:softHyphen/>
              <w:t>ления</w:t>
            </w:r>
          </w:p>
          <w:p>
            <w:pPr>
              <w:pStyle w:val="Standard"/>
              <w:widowControl w:val="false"/>
              <w:tabs>
                <w:tab w:val="clear" w:pos="708"/>
                <w:tab w:val="left" w:pos="284" w:leader="none"/>
                <w:tab w:val="left" w:pos="567" w:leader="none"/>
                <w:tab w:val="left" w:pos="851" w:leader="none"/>
                <w:tab w:val="left" w:pos="993" w:leader="none"/>
              </w:tabs>
              <w:rPr/>
            </w:pPr>
            <w:r>
              <w:rPr/>
              <w:t>при 150</w:t>
            </w:r>
            <w:r>
              <w:rPr>
                <w:rFonts w:eastAsia="Symbol" w:cs="Symbol" w:ascii="Symbol" w:hAnsi="Symbol"/>
              </w:rPr>
              <w:t></w:t>
            </w:r>
            <w:r>
              <w:rPr/>
              <w:t>С, 15 ч и расходе кис</w:t>
              <w:softHyphen/>
              <w:t>лорода 5 дм</w:t>
            </w:r>
            <w:r>
              <w:rPr>
                <w:vertAlign w:val="superscript"/>
              </w:rPr>
              <w:t>3</w:t>
            </w:r>
            <w:r>
              <w:rPr/>
              <w:t>/ч</w:t>
            </w:r>
          </w:p>
          <w:p>
            <w:pPr>
              <w:pStyle w:val="Standard"/>
              <w:widowControl w:val="false"/>
              <w:tabs>
                <w:tab w:val="clear" w:pos="708"/>
                <w:tab w:val="left" w:pos="284" w:leader="none"/>
                <w:tab w:val="left" w:pos="567" w:leader="none"/>
                <w:tab w:val="left" w:pos="851" w:leader="none"/>
                <w:tab w:val="left" w:pos="993" w:leader="none"/>
              </w:tabs>
              <w:rPr/>
            </w:pPr>
            <w:r>
              <w:rPr/>
              <w:t xml:space="preserve">– </w:t>
            </w:r>
            <w:r>
              <w:rPr/>
              <w:t>кислотное число, мгКОН/г</w:t>
            </w:r>
          </w:p>
          <w:p>
            <w:pPr>
              <w:pStyle w:val="Standard"/>
              <w:widowControl w:val="false"/>
              <w:tabs>
                <w:tab w:val="clear" w:pos="708"/>
                <w:tab w:val="left" w:pos="284" w:leader="none"/>
                <w:tab w:val="left" w:pos="567" w:leader="none"/>
                <w:tab w:val="left" w:pos="851" w:leader="none"/>
              </w:tabs>
              <w:rPr>
                <w:spacing w:val="-2"/>
              </w:rPr>
            </w:pPr>
            <w:r>
              <w:rPr>
                <w:spacing w:val="-2"/>
              </w:rPr>
              <w:t xml:space="preserve">– </w:t>
            </w:r>
            <w:r>
              <w:rPr>
                <w:spacing w:val="-2"/>
              </w:rPr>
              <w:t>массовая доля осадка,  %</w:t>
            </w:r>
          </w:p>
        </w:tc>
        <w:tc>
          <w:tcPr>
            <w:tcW w:w="1477"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t>0,5</w:t>
            </w:r>
          </w:p>
          <w:p>
            <w:pPr>
              <w:pStyle w:val="Standard"/>
              <w:widowControl w:val="false"/>
              <w:tabs>
                <w:tab w:val="clear" w:pos="708"/>
                <w:tab w:val="left" w:pos="567" w:leader="none"/>
                <w:tab w:val="left" w:pos="850" w:leader="none"/>
                <w:tab w:val="left" w:pos="1134" w:leader="none"/>
              </w:tabs>
              <w:ind w:left="283" w:right="0" w:hanging="0"/>
              <w:jc w:val="center"/>
              <w:rPr/>
            </w:pPr>
            <w:r>
              <w:rPr/>
              <w:t>0,01</w:t>
            </w:r>
          </w:p>
        </w:tc>
        <w:tc>
          <w:tcPr>
            <w:tcW w:w="132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t>0,5</w:t>
            </w:r>
          </w:p>
          <w:p>
            <w:pPr>
              <w:pStyle w:val="Standard"/>
              <w:widowControl w:val="false"/>
              <w:tabs>
                <w:tab w:val="clear" w:pos="708"/>
                <w:tab w:val="left" w:pos="567" w:leader="none"/>
                <w:tab w:val="left" w:pos="850" w:leader="none"/>
                <w:tab w:val="left" w:pos="1134" w:leader="none"/>
              </w:tabs>
              <w:ind w:left="283" w:right="0" w:hanging="0"/>
              <w:jc w:val="center"/>
              <w:rPr/>
            </w:pPr>
            <w:r>
              <w:rPr/>
              <w:t>0,01</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981</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 xml:space="preserve">4) Температура вспышки в открытом тигле, </w:t>
            </w:r>
            <w:r>
              <w:rPr>
                <w:rFonts w:eastAsia="Symbol" w:cs="Symbol" w:ascii="Symbol" w:hAnsi="Symbol"/>
              </w:rPr>
              <w:t></w:t>
            </w:r>
            <w:r>
              <w:rPr/>
              <w:t>С, не ниже</w:t>
            </w:r>
          </w:p>
        </w:tc>
        <w:tc>
          <w:tcPr>
            <w:tcW w:w="1477"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190</w:t>
            </w:r>
          </w:p>
        </w:tc>
        <w:tc>
          <w:tcPr>
            <w:tcW w:w="132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190</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186</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4333</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5)Температура застывания, °С, не выше</w:t>
            </w:r>
          </w:p>
        </w:tc>
        <w:tc>
          <w:tcPr>
            <w:tcW w:w="1477"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Минус 10**</w:t>
            </w:r>
          </w:p>
        </w:tc>
        <w:tc>
          <w:tcPr>
            <w:tcW w:w="132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Минус 6**</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Минус 6</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20287</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6) Содержание водораствори</w:t>
              <w:softHyphen/>
              <w:t>мых кислот и щелочей</w:t>
            </w:r>
          </w:p>
        </w:tc>
        <w:tc>
          <w:tcPr>
            <w:tcW w:w="1477"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Отсутствие</w:t>
            </w:r>
          </w:p>
        </w:tc>
        <w:tc>
          <w:tcPr>
            <w:tcW w:w="132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6307</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7) Время деэмульсации, с, не более</w:t>
            </w:r>
          </w:p>
        </w:tc>
        <w:tc>
          <w:tcPr>
            <w:tcW w:w="1477"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210</w:t>
            </w:r>
          </w:p>
        </w:tc>
        <w:tc>
          <w:tcPr>
            <w:tcW w:w="132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12068</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8) Коррозия на стальных стерж</w:t>
              <w:softHyphen/>
              <w:t>нях</w:t>
            </w:r>
          </w:p>
        </w:tc>
        <w:tc>
          <w:tcPr>
            <w:tcW w:w="3997" w:type="dxa"/>
            <w:gridSpan w:val="4"/>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Отсутствие</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19199</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color w:val="000000"/>
                <w:spacing w:val="-3"/>
              </w:rPr>
              <w:t>9) Содержание механических примесей,</w:t>
            </w:r>
            <w:r>
              <w:rPr>
                <w:color w:val="000000"/>
              </w:rPr>
              <w:t xml:space="preserve"> % масс., не более</w:t>
            </w:r>
          </w:p>
        </w:tc>
        <w:tc>
          <w:tcPr>
            <w:tcW w:w="3997" w:type="dxa"/>
            <w:gridSpan w:val="4"/>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0,005 (отсутствие)</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6370</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color w:val="000000"/>
              </w:rPr>
            </w:pPr>
            <w:r>
              <w:rPr>
                <w:color w:val="000000"/>
              </w:rPr>
              <w:t>10) Содержание воды,  % масс., не более</w:t>
            </w:r>
          </w:p>
        </w:tc>
        <w:tc>
          <w:tcPr>
            <w:tcW w:w="2802" w:type="dxa"/>
            <w:gridSpan w:val="3"/>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0,03 (отсутствие)</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0,02</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24614,  ГОСТ Р МЭК 60814, воз</w:t>
              <w:softHyphen/>
              <w:t>можно определять по ГОСТ 2477</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 w:val="left" w:pos="2148" w:leader="none"/>
              </w:tabs>
              <w:rPr/>
            </w:pPr>
            <w:r>
              <w:rPr/>
              <w:t>11) Плотность при 20</w:t>
            </w:r>
            <w:r>
              <w:rPr>
                <w:rFonts w:eastAsia="Symbol" w:cs="Symbol" w:ascii="Symbol" w:hAnsi="Symbol"/>
              </w:rPr>
              <w:t></w:t>
            </w:r>
            <w:r>
              <w:rPr/>
              <w:t>С, кг/м</w:t>
            </w:r>
            <w:r>
              <w:rPr>
                <w:vertAlign w:val="superscript"/>
              </w:rPr>
              <w:t>3</w:t>
            </w:r>
            <w:r>
              <w:rPr/>
              <w:t>,не более</w:t>
            </w:r>
          </w:p>
        </w:tc>
        <w:tc>
          <w:tcPr>
            <w:tcW w:w="1193"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895</w:t>
            </w:r>
          </w:p>
        </w:tc>
        <w:tc>
          <w:tcPr>
            <w:tcW w:w="1609"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3900</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12) Класс промышленной чи</w:t>
              <w:softHyphen/>
              <w:t>стоты, не более</w:t>
            </w:r>
          </w:p>
          <w:p>
            <w:pPr>
              <w:pStyle w:val="Standard"/>
              <w:widowControl w:val="false"/>
              <w:tabs>
                <w:tab w:val="clear" w:pos="708"/>
                <w:tab w:val="left" w:pos="284" w:leader="none"/>
                <w:tab w:val="left" w:pos="567" w:leader="none"/>
                <w:tab w:val="left" w:pos="851" w:leader="none"/>
              </w:tabs>
              <w:rPr/>
            </w:pPr>
            <w:r>
              <w:rPr/>
              <w:t xml:space="preserve"> </w:t>
            </w:r>
            <w:r>
              <w:rPr/>
              <w:t>- для системы регулирования</w:t>
            </w:r>
          </w:p>
          <w:p>
            <w:pPr>
              <w:pStyle w:val="Standard"/>
              <w:widowControl w:val="false"/>
              <w:tabs>
                <w:tab w:val="clear" w:pos="708"/>
                <w:tab w:val="left" w:pos="284" w:leader="none"/>
                <w:tab w:val="left" w:pos="567" w:leader="none"/>
                <w:tab w:val="left" w:pos="851" w:leader="none"/>
              </w:tabs>
              <w:rPr/>
            </w:pPr>
            <w:r>
              <w:rPr/>
              <w:t xml:space="preserve"> </w:t>
            </w:r>
            <w:r>
              <w:rPr/>
              <w:t>- для системы смазки</w:t>
            </w:r>
          </w:p>
        </w:tc>
        <w:tc>
          <w:tcPr>
            <w:tcW w:w="1193"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t>11</w:t>
            </w:r>
          </w:p>
          <w:p>
            <w:pPr>
              <w:pStyle w:val="Standard"/>
              <w:widowControl w:val="false"/>
              <w:tabs>
                <w:tab w:val="clear" w:pos="708"/>
                <w:tab w:val="left" w:pos="567" w:leader="none"/>
                <w:tab w:val="left" w:pos="850" w:leader="none"/>
                <w:tab w:val="left" w:pos="1134" w:leader="none"/>
              </w:tabs>
              <w:ind w:left="283" w:right="0" w:hanging="0"/>
              <w:jc w:val="center"/>
              <w:rPr/>
            </w:pPr>
            <w:r>
              <w:rPr/>
              <w:t>13</w:t>
            </w:r>
          </w:p>
        </w:tc>
        <w:tc>
          <w:tcPr>
            <w:tcW w:w="1609"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r>
          </w:p>
          <w:p>
            <w:pPr>
              <w:pStyle w:val="Standard"/>
              <w:widowControl w:val="false"/>
              <w:tabs>
                <w:tab w:val="clear" w:pos="708"/>
                <w:tab w:val="left" w:pos="567" w:leader="none"/>
                <w:tab w:val="left" w:pos="850" w:leader="none"/>
                <w:tab w:val="left" w:pos="1134" w:leader="none"/>
              </w:tabs>
              <w:ind w:left="283" w:right="0" w:hanging="0"/>
              <w:jc w:val="center"/>
              <w:rPr/>
            </w:pPr>
            <w:r>
              <w:rPr/>
              <w:t>11</w:t>
            </w:r>
          </w:p>
          <w:p>
            <w:pPr>
              <w:pStyle w:val="Standard"/>
              <w:widowControl w:val="false"/>
              <w:tabs>
                <w:tab w:val="clear" w:pos="708"/>
                <w:tab w:val="left" w:pos="567" w:leader="none"/>
                <w:tab w:val="left" w:pos="850" w:leader="none"/>
                <w:tab w:val="left" w:pos="1134" w:leader="none"/>
              </w:tabs>
              <w:ind w:left="283" w:right="0" w:hanging="0"/>
              <w:jc w:val="center"/>
              <w:rPr/>
            </w:pPr>
            <w:r>
              <w:rPr/>
              <w:t>13</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17216 (прило</w:t>
              <w:softHyphen/>
              <w:t>жения А, В и Г), ГОСТ ИСО 4407</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spacing w:val="-3"/>
              </w:rPr>
            </w:pPr>
            <w:r>
              <w:rPr>
                <w:spacing w:val="-3"/>
              </w:rPr>
              <w:t>13) Массовая доля серы,  % не более</w:t>
            </w:r>
          </w:p>
        </w:tc>
        <w:tc>
          <w:tcPr>
            <w:tcW w:w="2802" w:type="dxa"/>
            <w:gridSpan w:val="3"/>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0,8</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pPr>
            <w:r>
              <w:rPr/>
              <w:t>ГОСТ 1437, возмож</w:t>
              <w:softHyphen/>
              <w:t>но определять по ГОСТ Р 53203 и ГОСТ Р 51947</w:t>
            </w:r>
          </w:p>
        </w:tc>
      </w:tr>
      <w:tr>
        <w:trPr>
          <w:trHeight w:val="167" w:hRule="atLeast"/>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14) Содержание присадки АГИ</w:t>
              <w:softHyphen/>
              <w:t>ДОЛ-1 (ионол), % масс.,</w:t>
            </w:r>
          </w:p>
          <w:p>
            <w:pPr>
              <w:pStyle w:val="Standard"/>
              <w:widowControl w:val="false"/>
              <w:tabs>
                <w:tab w:val="clear" w:pos="708"/>
                <w:tab w:val="left" w:pos="284" w:leader="none"/>
                <w:tab w:val="left" w:pos="567" w:leader="none"/>
                <w:tab w:val="left" w:pos="851" w:leader="none"/>
              </w:tabs>
              <w:rPr/>
            </w:pPr>
            <w:r>
              <w:rPr/>
              <w:t>не менее</w:t>
            </w:r>
          </w:p>
        </w:tc>
        <w:tc>
          <w:tcPr>
            <w:tcW w:w="1193"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0,5</w:t>
            </w:r>
            <w:r>
              <w:rPr>
                <w:sz w:val="16"/>
                <w:szCs w:val="16"/>
              </w:rPr>
              <w:t>**</w:t>
            </w:r>
          </w:p>
        </w:tc>
        <w:tc>
          <w:tcPr>
            <w:tcW w:w="1609"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1195"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rPr>
                <w:szCs w:val="16"/>
              </w:rPr>
            </w:pPr>
            <w:r>
              <w:rPr>
                <w:szCs w:val="16"/>
              </w:rPr>
              <w:t>Определение данно</w:t>
              <w:softHyphen/>
              <w:t>го показателя в со</w:t>
              <w:softHyphen/>
              <w:t>ответствии с [2] или [3]</w:t>
            </w:r>
          </w:p>
        </w:tc>
      </w:tr>
      <w:tr>
        <w:trPr>
          <w:trHeight w:val="167" w:hRule="atLeast"/>
          <w:cantSplit w:val="true"/>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rPr/>
            </w:pPr>
            <w:r>
              <w:rPr/>
              <w:t>15) Испытание коррозионного воздействия на пластинки из меди марки М2 по ГОСТ 859 в течении 3 ч при 100 ºС</w:t>
            </w:r>
          </w:p>
        </w:tc>
        <w:tc>
          <w:tcPr>
            <w:tcW w:w="3997" w:type="dxa"/>
            <w:gridSpan w:val="4"/>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Выдерживает</w:t>
            </w:r>
            <w:r>
              <w:rPr>
                <w:sz w:val="16"/>
                <w:szCs w:val="16"/>
              </w:rPr>
              <w:t>***</w:t>
            </w:r>
          </w:p>
        </w:tc>
        <w:tc>
          <w:tcPr>
            <w:tcW w:w="2752"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ind w:left="283" w:right="0" w:hanging="0"/>
              <w:jc w:val="center"/>
              <w:rPr/>
            </w:pPr>
            <w:r>
              <w:rPr/>
              <w:t xml:space="preserve">  </w:t>
            </w:r>
            <w:r>
              <w:rPr/>
              <w:t>ГОСТ 2917***</w:t>
            </w:r>
          </w:p>
        </w:tc>
      </w:tr>
      <w:tr>
        <w:trPr>
          <w:trHeight w:val="167" w:hRule="atLeast"/>
          <w:cantSplit w:val="true"/>
        </w:trPr>
        <w:tc>
          <w:tcPr>
            <w:tcW w:w="3686" w:type="dxa"/>
            <w:tcBorders>
              <w:top w:val="single" w:sz="4" w:space="0" w:color="000000"/>
              <w:left w:val="single" w:sz="4" w:space="0" w:color="000000"/>
              <w:bottom w:val="single" w:sz="4" w:space="0" w:color="000000"/>
              <w:right w:val="single" w:sz="4" w:space="0" w:color="000000"/>
            </w:tcBorders>
          </w:tcPr>
          <w:p>
            <w:pPr>
              <w:pStyle w:val="Standard"/>
              <w:widowControl w:val="false"/>
              <w:rPr/>
            </w:pPr>
            <w:r>
              <w:rPr/>
              <w:t>16) Внешний вид (визуальный контроль)</w:t>
            </w:r>
          </w:p>
        </w:tc>
        <w:tc>
          <w:tcPr>
            <w:tcW w:w="6749" w:type="dxa"/>
            <w:gridSpan w:val="5"/>
            <w:tcBorders>
              <w:top w:val="single" w:sz="4" w:space="0" w:color="000000"/>
              <w:left w:val="single" w:sz="4" w:space="0" w:color="000000"/>
              <w:bottom w:val="single" w:sz="4" w:space="0" w:color="000000"/>
              <w:right w:val="single" w:sz="4" w:space="0" w:color="000000"/>
            </w:tcBorders>
          </w:tcPr>
          <w:p>
            <w:pPr>
              <w:pStyle w:val="Standard"/>
              <w:widowControl w:val="false"/>
              <w:ind w:left="33" w:right="252" w:hanging="0"/>
              <w:rPr/>
            </w:pPr>
            <w:r>
              <w:rPr/>
              <w:t>Чистая и прозрачная жидкость, желтого или светло-коричневого цвета, не содержащая взвешенных частиц загрязнений и осадков.</w:t>
            </w:r>
          </w:p>
        </w:tc>
      </w:tr>
      <w:tr>
        <w:trPr>
          <w:trHeight w:val="167" w:hRule="atLeast"/>
        </w:trPr>
        <w:tc>
          <w:tcPr>
            <w:tcW w:w="10435" w:type="dxa"/>
            <w:gridSpan w:val="6"/>
            <w:tcBorders>
              <w:top w:val="single" w:sz="4" w:space="0" w:color="000000"/>
              <w:left w:val="single" w:sz="4" w:space="0" w:color="000000"/>
              <w:bottom w:val="single" w:sz="4" w:space="0" w:color="000000"/>
              <w:right w:val="single" w:sz="4" w:space="0" w:color="000000"/>
            </w:tcBorders>
          </w:tcPr>
          <w:p>
            <w:pPr>
              <w:pStyle w:val="Standard"/>
              <w:widowControl w:val="false"/>
              <w:rPr>
                <w:spacing w:val="20"/>
                <w:sz w:val="20"/>
                <w:szCs w:val="20"/>
              </w:rPr>
            </w:pPr>
            <w:r>
              <w:rPr>
                <w:spacing w:val="20"/>
                <w:sz w:val="20"/>
                <w:szCs w:val="20"/>
              </w:rPr>
              <w:t>Примечания:</w:t>
            </w:r>
          </w:p>
          <w:p>
            <w:pPr>
              <w:pStyle w:val="Standard"/>
              <w:widowControl w:val="false"/>
              <w:rPr/>
            </w:pPr>
            <w:r>
              <w:rPr>
                <w:spacing w:val="20"/>
                <w:sz w:val="20"/>
                <w:szCs w:val="20"/>
              </w:rPr>
              <w:t xml:space="preserve"> </w:t>
            </w:r>
            <w:r>
              <w:rPr>
                <w:sz w:val="20"/>
                <w:szCs w:val="20"/>
              </w:rPr>
              <w:t>* Определяется требованием спецификации соответствия изготовителя на конкретную марку масла или требо</w:t>
              <w:softHyphen/>
              <w:t>ваниями ИСО 8068 [4]</w:t>
            </w:r>
          </w:p>
          <w:p>
            <w:pPr>
              <w:pStyle w:val="Standard"/>
              <w:widowControl w:val="false"/>
              <w:rPr>
                <w:sz w:val="20"/>
                <w:szCs w:val="20"/>
              </w:rPr>
            </w:pPr>
            <w:r>
              <w:rPr>
                <w:sz w:val="20"/>
                <w:szCs w:val="20"/>
              </w:rPr>
              <w:t>** Приведенные нормы не являются браковочными, определение выполняют по решению технического руково</w:t>
              <w:softHyphen/>
              <w:t>дителя ГЭС</w:t>
            </w:r>
          </w:p>
          <w:p>
            <w:pPr>
              <w:pStyle w:val="Standard"/>
              <w:widowControl w:val="false"/>
              <w:tabs>
                <w:tab w:val="clear" w:pos="708"/>
                <w:tab w:val="left" w:pos="567" w:leader="none"/>
                <w:tab w:val="left" w:pos="850" w:leader="none"/>
                <w:tab w:val="left" w:pos="1134" w:leader="none"/>
              </w:tabs>
              <w:spacing w:before="0" w:after="120"/>
              <w:ind w:left="283" w:right="0" w:hanging="0"/>
              <w:rPr>
                <w:sz w:val="20"/>
                <w:szCs w:val="20"/>
              </w:rPr>
            </w:pPr>
            <w:r>
              <w:rPr>
                <w:sz w:val="20"/>
                <w:szCs w:val="20"/>
              </w:rPr>
              <w:t>*** Испытание выдерживает если цвет пластины относится к группе 1</w:t>
            </w:r>
          </w:p>
        </w:tc>
      </w:tr>
    </w:tbl>
    <w:p>
      <w:pPr>
        <w:pStyle w:val="Standard"/>
        <w:jc w:val="center"/>
        <w:rPr>
          <w:rFonts w:cs="Arial"/>
          <w:bCs/>
        </w:rPr>
      </w:pPr>
      <w:r>
        <w:rPr>
          <w:rFonts w:cs="Arial"/>
          <w:bCs/>
        </w:rPr>
      </w:r>
    </w:p>
    <w:p>
      <w:pPr>
        <w:pStyle w:val="Standard"/>
        <w:rPr/>
      </w:pPr>
      <w:r>
        <w:rPr/>
        <w:t>Таблица 3 – Требования, предъявляемые к эксплуатационным и регенерированным нефтяным турбинным маслам, заливаемым в гидроагрегаты</w:t>
      </w:r>
    </w:p>
    <w:tbl>
      <w:tblPr>
        <w:tblW w:w="4850" w:type="pct"/>
        <w:jc w:val="center"/>
        <w:tblInd w:w="0" w:type="dxa"/>
        <w:tblLayout w:type="fixed"/>
        <w:tblCellMar>
          <w:top w:w="0" w:type="dxa"/>
          <w:left w:w="108" w:type="dxa"/>
          <w:bottom w:w="0" w:type="dxa"/>
          <w:right w:w="108" w:type="dxa"/>
        </w:tblCellMar>
      </w:tblPr>
      <w:tblGrid>
        <w:gridCol w:w="3456"/>
        <w:gridCol w:w="2026"/>
        <w:gridCol w:w="2158"/>
        <w:gridCol w:w="2480"/>
      </w:tblGrid>
      <w:tr>
        <w:trPr>
          <w:tblHeader w:val="true"/>
          <w:trHeight w:val="170" w:hRule="atLeast"/>
          <w:cantSplit w:val="true"/>
        </w:trPr>
        <w:tc>
          <w:tcPr>
            <w:tcW w:w="3456" w:type="dxa"/>
            <w:vMerge w:val="restart"/>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284" w:leader="none"/>
                <w:tab w:val="left" w:pos="567" w:leader="none"/>
                <w:tab w:val="left" w:pos="851" w:leader="none"/>
              </w:tabs>
              <w:jc w:val="center"/>
              <w:rPr/>
            </w:pPr>
            <w:r>
              <w:rPr/>
              <w:t>Наименование показателя</w:t>
            </w:r>
          </w:p>
          <w:p>
            <w:pPr>
              <w:pStyle w:val="Standard"/>
              <w:widowControl w:val="false"/>
              <w:tabs>
                <w:tab w:val="clear" w:pos="708"/>
                <w:tab w:val="left" w:pos="284" w:leader="none"/>
                <w:tab w:val="left" w:pos="567" w:leader="none"/>
                <w:tab w:val="left" w:pos="851" w:leader="none"/>
              </w:tabs>
              <w:jc w:val="center"/>
              <w:rPr/>
            </w:pPr>
            <w:r>
              <w:rPr/>
              <w:t>качества</w:t>
            </w:r>
          </w:p>
        </w:tc>
        <w:tc>
          <w:tcPr>
            <w:tcW w:w="4184" w:type="dxa"/>
            <w:gridSpan w:val="2"/>
            <w:tcBorders>
              <w:top w:val="single" w:sz="4" w:space="0" w:color="000000"/>
              <w:left w:val="single" w:sz="4" w:space="0" w:color="000000"/>
              <w:bottom w:val="single" w:sz="4" w:space="0" w:color="000000"/>
              <w:right w:val="single" w:sz="4" w:space="0" w:color="000000"/>
            </w:tcBorders>
            <w:vAlign w:val="center"/>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Значение показателя</w:t>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качества масла</w:t>
            </w:r>
          </w:p>
        </w:tc>
        <w:tc>
          <w:tcPr>
            <w:tcW w:w="2480" w:type="dxa"/>
            <w:vMerge w:val="restart"/>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284" w:leader="none"/>
                <w:tab w:val="left" w:pos="567" w:leader="none"/>
                <w:tab w:val="left" w:pos="851" w:leader="none"/>
              </w:tabs>
              <w:jc w:val="center"/>
              <w:rPr/>
            </w:pPr>
            <w:r>
              <w:rPr/>
              <w:t>Методы</w:t>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испытаний</w:t>
            </w:r>
          </w:p>
        </w:tc>
      </w:tr>
      <w:tr>
        <w:trPr>
          <w:tblHeader w:val="true"/>
          <w:trHeight w:val="167" w:hRule="atLeast"/>
          <w:cantSplit w:val="true"/>
        </w:trPr>
        <w:tc>
          <w:tcPr>
            <w:tcW w:w="3456" w:type="dxa"/>
            <w:vMerge w:val="continue"/>
            <w:tcBorders>
              <w:top w:val="single" w:sz="4" w:space="0" w:color="000000"/>
              <w:left w:val="single" w:sz="4" w:space="0" w:color="000000"/>
              <w:bottom w:val="double" w:sz="4" w:space="0" w:color="000000"/>
              <w:right w:val="single" w:sz="4" w:space="0" w:color="000000"/>
            </w:tcBorders>
            <w:vAlign w:val="center"/>
          </w:tcPr>
          <w:p>
            <w:pPr>
              <w:pStyle w:val="Normal"/>
              <w:widowControl w:val="false"/>
              <w:rPr/>
            </w:pPr>
            <w:r>
              <w:rPr/>
            </w:r>
          </w:p>
        </w:tc>
        <w:tc>
          <w:tcPr>
            <w:tcW w:w="2026" w:type="dxa"/>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Тп-30</w:t>
            </w:r>
          </w:p>
        </w:tc>
        <w:tc>
          <w:tcPr>
            <w:tcW w:w="2158" w:type="dxa"/>
            <w:tcBorders>
              <w:top w:val="single" w:sz="4" w:space="0" w:color="000000"/>
              <w:left w:val="single" w:sz="4" w:space="0" w:color="000000"/>
              <w:bottom w:val="double" w:sz="4" w:space="0" w:color="000000"/>
              <w:right w:val="single" w:sz="4" w:space="0" w:color="000000"/>
            </w:tcBorders>
            <w:vAlign w:val="center"/>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Импортное*</w:t>
            </w:r>
          </w:p>
        </w:tc>
        <w:tc>
          <w:tcPr>
            <w:tcW w:w="2480" w:type="dxa"/>
            <w:vMerge w:val="continue"/>
            <w:tcBorders>
              <w:top w:val="single" w:sz="4" w:space="0" w:color="000000"/>
              <w:left w:val="single" w:sz="4" w:space="0" w:color="000000"/>
              <w:bottom w:val="double" w:sz="4" w:space="0" w:color="000000"/>
              <w:right w:val="single" w:sz="4" w:space="0" w:color="000000"/>
            </w:tcBorders>
            <w:vAlign w:val="center"/>
          </w:tcPr>
          <w:p>
            <w:pPr>
              <w:pStyle w:val="Normal"/>
              <w:widowControl w:val="false"/>
              <w:rPr/>
            </w:pPr>
            <w:r>
              <w:rPr/>
            </w:r>
          </w:p>
        </w:tc>
      </w:tr>
      <w:tr>
        <w:trPr>
          <w:trHeight w:val="167" w:hRule="atLeast"/>
          <w:cantSplit w:val="true"/>
        </w:trPr>
        <w:tc>
          <w:tcPr>
            <w:tcW w:w="3456" w:type="dxa"/>
            <w:tcBorders>
              <w:top w:val="doub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Кислотное число, мг КОН/г</w:t>
            </w:r>
          </w:p>
        </w:tc>
        <w:tc>
          <w:tcPr>
            <w:tcW w:w="4184" w:type="dxa"/>
            <w:gridSpan w:val="2"/>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не более 0,5**</w:t>
            </w:r>
          </w:p>
        </w:tc>
        <w:tc>
          <w:tcPr>
            <w:tcW w:w="2480" w:type="dxa"/>
            <w:tcBorders>
              <w:top w:val="doub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rFonts w:eastAsia="F"/>
              </w:rPr>
              <w:t>ГОСТ 5985-2022</w:t>
            </w:r>
            <w:r>
              <w:rPr/>
              <w:t>, возможно опреде</w:t>
              <w:softHyphen/>
              <w:t>лять по ГОСТ 11362</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Стабильность против окисления</w:t>
            </w:r>
          </w:p>
          <w:p>
            <w:pPr>
              <w:pStyle w:val="Standard"/>
              <w:widowControl w:val="false"/>
              <w:tabs>
                <w:tab w:val="clear" w:pos="708"/>
                <w:tab w:val="left" w:pos="284" w:leader="none"/>
                <w:tab w:val="left" w:pos="567" w:leader="none"/>
                <w:tab w:val="left" w:pos="851" w:leader="none"/>
                <w:tab w:val="left" w:pos="993" w:leader="none"/>
              </w:tabs>
              <w:rPr/>
            </w:pPr>
            <w:r>
              <w:rPr/>
              <w:t>при 150</w:t>
            </w:r>
            <w:r>
              <w:rPr>
                <w:rFonts w:eastAsia="Symbol" w:cs="Symbol" w:ascii="Symbol" w:hAnsi="Symbol"/>
              </w:rPr>
              <w:t></w:t>
            </w:r>
            <w:r>
              <w:rPr/>
              <w:t>С, 15 ч и расходе кислорода 5 дм</w:t>
            </w:r>
            <w:r>
              <w:rPr>
                <w:vertAlign w:val="superscript"/>
              </w:rPr>
              <w:t>3</w:t>
            </w:r>
            <w:r>
              <w:rPr/>
              <w:t>/ч</w:t>
            </w:r>
          </w:p>
          <w:p>
            <w:pPr>
              <w:pStyle w:val="Standard"/>
              <w:widowControl w:val="false"/>
              <w:tabs>
                <w:tab w:val="clear" w:pos="708"/>
                <w:tab w:val="left" w:pos="284" w:leader="none"/>
                <w:tab w:val="left" w:pos="567" w:leader="none"/>
                <w:tab w:val="left" w:pos="851" w:leader="none"/>
                <w:tab w:val="left" w:pos="993" w:leader="none"/>
              </w:tabs>
              <w:rPr/>
            </w:pPr>
            <w:r>
              <w:rPr/>
              <w:t xml:space="preserve">– </w:t>
            </w:r>
            <w:r>
              <w:rPr/>
              <w:t>кислотное число, мг КОН/г</w:t>
            </w:r>
          </w:p>
          <w:p>
            <w:pPr>
              <w:pStyle w:val="Standard"/>
              <w:widowControl w:val="false"/>
              <w:tabs>
                <w:tab w:val="clear" w:pos="708"/>
                <w:tab w:val="left" w:pos="284" w:leader="none"/>
                <w:tab w:val="left" w:pos="567" w:leader="none"/>
                <w:tab w:val="left" w:pos="851" w:leader="none"/>
              </w:tabs>
              <w:rPr>
                <w:spacing w:val="-2"/>
              </w:rPr>
            </w:pPr>
            <w:r>
              <w:rPr>
                <w:spacing w:val="-2"/>
              </w:rPr>
              <w:t xml:space="preserve">– </w:t>
            </w:r>
            <w:r>
              <w:rPr>
                <w:spacing w:val="-2"/>
              </w:rPr>
              <w:t>массовая доля осадка,  %</w:t>
            </w:r>
          </w:p>
        </w:tc>
        <w:tc>
          <w:tcPr>
            <w:tcW w:w="202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0,9**</w:t>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0,05**</w:t>
            </w:r>
          </w:p>
        </w:tc>
        <w:tc>
          <w:tcPr>
            <w:tcW w:w="2158"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w:t>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ГОСТ 981</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Реакция водной вытяжки</w:t>
            </w:r>
          </w:p>
        </w:tc>
        <w:tc>
          <w:tcPr>
            <w:tcW w:w="202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Нейтральная</w:t>
            </w:r>
          </w:p>
        </w:tc>
        <w:tc>
          <w:tcPr>
            <w:tcW w:w="2158"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ГОСТ 6307</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Время деэмульсации, с, не более</w:t>
            </w:r>
          </w:p>
        </w:tc>
        <w:tc>
          <w:tcPr>
            <w:tcW w:w="202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400**</w:t>
            </w:r>
          </w:p>
        </w:tc>
        <w:tc>
          <w:tcPr>
            <w:tcW w:w="2158"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ГОСТ 12068</w:t>
            </w:r>
          </w:p>
        </w:tc>
      </w:tr>
      <w:tr>
        <w:trPr>
          <w:trHeight w:val="167" w:hRule="atLeast"/>
          <w:cantSplit w:val="true"/>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Коррозия на стальных стержнях</w:t>
            </w:r>
          </w:p>
        </w:tc>
        <w:tc>
          <w:tcPr>
            <w:tcW w:w="4184"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Отсутствие</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ГОСТ 19199</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Содержание шлама (об</w:t>
              <w:softHyphen/>
              <w:t>щее), % масс., не более</w:t>
            </w:r>
          </w:p>
        </w:tc>
        <w:tc>
          <w:tcPr>
            <w:tcW w:w="4184"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0,005 (отсутствие)</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szCs w:val="16"/>
              </w:rPr>
            </w:pPr>
            <w:r>
              <w:rPr>
                <w:szCs w:val="16"/>
              </w:rPr>
              <w:t xml:space="preserve"> </w:t>
            </w:r>
            <w:r>
              <w:rPr>
                <w:szCs w:val="16"/>
              </w:rPr>
              <w:t>[1]</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Содержание воды,  % масс., не более</w:t>
            </w:r>
          </w:p>
        </w:tc>
        <w:tc>
          <w:tcPr>
            <w:tcW w:w="4184"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0,03 (отсутствие)</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135" w:leader="none"/>
                <w:tab w:val="left" w:pos="418" w:leader="none"/>
                <w:tab w:val="left" w:pos="702" w:leader="none"/>
              </w:tabs>
              <w:spacing w:before="0" w:after="120"/>
              <w:ind w:left="-149" w:right="-136" w:hanging="0"/>
              <w:jc w:val="center"/>
              <w:rPr/>
            </w:pPr>
            <w:r>
              <w:rPr/>
              <w:t xml:space="preserve"> </w:t>
            </w:r>
            <w:r>
              <w:rPr/>
              <w:t>ГОСТ 24614, ГОСТ Р МЭК 60814, возможно определять по ГОСТ 2477</w:t>
            </w:r>
          </w:p>
        </w:tc>
      </w:tr>
      <w:tr>
        <w:trPr>
          <w:trHeight w:val="167" w:hRule="atLeast"/>
          <w:cantSplit w:val="true"/>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color w:val="000000"/>
              </w:rPr>
            </w:pPr>
            <w:r>
              <w:rPr>
                <w:color w:val="000000"/>
              </w:rPr>
              <w:t>Содержание механических примесей, % масс., не более</w:t>
            </w:r>
          </w:p>
        </w:tc>
        <w:tc>
          <w:tcPr>
            <w:tcW w:w="4184"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0,005 (отсутствие)</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ГОСТ 6370</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Класс промышленной чи</w:t>
              <w:softHyphen/>
              <w:t>стоты,  не более</w:t>
            </w:r>
          </w:p>
          <w:p>
            <w:pPr>
              <w:pStyle w:val="Standard"/>
              <w:widowControl w:val="false"/>
              <w:tabs>
                <w:tab w:val="clear" w:pos="708"/>
                <w:tab w:val="left" w:pos="284" w:leader="none"/>
                <w:tab w:val="left" w:pos="567" w:leader="none"/>
                <w:tab w:val="left" w:pos="851" w:leader="none"/>
              </w:tabs>
              <w:rPr/>
            </w:pPr>
            <w:r>
              <w:rPr/>
              <w:t xml:space="preserve"> </w:t>
            </w:r>
            <w:r>
              <w:rPr/>
              <w:t>- для системы регулирования</w:t>
            </w:r>
          </w:p>
          <w:p>
            <w:pPr>
              <w:pStyle w:val="Standard"/>
              <w:widowControl w:val="false"/>
              <w:tabs>
                <w:tab w:val="clear" w:pos="708"/>
                <w:tab w:val="left" w:pos="284" w:leader="none"/>
                <w:tab w:val="left" w:pos="567" w:leader="none"/>
                <w:tab w:val="left" w:pos="851" w:leader="none"/>
              </w:tabs>
              <w:rPr/>
            </w:pPr>
            <w:r>
              <w:rPr/>
              <w:t xml:space="preserve"> </w:t>
            </w:r>
            <w:r>
              <w:rPr/>
              <w:t>- для системы смазки</w:t>
            </w:r>
          </w:p>
        </w:tc>
        <w:tc>
          <w:tcPr>
            <w:tcW w:w="202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11</w:t>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13</w:t>
            </w:r>
          </w:p>
        </w:tc>
        <w:tc>
          <w:tcPr>
            <w:tcW w:w="2158"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11</w:t>
            </w:r>
          </w:p>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13</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ind w:left="0" w:right="0" w:firstLine="39"/>
              <w:jc w:val="center"/>
              <w:rPr/>
            </w:pPr>
            <w:r>
              <w:rPr/>
              <w:t>ГОСТ 17216</w:t>
            </w:r>
          </w:p>
          <w:p>
            <w:pPr>
              <w:pStyle w:val="Standard"/>
              <w:widowControl w:val="false"/>
              <w:tabs>
                <w:tab w:val="clear" w:pos="708"/>
                <w:tab w:val="left" w:pos="567" w:leader="none"/>
                <w:tab w:val="left" w:pos="850" w:leader="none"/>
                <w:tab w:val="left" w:pos="1134" w:leader="none"/>
              </w:tabs>
              <w:spacing w:before="0" w:after="120"/>
              <w:ind w:left="283" w:right="0" w:firstLine="39"/>
              <w:jc w:val="center"/>
              <w:rPr/>
            </w:pPr>
            <w:r>
              <w:rPr/>
              <w:t>(приложения А, В и Г ГОСТ 17216), ГОСТ ИСО 4407</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Содержание присадки АГИДОЛ-1 (ионол), % масс.,</w:t>
            </w:r>
          </w:p>
          <w:p>
            <w:pPr>
              <w:pStyle w:val="Standard"/>
              <w:widowControl w:val="false"/>
              <w:tabs>
                <w:tab w:val="clear" w:pos="708"/>
                <w:tab w:val="left" w:pos="284" w:leader="none"/>
                <w:tab w:val="left" w:pos="567" w:leader="none"/>
                <w:tab w:val="left" w:pos="851" w:leader="none"/>
              </w:tabs>
              <w:rPr/>
            </w:pPr>
            <w:r>
              <w:rPr/>
              <w:t>не менее</w:t>
            </w:r>
          </w:p>
        </w:tc>
        <w:tc>
          <w:tcPr>
            <w:tcW w:w="202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0,3**</w:t>
            </w:r>
          </w:p>
        </w:tc>
        <w:tc>
          <w:tcPr>
            <w:tcW w:w="2158"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181" w:leader="none"/>
                <w:tab w:val="left" w:pos="464" w:leader="none"/>
                <w:tab w:val="left" w:pos="748" w:leader="none"/>
              </w:tabs>
              <w:spacing w:before="0" w:after="120"/>
              <w:ind w:left="-103" w:right="-73" w:hanging="0"/>
              <w:jc w:val="center"/>
              <w:rPr>
                <w:szCs w:val="16"/>
              </w:rPr>
            </w:pPr>
            <w:r>
              <w:rPr>
                <w:szCs w:val="16"/>
              </w:rPr>
              <w:t>Определение данного показателя в соответ</w:t>
              <w:softHyphen/>
              <w:t>ствии с</w:t>
            </w:r>
          </w:p>
          <w:p>
            <w:pPr>
              <w:pStyle w:val="Standard"/>
              <w:widowControl w:val="false"/>
              <w:tabs>
                <w:tab w:val="clear" w:pos="708"/>
                <w:tab w:val="left" w:pos="181" w:leader="none"/>
                <w:tab w:val="left" w:pos="464" w:leader="none"/>
                <w:tab w:val="left" w:pos="748" w:leader="none"/>
              </w:tabs>
              <w:spacing w:before="0" w:after="120"/>
              <w:ind w:left="-103" w:right="-73" w:hanging="0"/>
              <w:jc w:val="center"/>
              <w:rPr>
                <w:szCs w:val="16"/>
              </w:rPr>
            </w:pPr>
            <w:r>
              <w:rPr>
                <w:szCs w:val="16"/>
              </w:rPr>
              <w:t>[2] или [3</w:t>
            </w:r>
          </w:p>
        </w:tc>
      </w:tr>
      <w:tr>
        <w:trPr>
          <w:trHeight w:val="315"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851" w:leader="none"/>
              </w:tabs>
              <w:ind w:left="0" w:right="0" w:hanging="0"/>
              <w:rPr/>
            </w:pPr>
            <w:r>
              <w:rPr/>
              <w:t>Вязкость кинематиче</w:t>
              <w:softHyphen/>
              <w:t>ская, мм</w:t>
            </w:r>
            <w:r>
              <w:rPr>
                <w:vertAlign w:val="superscript"/>
              </w:rPr>
              <w:t>2</w:t>
            </w:r>
            <w:r>
              <w:rPr/>
              <w:t>/с, при температуре 40</w:t>
            </w:r>
            <w:r>
              <w:rPr>
                <w:rFonts w:eastAsia="Symbol" w:cs="Symbol" w:ascii="Symbol" w:hAnsi="Symbol"/>
              </w:rPr>
              <w:t></w:t>
            </w:r>
            <w:r>
              <w:rPr/>
              <w:t>С</w:t>
            </w:r>
          </w:p>
        </w:tc>
        <w:tc>
          <w:tcPr>
            <w:tcW w:w="4184" w:type="dxa"/>
            <w:gridSpan w:val="2"/>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jc w:val="center"/>
              <w:rPr/>
            </w:pPr>
            <w:r>
              <w:rPr/>
              <w:t>41,4-50,6</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567" w:leader="none"/>
                <w:tab w:val="left" w:pos="850" w:leader="none"/>
                <w:tab w:val="left" w:pos="1134" w:leader="none"/>
              </w:tabs>
              <w:spacing w:before="0" w:after="120"/>
              <w:ind w:left="283" w:right="0" w:hanging="0"/>
              <w:jc w:val="center"/>
              <w:rPr/>
            </w:pPr>
            <w:r>
              <w:rPr/>
              <w:t>ГОСТ 33</w:t>
            </w:r>
          </w:p>
        </w:tc>
      </w:tr>
      <w:tr>
        <w:trPr>
          <w:trHeight w:val="167" w:hRule="atLeast"/>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851" w:leader="none"/>
              </w:tabs>
              <w:ind w:left="0" w:right="0" w:hanging="0"/>
              <w:rPr/>
            </w:pPr>
            <w:r>
              <w:rPr/>
              <w:t xml:space="preserve">Температура вспышки в открытом тигле, </w:t>
            </w:r>
            <w:r>
              <w:rPr>
                <w:rFonts w:eastAsia="Symbol" w:cs="Symbol" w:ascii="Symbol" w:hAnsi="Symbol"/>
              </w:rPr>
              <w:t></w:t>
            </w:r>
            <w:r>
              <w:rPr/>
              <w:t>С, не ниже</w:t>
            </w:r>
          </w:p>
        </w:tc>
        <w:tc>
          <w:tcPr>
            <w:tcW w:w="2026"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jc w:val="center"/>
              <w:rPr/>
            </w:pPr>
            <w:r>
              <w:rPr/>
              <w:t>190</w:t>
            </w:r>
          </w:p>
        </w:tc>
        <w:tc>
          <w:tcPr>
            <w:tcW w:w="2158"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jc w:val="center"/>
              <w:rPr/>
            </w:pPr>
            <w:r>
              <w:rPr/>
              <w:t>186</w:t>
            </w:r>
          </w:p>
        </w:tc>
        <w:tc>
          <w:tcPr>
            <w:tcW w:w="2480" w:type="dxa"/>
            <w:tcBorders>
              <w:top w:val="single" w:sz="4" w:space="0" w:color="000000"/>
              <w:left w:val="single" w:sz="4" w:space="0" w:color="000000"/>
              <w:bottom w:val="single" w:sz="4" w:space="0" w:color="000000"/>
              <w:right w:val="single" w:sz="4" w:space="0" w:color="000000"/>
            </w:tcBorders>
          </w:tcPr>
          <w:p>
            <w:pPr>
              <w:pStyle w:val="Standard"/>
              <w:widowControl w:val="false"/>
              <w:tabs>
                <w:tab w:val="clear" w:pos="708"/>
                <w:tab w:val="left" w:pos="284" w:leader="none"/>
                <w:tab w:val="left" w:pos="567" w:leader="none"/>
                <w:tab w:val="left" w:pos="851" w:leader="none"/>
              </w:tabs>
              <w:jc w:val="center"/>
              <w:rPr/>
            </w:pPr>
            <w:r>
              <w:rPr/>
              <w:t>ГОСТ 4333</w:t>
            </w:r>
          </w:p>
        </w:tc>
      </w:tr>
      <w:tr>
        <w:trPr>
          <w:trHeight w:val="167" w:hRule="atLeast"/>
          <w:cantSplit w:val="true"/>
        </w:trPr>
        <w:tc>
          <w:tcPr>
            <w:tcW w:w="3456" w:type="dxa"/>
            <w:tcBorders>
              <w:top w:val="single" w:sz="4" w:space="0" w:color="000000"/>
              <w:left w:val="single" w:sz="4" w:space="0" w:color="000000"/>
              <w:bottom w:val="single" w:sz="4" w:space="0" w:color="000000"/>
              <w:right w:val="single" w:sz="4" w:space="0" w:color="000000"/>
            </w:tcBorders>
          </w:tcPr>
          <w:p>
            <w:pPr>
              <w:pStyle w:val="Standard"/>
              <w:widowControl w:val="false"/>
              <w:numPr>
                <w:ilvl w:val="0"/>
                <w:numId w:val="19"/>
              </w:numPr>
              <w:tabs>
                <w:tab w:val="clear" w:pos="708"/>
                <w:tab w:val="left" w:pos="284" w:leader="none"/>
                <w:tab w:val="left" w:pos="567" w:leader="none"/>
                <w:tab w:val="left" w:pos="785" w:leader="none"/>
                <w:tab w:val="left" w:pos="851" w:leader="none"/>
              </w:tabs>
              <w:ind w:left="0" w:right="0" w:hanging="0"/>
              <w:rPr/>
            </w:pPr>
            <w:r>
              <w:rPr/>
              <w:t>Внешний вид (визуаль</w:t>
              <w:softHyphen/>
              <w:t>ный контроль)</w:t>
            </w:r>
          </w:p>
        </w:tc>
        <w:tc>
          <w:tcPr>
            <w:tcW w:w="6664" w:type="dxa"/>
            <w:gridSpan w:val="3"/>
            <w:tcBorders>
              <w:top w:val="single" w:sz="4" w:space="0" w:color="000000"/>
              <w:left w:val="single" w:sz="4" w:space="0" w:color="000000"/>
              <w:bottom w:val="single" w:sz="4" w:space="0" w:color="000000"/>
              <w:right w:val="single" w:sz="4" w:space="0" w:color="000000"/>
            </w:tcBorders>
          </w:tcPr>
          <w:p>
            <w:pPr>
              <w:pStyle w:val="Standard"/>
              <w:widowControl w:val="false"/>
              <w:ind w:left="0" w:right="210" w:firstLine="47"/>
              <w:rPr/>
            </w:pPr>
            <w:r>
              <w:rPr/>
              <w:t>Чистая и прозрачная жидкость, желтого или коричневого цвета, не содержащая взвешенных частиц загрязнений и осадков.</w:t>
            </w:r>
          </w:p>
        </w:tc>
      </w:tr>
      <w:tr>
        <w:trPr>
          <w:trHeight w:val="167" w:hRule="atLeast"/>
        </w:trPr>
        <w:tc>
          <w:tcPr>
            <w:tcW w:w="10120" w:type="dxa"/>
            <w:gridSpan w:val="4"/>
            <w:tcBorders>
              <w:top w:val="single" w:sz="4" w:space="0" w:color="000000"/>
              <w:left w:val="single" w:sz="4" w:space="0" w:color="000000"/>
              <w:bottom w:val="single" w:sz="4" w:space="0" w:color="000000"/>
              <w:right w:val="single" w:sz="4" w:space="0" w:color="000000"/>
            </w:tcBorders>
          </w:tcPr>
          <w:p>
            <w:pPr>
              <w:pStyle w:val="Standard"/>
              <w:widowControl w:val="false"/>
              <w:rPr>
                <w:spacing w:val="20"/>
                <w:sz w:val="20"/>
                <w:szCs w:val="20"/>
              </w:rPr>
            </w:pPr>
            <w:r>
              <w:rPr>
                <w:spacing w:val="20"/>
                <w:sz w:val="20"/>
                <w:szCs w:val="20"/>
              </w:rPr>
              <w:t>Примечания:</w:t>
            </w:r>
          </w:p>
          <w:p>
            <w:pPr>
              <w:pStyle w:val="Standard"/>
              <w:widowControl w:val="false"/>
              <w:rPr>
                <w:sz w:val="20"/>
                <w:szCs w:val="20"/>
              </w:rPr>
            </w:pPr>
            <w:r>
              <w:rPr>
                <w:sz w:val="20"/>
                <w:szCs w:val="20"/>
              </w:rPr>
              <w:t>* Определяется требованием изготовителя на конкретную марку масла</w:t>
            </w:r>
          </w:p>
          <w:p>
            <w:pPr>
              <w:pStyle w:val="Standard"/>
              <w:widowControl w:val="false"/>
              <w:rPr>
                <w:sz w:val="20"/>
                <w:szCs w:val="20"/>
              </w:rPr>
            </w:pPr>
            <w:r>
              <w:rPr>
                <w:sz w:val="20"/>
                <w:szCs w:val="20"/>
              </w:rPr>
              <w:t>** Приведенные нормы не являются браковочными, определение выполняют по решению технического руко</w:t>
              <w:softHyphen/>
              <w:t>водителя ГЭС</w:t>
            </w:r>
          </w:p>
        </w:tc>
      </w:tr>
    </w:tbl>
    <w:p>
      <w:pPr>
        <w:pStyle w:val="Standard"/>
        <w:tabs>
          <w:tab w:val="clear" w:pos="708"/>
          <w:tab w:val="left" w:pos="1418" w:leader="none"/>
        </w:tabs>
        <w:spacing w:lineRule="auto" w:line="240" w:before="0" w:after="0"/>
        <w:ind w:left="0" w:right="0" w:hanging="0"/>
        <w:jc w:val="both"/>
        <w:rPr>
          <w:b w:val="false"/>
          <w:bCs w:val="false"/>
        </w:rPr>
      </w:pPr>
      <w:r>
        <w:rPr>
          <w:b w:val="false"/>
          <w:bCs w:val="false"/>
          <w:color w:val="000000"/>
        </w:rPr>
        <w:t>Библиография к приложению №2</w:t>
      </w:r>
    </w:p>
    <w:p>
      <w:pPr>
        <w:pStyle w:val="Standard"/>
        <w:widowControl w:val="false"/>
        <w:spacing w:lineRule="auto" w:line="240" w:before="0" w:after="0"/>
        <w:ind w:left="0" w:right="0" w:hanging="0"/>
        <w:jc w:val="both"/>
        <w:rPr>
          <w:b w:val="false"/>
          <w:bCs w:val="false"/>
        </w:rPr>
      </w:pPr>
      <w:r>
        <w:rPr>
          <w:b w:val="false"/>
          <w:bCs w:val="false"/>
        </w:rPr>
        <w:t>[1] Методика выполнения измерений массовой доли шлама в пробах минеральных турбинных масел. Свидетельство об аттестации  № 62-09 от 17.11.2009, код регистрации в Федеральном реестре методик измерений - ФР.1.31.2010.08902 (интернет ресурс http://www.fundmetrology.ru/06_metod/2view.aspx?id=4234).</w:t>
      </w:r>
    </w:p>
    <w:p>
      <w:pPr>
        <w:pStyle w:val="Standard"/>
        <w:widowControl w:val="false"/>
        <w:spacing w:lineRule="auto" w:line="240" w:before="0" w:after="0"/>
        <w:ind w:left="0" w:right="0" w:hanging="0"/>
        <w:jc w:val="both"/>
        <w:rPr>
          <w:b w:val="false"/>
          <w:bCs w:val="false"/>
        </w:rPr>
      </w:pPr>
      <w:r>
        <w:rPr>
          <w:b w:val="false"/>
          <w:bCs w:val="false"/>
        </w:rPr>
        <w:t xml:space="preserve"> </w:t>
      </w:r>
      <w:r>
        <w:rPr>
          <w:b w:val="false"/>
          <w:bCs w:val="false"/>
        </w:rPr>
        <w:t>[2] Методика выполнения измерений массовой доли ингибитора окисления 2.6-дибутил-4-ме</w:t>
        <w:softHyphen/>
        <w:t>тилфенола (Агидол-1) в турбинных маслах  АЭС. Свидетельство об аттестации  № 01.00225/205-35-13 от 11.11.2013 (интернет ресурс http://www.fundmetrology.ru/06_metod/2view.aspx?id=10214).</w:t>
      </w:r>
    </w:p>
    <w:p>
      <w:pPr>
        <w:pStyle w:val="Standard"/>
        <w:widowControl w:val="false"/>
        <w:spacing w:lineRule="auto" w:line="240" w:before="0" w:after="0"/>
        <w:ind w:left="0" w:right="0" w:hanging="0"/>
        <w:jc w:val="both"/>
        <w:rPr>
          <w:b w:val="false"/>
          <w:bCs w:val="false"/>
        </w:rPr>
      </w:pPr>
      <w:r>
        <w:rPr>
          <w:b w:val="false"/>
          <w:bCs w:val="false"/>
        </w:rPr>
        <w:t xml:space="preserve"> </w:t>
      </w:r>
      <w:r>
        <w:rPr>
          <w:b w:val="false"/>
          <w:bCs w:val="false"/>
        </w:rPr>
        <w:t>[3] Методика выполнения измерений массовой доли присадки «АГИДОЛ-1» (2.6-дибутилпара</w:t>
        <w:softHyphen/>
        <w:t>крезол) в образцах минеральных энергетических масел. Свидетельство об аттестации  № 76-09 от 17.11.2009, код регистрации в Федеральном реестре методик измерений - ФР.1.31.2010.08903(интернет ресурс http://www.fundmetrology.ru/06_metod/2view.aspx?id=10224).</w:t>
      </w:r>
    </w:p>
    <w:p>
      <w:pPr>
        <w:pStyle w:val="BodyText"/>
        <w:spacing w:lineRule="auto" w:line="240" w:before="0" w:after="0"/>
        <w:ind w:left="0" w:right="0" w:hanging="0"/>
        <w:jc w:val="both"/>
        <w:rPr>
          <w:b w:val="false"/>
          <w:bCs w:val="false"/>
        </w:rPr>
      </w:pPr>
      <w:bookmarkStart w:id="85" w:name="__RefHeading___Toc24490_4117644551"/>
      <w:bookmarkStart w:id="86" w:name="P2506"/>
      <w:bookmarkEnd w:id="85"/>
      <w:bookmarkEnd w:id="86"/>
      <w:r>
        <w:rPr>
          <w:b w:val="false"/>
          <w:bCs w:val="false"/>
          <w:sz w:val="24"/>
          <w:szCs w:val="24"/>
        </w:rPr>
        <w:t>[4] ИСО 8068:2006 Материалы смазочные, индустриальные масла и родственные продукты (класс L). Семейство Т (турбины). Спецификация на смазочные масла для турбин (интернет ре</w:t>
        <w:softHyphen/>
        <w:t>сурс https://shop.belgiss.by/ru/mezhdunarodnye-standarty-iso/iso-8068:2006).</w:t>
      </w:r>
      <w:r>
        <w:br w:type="page"/>
      </w:r>
    </w:p>
    <w:p>
      <w:pPr>
        <w:pStyle w:val="BodyText"/>
        <w:jc w:val="right"/>
        <w:rPr>
          <w:sz w:val="24"/>
          <w:szCs w:val="24"/>
        </w:rPr>
      </w:pPr>
      <w:bookmarkStart w:id="87" w:name="_Toc131077115"/>
      <w:bookmarkStart w:id="88" w:name="_Toc161410596"/>
      <w:bookmarkStart w:id="89" w:name="_Toc131007932"/>
      <w:bookmarkStart w:id="90" w:name="_Toc130547812"/>
      <w:bookmarkStart w:id="91" w:name="_Toc131004932"/>
      <w:bookmarkStart w:id="92" w:name="_Toc130914389"/>
      <w:r>
        <w:rPr>
          <w:sz w:val="24"/>
          <w:szCs w:val="24"/>
        </w:rPr>
        <w:t>Приложение № 2 к ТТ</w:t>
      </w:r>
      <w:bookmarkEnd w:id="87"/>
      <w:bookmarkEnd w:id="88"/>
      <w:bookmarkEnd w:id="89"/>
      <w:bookmarkEnd w:id="90"/>
      <w:bookmarkEnd w:id="91"/>
      <w:bookmarkEnd w:id="92"/>
    </w:p>
    <w:p>
      <w:pPr>
        <w:pStyle w:val="Normal"/>
        <w:rPr>
          <w:sz w:val="24"/>
          <w:szCs w:val="24"/>
          <w:lang w:val="x-none" w:eastAsia="x-none"/>
        </w:rPr>
      </w:pPr>
      <w:r>
        <w:rPr>
          <w:sz w:val="24"/>
          <w:szCs w:val="24"/>
          <w:lang w:val="x-none" w:eastAsia="x-none"/>
        </w:rPr>
      </w:r>
    </w:p>
    <w:p>
      <w:pPr>
        <w:pStyle w:val="Standard"/>
        <w:jc w:val="center"/>
        <w:rPr>
          <w:rFonts w:ascii="Times New Roman" w:hAnsi="Times New Roman"/>
          <w:b w:val="false"/>
          <w:bCs w:val="false"/>
          <w:sz w:val="24"/>
          <w:szCs w:val="24"/>
        </w:rPr>
      </w:pPr>
      <w:r>
        <w:rPr>
          <w:rFonts w:ascii="Times New Roman" w:hAnsi="Times New Roman"/>
          <w:b w:val="false"/>
          <w:bCs w:val="false"/>
          <w:sz w:val="24"/>
          <w:szCs w:val="24"/>
        </w:rPr>
        <w:t xml:space="preserve">Требования к качеству эксплуатационных </w:t>
      </w:r>
      <w:r>
        <w:rPr>
          <w:rFonts w:eastAsia="Calibri" w:ascii="Times New Roman" w:hAnsi="Times New Roman"/>
          <w:b w:val="false"/>
          <w:bCs w:val="false"/>
          <w:sz w:val="24"/>
          <w:szCs w:val="24"/>
        </w:rPr>
        <w:t>трансформаторных</w:t>
      </w:r>
      <w:r>
        <w:rPr>
          <w:rFonts w:ascii="Times New Roman" w:hAnsi="Times New Roman"/>
          <w:b w:val="false"/>
          <w:bCs w:val="false"/>
          <w:sz w:val="24"/>
          <w:szCs w:val="24"/>
        </w:rPr>
        <w:t xml:space="preserve"> масел</w:t>
      </w:r>
    </w:p>
    <w:p>
      <w:pPr>
        <w:pStyle w:val="Standard"/>
        <w:widowControl w:val="false"/>
        <w:rPr>
          <w:rFonts w:ascii="Times New Roman" w:hAnsi="Times New Roman" w:eastAsia="Times New Roman" w:cs="Times New Roman"/>
          <w:b w:val="false"/>
          <w:bCs w:val="false"/>
          <w:kern w:val="0"/>
          <w:sz w:val="24"/>
          <w:szCs w:val="24"/>
          <w:lang w:eastAsia="ru-RU" w:bidi="ar-SA"/>
        </w:rPr>
      </w:pPr>
      <w:r>
        <w:rPr>
          <w:rFonts w:eastAsia="Times New Roman" w:cs="Times New Roman" w:ascii="Times New Roman" w:hAnsi="Times New Roman"/>
          <w:b w:val="false"/>
          <w:bCs w:val="false"/>
          <w:kern w:val="0"/>
          <w:sz w:val="24"/>
          <w:szCs w:val="24"/>
          <w:lang w:eastAsia="ru-RU" w:bidi="ar-SA"/>
        </w:rPr>
        <w:t>CТО 02.01.124-2020 Силовые трансформаторы. организация технической эксплуатации. Нормы и требования таблица П9.4</w:t>
      </w:r>
    </w:p>
    <w:tbl>
      <w:tblPr>
        <w:tblW w:w="10402" w:type="dxa"/>
        <w:jc w:val="left"/>
        <w:tblInd w:w="-5" w:type="dxa"/>
        <w:tblLayout w:type="fixed"/>
        <w:tblCellMar>
          <w:top w:w="113" w:type="dxa"/>
          <w:left w:w="28" w:type="dxa"/>
          <w:bottom w:w="113" w:type="dxa"/>
          <w:right w:w="28" w:type="dxa"/>
        </w:tblCellMar>
      </w:tblPr>
      <w:tblGrid>
        <w:gridCol w:w="709"/>
        <w:gridCol w:w="2079"/>
        <w:gridCol w:w="1982"/>
        <w:gridCol w:w="1556"/>
        <w:gridCol w:w="1276"/>
        <w:gridCol w:w="2799"/>
      </w:tblGrid>
      <w:tr>
        <w:trPr>
          <w:tblHeader w:val="true"/>
        </w:trPr>
        <w:tc>
          <w:tcPr>
            <w:tcW w:w="709" w:type="dxa"/>
            <w:vMerge w:val="restart"/>
            <w:tcBorders>
              <w:top w:val="single" w:sz="4" w:space="0" w:color="000000"/>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Номер пункта</w:t>
            </w:r>
          </w:p>
        </w:tc>
        <w:tc>
          <w:tcPr>
            <w:tcW w:w="2079" w:type="dxa"/>
            <w:vMerge w:val="restart"/>
            <w:tcBorders>
              <w:top w:val="single" w:sz="4" w:space="0" w:color="000000"/>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Показатель качества масла и номер стан</w:t>
              <w:softHyphen/>
              <w:t>дарта на метод испы</w:t>
              <w:softHyphen/>
              <w:t>тания</w:t>
            </w:r>
          </w:p>
        </w:tc>
        <w:tc>
          <w:tcPr>
            <w:tcW w:w="1982" w:type="dxa"/>
            <w:vMerge w:val="restart"/>
            <w:tcBorders>
              <w:top w:val="single" w:sz="4" w:space="0" w:color="000000"/>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Категория электроо</w:t>
              <w:softHyphen/>
              <w:t>борудования</w:t>
            </w:r>
          </w:p>
        </w:tc>
        <w:tc>
          <w:tcPr>
            <w:tcW w:w="2832" w:type="dxa"/>
            <w:gridSpan w:val="2"/>
            <w:tcBorders>
              <w:top w:val="single" w:sz="4" w:space="0" w:color="000000"/>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Значение показателя качества масла</w:t>
            </w:r>
          </w:p>
        </w:tc>
        <w:tc>
          <w:tcPr>
            <w:tcW w:w="2799" w:type="dxa"/>
            <w:vMerge w:val="restart"/>
            <w:tcBorders>
              <w:top w:val="single" w:sz="4" w:space="0" w:color="000000"/>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t>Примечание</w:t>
            </w:r>
          </w:p>
        </w:tc>
      </w:tr>
      <w:tr>
        <w:trPr>
          <w:tblHeader w:val="true"/>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vMerge w:val="continue"/>
            <w:tcBorders>
              <w:left w:val="single" w:sz="4" w:space="0" w:color="000000"/>
              <w:bottom w:val="single" w:sz="4" w:space="0" w:color="000000"/>
            </w:tcBorders>
          </w:tcPr>
          <w:p>
            <w:pPr>
              <w:pStyle w:val="Normal"/>
              <w:widowControl w:val="false"/>
              <w:rPr/>
            </w:pPr>
            <w:r>
              <w:rPr/>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ограничивающее область нормаль</w:t>
              <w:softHyphen/>
              <w:t>ного состояния</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предельно до</w:t>
              <w:softHyphen/>
              <w:t>пустимое</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1</w:t>
            </w:r>
          </w:p>
        </w:tc>
        <w:tc>
          <w:tcPr>
            <w:tcW w:w="207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Пробивное напряже</w:t>
              <w:softHyphen/>
              <w:t>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14">
              <w:r>
                <w:rPr>
                  <w:sz w:val="20"/>
                  <w:szCs w:val="20"/>
                </w:rPr>
                <w:t>ГОСТ 6581-75</w:t>
              </w:r>
            </w:hyperlink>
            <w:r>
              <w:rPr>
                <w:sz w:val="20"/>
                <w:szCs w:val="20"/>
              </w:rPr>
              <w:t>, кВ, не менее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Электрооборудование:</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tc>
        <w:tc>
          <w:tcPr>
            <w:tcW w:w="2799" w:type="dxa"/>
            <w:vMerge w:val="restart"/>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t>Допускается определе</w:t>
              <w:softHyphen/>
              <w:t>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15">
              <w:r>
                <w:rPr>
                  <w:sz w:val="20"/>
                  <w:szCs w:val="20"/>
                </w:rPr>
                <w:t>ГОСТ Р МЭК 60156-2013</w:t>
              </w:r>
            </w:hyperlink>
            <w:r>
              <w:rPr>
                <w:sz w:val="20"/>
                <w:szCs w:val="20"/>
              </w:rPr>
              <w:t>. Если коэффици</w:t>
              <w:softHyphen/>
              <w:t>ент вариации, рассчи</w:t>
              <w:softHyphen/>
              <w:t>танный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16">
              <w:r>
                <w:rPr>
                  <w:sz w:val="20"/>
                  <w:szCs w:val="20"/>
                </w:rPr>
                <w:t>ГОСТ 6581-75</w:t>
              </w:r>
            </w:hyperlink>
            <w:r>
              <w:rPr>
                <w:sz w:val="20"/>
                <w:szCs w:val="20"/>
              </w:rPr>
              <w:t>, превы</w:t>
              <w:softHyphen/>
              <w:t>шает 20%, то результат испытаний - неудовле</w:t>
              <w:softHyphen/>
              <w:t>творительный.</w:t>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до 15 кВ включи</w:t>
              <w:softHyphen/>
              <w:t>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20</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свыше 15 кВ до 35 кВ включительно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25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свыше 35 кВ до 150 кВ включительно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40</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35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свыше 150 кВ до 500 кВ включительно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50</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45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- 750 кВ</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60</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55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2</w:t>
            </w:r>
          </w:p>
        </w:tc>
        <w:tc>
          <w:tcPr>
            <w:tcW w:w="207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Кислотное число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17">
              <w:r>
                <w:rPr>
                  <w:sz w:val="20"/>
                  <w:szCs w:val="20"/>
                </w:rPr>
                <w:t>ГОСТ 5985-79</w:t>
              </w:r>
            </w:hyperlink>
            <w:r>
              <w:rPr>
                <w:sz w:val="20"/>
                <w:szCs w:val="20"/>
              </w:rPr>
              <w:t>, мг KOH/г масла, не бо</w:t>
              <w:softHyphen/>
              <w:t>лее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Силовые трансформа</w:t>
              <w:softHyphen/>
              <w:t>торы, негерметичные маслонаполненные вводы</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0,05 (0,07)</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0,15</w:t>
            </w:r>
          </w:p>
        </w:tc>
        <w:tc>
          <w:tcPr>
            <w:tcW w:w="2799" w:type="dxa"/>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t>Допускается определе</w:t>
              <w:softHyphen/>
              <w:t>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18">
              <w:r>
                <w:rPr>
                  <w:sz w:val="20"/>
                  <w:szCs w:val="20"/>
                </w:rPr>
                <w:t>ГОСТ Р МЭК 62021-1-2013</w:t>
              </w:r>
            </w:hyperlink>
            <w:r>
              <w:rPr>
                <w:sz w:val="20"/>
                <w:szCs w:val="20"/>
              </w:rPr>
              <w:t>. Значение кислот</w:t>
              <w:softHyphen/>
              <w:t>ного числа, ограничиваю</w:t>
              <w:softHyphen/>
              <w:t>щее об</w:t>
              <w:softHyphen/>
              <w:t>ласть нормального со</w:t>
              <w:softHyphen/>
              <w:t>стояния - 0,07 мг KOH/г, может устанав</w:t>
              <w:softHyphen/>
              <w:t>ливаться по решению технического руководи</w:t>
              <w:softHyphen/>
              <w:t>теля для масел марок Т-750, Т-1500, Т-1500У, ТКп и ТСп (ТСО).</w:t>
            </w:r>
          </w:p>
        </w:tc>
      </w:tr>
      <w:tr>
        <w:trPr/>
        <w:tc>
          <w:tcPr>
            <w:tcW w:w="70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3</w:t>
            </w:r>
          </w:p>
        </w:tc>
        <w:tc>
          <w:tcPr>
            <w:tcW w:w="207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Температура вспыш</w:t>
              <w:softHyphen/>
              <w:t>ки в закрытом тигле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19">
              <w:r>
                <w:rPr>
                  <w:sz w:val="20"/>
                  <w:szCs w:val="20"/>
                </w:rPr>
                <w:t>ГОСТ 6356-75</w:t>
              </w:r>
            </w:hyperlink>
            <w:r>
              <w:rPr>
                <w:sz w:val="20"/>
                <w:szCs w:val="20"/>
              </w:rPr>
              <w:t>, °С, не ниже*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pPr>
            <w:r>
              <w:rPr>
                <w:sz w:val="20"/>
                <w:szCs w:val="20"/>
              </w:rPr>
              <w:t>Силовые трансформа</w:t>
              <w:softHyphen/>
              <w:t>торы, негерметичные маслонаполненные вводы</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pPr>
            <w:r>
              <w:rPr>
                <w:sz w:val="20"/>
                <w:szCs w:val="20"/>
              </w:rPr>
              <w:t>Снижение более чем на 5°С в сравнении с пре</w:t>
              <w:softHyphen/>
              <w:t>дыдущим анали</w:t>
              <w:softHyphen/>
              <w:t>зом</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125</w:t>
            </w:r>
          </w:p>
        </w:tc>
        <w:tc>
          <w:tcPr>
            <w:tcW w:w="2799" w:type="dxa"/>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r>
          </w:p>
        </w:tc>
      </w:tr>
      <w:tr>
        <w:trPr/>
        <w:tc>
          <w:tcPr>
            <w:tcW w:w="70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4</w:t>
            </w:r>
          </w:p>
        </w:tc>
        <w:tc>
          <w:tcPr>
            <w:tcW w:w="207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Влагосодержание: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0">
              <w:r>
                <w:rPr>
                  <w:sz w:val="20"/>
                  <w:szCs w:val="20"/>
                </w:rPr>
                <w:t>ГОСТ Р МЭК 60814-2013</w:t>
              </w:r>
            </w:hyperlink>
            <w:r>
              <w:rPr>
                <w:sz w:val="20"/>
                <w:szCs w:val="20"/>
              </w:rPr>
              <w:t>, % массы (мг/кг, г/т), не более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Трансформаторы с пленочной или азот</w:t>
              <w:softHyphen/>
              <w:t>ной защитой, герме</w:t>
              <w:softHyphen/>
              <w:t>тичные маслонапол</w:t>
              <w:softHyphen/>
              <w:t>ненные вводы</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0,0015 (15)</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0,0020 (20)</w:t>
            </w:r>
          </w:p>
        </w:tc>
        <w:tc>
          <w:tcPr>
            <w:tcW w:w="2799" w:type="dxa"/>
            <w:vMerge w:val="restart"/>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t>Допускается определе</w:t>
              <w:softHyphen/>
              <w:t>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1">
              <w:r>
                <w:rPr>
                  <w:sz w:val="20"/>
                  <w:szCs w:val="20"/>
                </w:rPr>
                <w:t>ГОСТ 7822-75</w:t>
              </w:r>
            </w:hyperlink>
            <w:r>
              <w:rPr>
                <w:sz w:val="20"/>
                <w:szCs w:val="20"/>
              </w:rPr>
              <w:t xml:space="preserve"> или хро</w:t>
              <w:softHyphen/>
              <w:t>матографическим методом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t>СТО 70238424.27.100.053-2013. Энергетические масла и маслохозяйства электрических станций и сетей. Организация эксплуатации и 34.43.107-95 (РД 34.43.107-95) Методи</w:t>
              <w:softHyphen/>
              <w:t>ческие указания по определению содержа</w:t>
              <w:softHyphen/>
              <w:t>ния воды и воздуха в трансформаторном мас</w:t>
              <w:softHyphen/>
              <w:t>ле.</w:t>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Силовые трансформа</w:t>
              <w:softHyphen/>
              <w:t>торы без специальных защит масла, негерме</w:t>
              <w:softHyphen/>
              <w:t>тичные маслонапол</w:t>
              <w:softHyphen/>
              <w:t>ненные вводы</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0,0020 (20)</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0,0025 (25)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5</w:t>
            </w:r>
          </w:p>
        </w:tc>
        <w:tc>
          <w:tcPr>
            <w:tcW w:w="207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Содержание механи</w:t>
              <w:softHyphen/>
              <w:t>ческих примесей</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tc>
        <w:tc>
          <w:tcPr>
            <w:tcW w:w="2799" w:type="dxa"/>
            <w:vMerge w:val="restart"/>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t>Допускается определе</w:t>
              <w:softHyphen/>
              <w:t>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2">
              <w:r>
                <w:rPr>
                  <w:sz w:val="20"/>
                  <w:szCs w:val="20"/>
                </w:rPr>
                <w:t>ГОСТ ИСО 4407-2006</w:t>
              </w:r>
            </w:hyperlink>
            <w:r>
              <w:rPr>
                <w:sz w:val="20"/>
                <w:szCs w:val="20"/>
              </w:rPr>
              <w:t xml:space="preserve"> с последующим перерас</w:t>
              <w:softHyphen/>
              <w:t>четом по Прил. Г</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3">
              <w:r>
                <w:rPr>
                  <w:sz w:val="20"/>
                  <w:szCs w:val="20"/>
                </w:rPr>
                <w:t>ГОСТ 17216-2001</w:t>
              </w:r>
            </w:hyperlink>
            <w:r>
              <w:rPr>
                <w:sz w:val="20"/>
                <w:szCs w:val="20"/>
              </w:rPr>
              <w:t>. Класс промышленной чистоты по таблице 1</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4">
              <w:r>
                <w:rPr>
                  <w:sz w:val="20"/>
                  <w:szCs w:val="20"/>
                </w:rPr>
                <w:t>ГОСТ 17216-2001</w:t>
              </w:r>
            </w:hyperlink>
            <w:r>
              <w:rPr>
                <w:sz w:val="20"/>
                <w:szCs w:val="20"/>
              </w:rPr>
              <w:t xml:space="preserve"> опре</w:t>
              <w:softHyphen/>
              <w:t>деляется по значению класса фракции с наи</w:t>
              <w:softHyphen/>
              <w:t>большим значением (по "худшей" фракции).</w:t>
            </w:r>
          </w:p>
        </w:tc>
      </w:tr>
      <w:tr>
        <w:trPr>
          <w:trHeight w:val="952" w:hRule="atLeast"/>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5">
              <w:r>
                <w:rPr>
                  <w:sz w:val="20"/>
                  <w:szCs w:val="20"/>
                </w:rPr>
                <w:t>ГОСТ 6370-83</w:t>
              </w:r>
            </w:hyperlink>
            <w:r>
              <w:rPr>
                <w:sz w:val="20"/>
                <w:szCs w:val="20"/>
              </w:rPr>
              <w:t>, % (класс промышленной чистоты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6">
              <w:r>
                <w:rPr>
                  <w:sz w:val="20"/>
                  <w:szCs w:val="20"/>
                </w:rPr>
                <w:t>ГОСТ 17216-2001</w:t>
              </w:r>
            </w:hyperlink>
            <w:r>
              <w:rPr>
                <w:sz w:val="20"/>
                <w:szCs w:val="20"/>
              </w:rPr>
              <w:t>, не более);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Электрооборудование до 35 кВ включитель</w:t>
              <w:softHyphen/>
              <w:t>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Отсутствие (12)</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Отсутствие (12)</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Класс промышленной чистоты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7">
              <w:r>
                <w:rPr>
                  <w:sz w:val="20"/>
                  <w:szCs w:val="20"/>
                </w:rPr>
                <w:t>ГОСТ 17216-2001</w:t>
              </w:r>
            </w:hyperlink>
            <w:r>
              <w:rPr>
                <w:sz w:val="20"/>
                <w:szCs w:val="20"/>
              </w:rPr>
              <w:t>, не более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Электрооборудование свыше 35 кВ до 750 кВ включительно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10</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11</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6</w:t>
            </w:r>
          </w:p>
        </w:tc>
        <w:tc>
          <w:tcPr>
            <w:tcW w:w="207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pPr>
            <w:r>
              <w:rPr>
                <w:sz w:val="20"/>
                <w:szCs w:val="20"/>
              </w:rPr>
              <w:t>Тангенс угла диэлек</w:t>
              <w:softHyphen/>
              <w:t>трических потерь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8">
              <w:r>
                <w:rPr>
                  <w:sz w:val="20"/>
                  <w:szCs w:val="20"/>
                </w:rPr>
                <w:t>ГОСТ 6581-75</w:t>
              </w:r>
            </w:hyperlink>
            <w:r>
              <w:rPr>
                <w:sz w:val="20"/>
                <w:szCs w:val="20"/>
              </w:rPr>
              <w:t>, %, не более, при температу</w:t>
              <w:softHyphen/>
              <w:t>ре 90°С</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pPr>
            <w:r>
              <w:rPr>
                <w:sz w:val="20"/>
                <w:szCs w:val="20"/>
              </w:rPr>
              <w:t>Силовые трансформа</w:t>
              <w:softHyphen/>
              <w:t>торы, высоковольт</w:t>
              <w:softHyphen/>
              <w:t>ные вводы:</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r>
          </w:p>
        </w:tc>
        <w:tc>
          <w:tcPr>
            <w:tcW w:w="2799" w:type="dxa"/>
            <w:vMerge w:val="restart"/>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pPr>
            <w:r>
              <w:rPr>
                <w:sz w:val="20"/>
                <w:szCs w:val="20"/>
              </w:rPr>
              <w:t>Проба масла дополни</w:t>
              <w:softHyphen/>
              <w:t>тельной обработке не подвергается. Допус</w:t>
              <w:softHyphen/>
              <w:t>кается определение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29">
              <w:r>
                <w:rPr>
                  <w:sz w:val="20"/>
                  <w:szCs w:val="20"/>
                </w:rPr>
                <w:t>ГОСТ Р МЭК 60247-2013</w:t>
              </w:r>
            </w:hyperlink>
            <w:r>
              <w:rPr>
                <w:sz w:val="20"/>
                <w:szCs w:val="20"/>
              </w:rPr>
              <w:t>.</w:t>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- 110-150 кВ включи</w:t>
              <w:softHyphen/>
              <w:t>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12</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15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- 220-500 кВ включи</w:t>
              <w:softHyphen/>
              <w:t>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8</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10</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- 750 кВ</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3</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Силовые трансформа</w:t>
              <w:softHyphen/>
              <w:t>торы, высоковольт</w:t>
              <w:softHyphen/>
              <w:t>ные вводы 110 кВ и выше, залитые масла</w:t>
              <w:softHyphen/>
              <w:t>ми марок ГК, ВГ, Nytro 11GX и 10XN</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3</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5</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7</w:t>
            </w:r>
          </w:p>
        </w:tc>
        <w:tc>
          <w:tcPr>
            <w:tcW w:w="2079" w:type="dxa"/>
            <w:vMerge w:val="restart"/>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Содержание водо</w:t>
              <w:softHyphen/>
              <w:t>растворимых кислот и щелочей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30">
              <w:r>
                <w:rPr>
                  <w:sz w:val="20"/>
                  <w:szCs w:val="20"/>
                </w:rPr>
                <w:t>ГОСТ 6307-75</w:t>
              </w:r>
            </w:hyperlink>
            <w:r>
              <w:rPr>
                <w:sz w:val="20"/>
                <w:szCs w:val="20"/>
              </w:rPr>
              <w:t xml:space="preserve"> , рН водной вытяжки, не менее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Силовые трансформа</w:t>
              <w:softHyphen/>
              <w:t>торы, герметичные высоковольтные вво</w:t>
              <w:softHyphen/>
              <w:t>ды, до 750 кВ вклю</w:t>
              <w:softHyphen/>
              <w:t>чительно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5,5</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w:t>
            </w:r>
          </w:p>
        </w:tc>
        <w:tc>
          <w:tcPr>
            <w:tcW w:w="2799" w:type="dxa"/>
            <w:vMerge w:val="restart"/>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t>Допускается качествен</w:t>
              <w:softHyphen/>
              <w:t>ное определение с ин</w:t>
              <w:softHyphen/>
              <w:t>дикатором.</w:t>
            </w:r>
          </w:p>
        </w:tc>
      </w:tr>
      <w:tr>
        <w:trPr/>
        <w:tc>
          <w:tcPr>
            <w:tcW w:w="709" w:type="dxa"/>
            <w:vMerge w:val="continue"/>
            <w:tcBorders>
              <w:left w:val="single" w:sz="4" w:space="0" w:color="000000"/>
              <w:bottom w:val="single" w:sz="4" w:space="0" w:color="000000"/>
            </w:tcBorders>
          </w:tcPr>
          <w:p>
            <w:pPr>
              <w:pStyle w:val="Normal"/>
              <w:widowControl w:val="false"/>
              <w:rPr/>
            </w:pPr>
            <w:r>
              <w:rPr/>
            </w:r>
          </w:p>
        </w:tc>
        <w:tc>
          <w:tcPr>
            <w:tcW w:w="2079" w:type="dxa"/>
            <w:vMerge w:val="continue"/>
            <w:tcBorders>
              <w:left w:val="single" w:sz="4" w:space="0" w:color="000000"/>
              <w:bottom w:val="single" w:sz="4" w:space="0" w:color="000000"/>
            </w:tcBorders>
          </w:tcPr>
          <w:p>
            <w:pPr>
              <w:pStyle w:val="Normal"/>
              <w:widowControl w:val="false"/>
              <w:rPr/>
            </w:pPr>
            <w:r>
              <w:rPr/>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Негерметичные высо</w:t>
              <w:softHyphen/>
              <w:t>ковольтные вводы до 500 кВ включительно</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5,2</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w:t>
            </w:r>
          </w:p>
        </w:tc>
        <w:tc>
          <w:tcPr>
            <w:tcW w:w="2799" w:type="dxa"/>
            <w:vMerge w:val="continue"/>
            <w:tcBorders>
              <w:left w:val="single" w:sz="4" w:space="0" w:color="000000"/>
              <w:bottom w:val="single" w:sz="4" w:space="0" w:color="000000"/>
              <w:right w:val="single" w:sz="4" w:space="0" w:color="000000"/>
            </w:tcBorders>
          </w:tcPr>
          <w:p>
            <w:pPr>
              <w:pStyle w:val="Normal"/>
              <w:widowControl w:val="false"/>
              <w:rPr/>
            </w:pPr>
            <w:r>
              <w:rPr/>
            </w:r>
          </w:p>
        </w:tc>
      </w:tr>
      <w:tr>
        <w:trPr/>
        <w:tc>
          <w:tcPr>
            <w:tcW w:w="70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8</w:t>
            </w:r>
          </w:p>
        </w:tc>
        <w:tc>
          <w:tcPr>
            <w:tcW w:w="207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Содержание анти</w:t>
              <w:softHyphen/>
              <w:t>окислительной при</w:t>
              <w:softHyphen/>
              <w:t>садки АГИДОЛ-1 (2,6-дитретбутил-4-</w:t>
            </w:r>
          </w:p>
          <w:p>
            <w:pPr>
              <w:pStyle w:val="FORMATTEXT"/>
              <w:widowControl w:val="false"/>
              <w:spacing w:lineRule="auto" w:line="240"/>
              <w:ind w:left="0" w:right="0" w:hanging="0"/>
              <w:jc w:val="left"/>
              <w:rPr>
                <w:sz w:val="20"/>
                <w:szCs w:val="20"/>
              </w:rPr>
            </w:pPr>
            <w:r>
              <w:rPr>
                <w:sz w:val="20"/>
                <w:szCs w:val="20"/>
              </w:rPr>
              <w:t>метилфенол или ионол)</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31">
              <w:r>
                <w:rPr>
                  <w:sz w:val="20"/>
                  <w:szCs w:val="20"/>
                </w:rPr>
                <w:t>ГОСТ Р МЭК 60666-2013</w:t>
              </w:r>
            </w:hyperlink>
            <w:r>
              <w:rPr>
                <w:sz w:val="20"/>
                <w:szCs w:val="20"/>
              </w:rPr>
              <w:t>, % массы, не ме</w:t>
              <w:softHyphen/>
              <w:t>нее**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Силовые и измери</w:t>
              <w:softHyphen/>
              <w:t>тельные трансформа</w:t>
              <w:softHyphen/>
              <w:t>торы 35 кВ и выше, маслонаполненные вводы 110 кВ и выше</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0,1</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w:t>
            </w:r>
          </w:p>
        </w:tc>
        <w:tc>
          <w:tcPr>
            <w:tcW w:w="2799" w:type="dxa"/>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sz w:val="20"/>
                <w:szCs w:val="20"/>
              </w:rPr>
            </w:pPr>
            <w:r>
              <w:rPr>
                <w:sz w:val="20"/>
                <w:szCs w:val="20"/>
              </w:rPr>
              <w:t>Допускается определе</w:t>
              <w:softHyphen/>
              <w:t>ние по</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t>МЭК 60296 (2012),</w:t>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sz w:val="20"/>
                <w:szCs w:val="20"/>
              </w:rPr>
            </w:pPr>
            <w:r>
              <w:rPr>
                <w:sz w:val="20"/>
                <w:szCs w:val="20"/>
              </w:rPr>
            </w:r>
          </w:p>
          <w:p>
            <w:pPr>
              <w:pStyle w:val="FORMATTEXT"/>
              <w:widowControl w:val="false"/>
              <w:spacing w:lineRule="auto" w:line="240"/>
              <w:ind w:left="0" w:right="0" w:hanging="0"/>
              <w:jc w:val="left"/>
              <w:rPr/>
            </w:pPr>
            <w:hyperlink r:id="rId32">
              <w:r>
                <w:rPr>
                  <w:sz w:val="20"/>
                  <w:szCs w:val="20"/>
                </w:rPr>
                <w:t>[</w:t>
              </w:r>
            </w:hyperlink>
            <w:r>
              <w:rPr>
                <w:sz w:val="20"/>
                <w:szCs w:val="20"/>
              </w:rPr>
              <w:t>СО 34.43.208-95 (РД 34.43.208-95).</w:t>
            </w:r>
          </w:p>
        </w:tc>
      </w:tr>
      <w:tr>
        <w:trPr/>
        <w:tc>
          <w:tcPr>
            <w:tcW w:w="70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9</w:t>
            </w:r>
          </w:p>
        </w:tc>
        <w:tc>
          <w:tcPr>
            <w:tcW w:w="2079"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Общее содержание шлама, % массы, не более</w:t>
            </w:r>
          </w:p>
        </w:tc>
        <w:tc>
          <w:tcPr>
            <w:tcW w:w="1982"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Силовые и измери</w:t>
              <w:softHyphen/>
              <w:t>тельные трансформа</w:t>
              <w:softHyphen/>
              <w:t>торы, негерметичные высоковольтные вво</w:t>
              <w:softHyphen/>
              <w:t>ды, 110 кВ и выше</w:t>
            </w:r>
          </w:p>
        </w:tc>
        <w:tc>
          <w:tcPr>
            <w:tcW w:w="155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w:t>
            </w:r>
          </w:p>
        </w:tc>
        <w:tc>
          <w:tcPr>
            <w:tcW w:w="1276" w:type="dxa"/>
            <w:tcBorders>
              <w:left w:val="single" w:sz="4" w:space="0" w:color="000000"/>
              <w:bottom w:val="single" w:sz="4" w:space="0" w:color="000000"/>
            </w:tcBorders>
          </w:tcPr>
          <w:p>
            <w:pPr>
              <w:pStyle w:val="FORMATTEXT"/>
              <w:widowControl w:val="false"/>
              <w:spacing w:lineRule="auto" w:line="240"/>
              <w:ind w:left="0" w:right="0" w:hanging="0"/>
              <w:jc w:val="left"/>
              <w:rPr>
                <w:sz w:val="20"/>
                <w:szCs w:val="20"/>
              </w:rPr>
            </w:pPr>
            <w:r>
              <w:rPr>
                <w:sz w:val="20"/>
                <w:szCs w:val="20"/>
              </w:rPr>
              <w:t>0,005</w:t>
            </w:r>
          </w:p>
        </w:tc>
        <w:tc>
          <w:tcPr>
            <w:tcW w:w="2799" w:type="dxa"/>
            <w:tcBorders>
              <w:left w:val="single" w:sz="4" w:space="0" w:color="000000"/>
              <w:bottom w:val="single" w:sz="4" w:space="0" w:color="000000"/>
              <w:right w:val="single" w:sz="4" w:space="0" w:color="000000"/>
            </w:tcBorders>
          </w:tcPr>
          <w:p>
            <w:pPr>
              <w:pStyle w:val="FORMATTEXT"/>
              <w:widowControl w:val="false"/>
              <w:spacing w:lineRule="auto" w:line="240"/>
              <w:ind w:left="0" w:right="0" w:hanging="0"/>
              <w:jc w:val="left"/>
              <w:rPr/>
            </w:pPr>
            <w:r>
              <w:rPr>
                <w:sz w:val="20"/>
                <w:szCs w:val="20"/>
              </w:rPr>
              <w:t>Определение проводят по СТО 70238424.27.100.053-2013., СТО РусГидро 02.01.112-2015  и МЭК 60422(2013) при дости</w:t>
              <w:softHyphen/>
              <w:t>жении любого из пока</w:t>
              <w:softHyphen/>
              <w:t>зателей по пунктам 2, 6, 7 Таблицы П.9.4 значе</w:t>
              <w:softHyphen/>
              <w:t>ния, ограничивающего область нормального состояния.</w:t>
            </w:r>
          </w:p>
        </w:tc>
      </w:tr>
    </w:tbl>
    <w:p>
      <w:pPr>
        <w:pStyle w:val="Heading1"/>
        <w:keepNext w:val="true"/>
        <w:widowControl/>
        <w:numPr>
          <w:ilvl w:val="0"/>
          <w:numId w:val="0"/>
        </w:numPr>
        <w:tabs>
          <w:tab w:val="clear" w:pos="708"/>
        </w:tabs>
        <w:suppressAutoHyphens w:val="true"/>
        <w:overflowPunct w:val="false"/>
        <w:bidi w:val="0"/>
        <w:spacing w:before="120" w:after="60"/>
        <w:ind w:left="7257" w:right="0" w:hanging="0"/>
        <w:jc w:val="left"/>
        <w:rPr>
          <w:bCs w:val="false"/>
          <w:sz w:val="24"/>
          <w:szCs w:val="28"/>
        </w:rPr>
      </w:pPr>
      <w:r>
        <w:rPr>
          <w:bCs w:val="false"/>
          <w:sz w:val="24"/>
          <w:szCs w:val="28"/>
        </w:rPr>
      </w:r>
      <w:r>
        <w:br w:type="page"/>
      </w:r>
    </w:p>
    <w:p>
      <w:pPr>
        <w:pStyle w:val="BodyText"/>
        <w:jc w:val="right"/>
        <w:rPr>
          <w:sz w:val="24"/>
          <w:szCs w:val="24"/>
        </w:rPr>
      </w:pPr>
      <w:bookmarkStart w:id="93" w:name="__RefHeading___Toc9431_4190695750"/>
      <w:bookmarkStart w:id="94" w:name="_Toc161659423"/>
      <w:bookmarkStart w:id="95" w:name="_Toc213231372"/>
      <w:bookmarkStart w:id="96" w:name="_Toc131007933"/>
      <w:bookmarkStart w:id="97" w:name="_Toc131004933"/>
      <w:bookmarkStart w:id="98" w:name="_Toc131077116"/>
      <w:bookmarkStart w:id="99" w:name="_Toc130914390"/>
      <w:bookmarkStart w:id="100" w:name="_Toc213233061"/>
      <w:bookmarkEnd w:id="93"/>
      <w:r>
        <w:rPr>
          <w:sz w:val="24"/>
          <w:szCs w:val="24"/>
        </w:rPr>
        <w:t>Приложение № 3 к ТТ</w:t>
      </w:r>
      <w:bookmarkEnd w:id="94"/>
      <w:bookmarkEnd w:id="95"/>
      <w:bookmarkEnd w:id="96"/>
      <w:bookmarkEnd w:id="97"/>
      <w:bookmarkEnd w:id="98"/>
      <w:bookmarkEnd w:id="99"/>
      <w:bookmarkEnd w:id="100"/>
    </w:p>
    <w:p>
      <w:pPr>
        <w:pStyle w:val="Standard"/>
        <w:jc w:val="center"/>
        <w:rPr>
          <w:b/>
        </w:rPr>
      </w:pPr>
      <w:r>
        <w:rPr>
          <w:b/>
        </w:rPr>
        <w:t>Список проверяемого оборудования</w:t>
      </w:r>
    </w:p>
    <w:tbl>
      <w:tblPr>
        <w:tblW w:w="10201" w:type="dxa"/>
        <w:jc w:val="left"/>
        <w:tblInd w:w="5" w:type="dxa"/>
        <w:tblLayout w:type="fixed"/>
        <w:tblCellMar>
          <w:top w:w="0" w:type="dxa"/>
          <w:left w:w="108" w:type="dxa"/>
          <w:bottom w:w="0" w:type="dxa"/>
          <w:right w:w="108" w:type="dxa"/>
        </w:tblCellMar>
      </w:tblPr>
      <w:tblGrid>
        <w:gridCol w:w="993"/>
        <w:gridCol w:w="2450"/>
        <w:gridCol w:w="2265"/>
        <w:gridCol w:w="1877"/>
        <w:gridCol w:w="2616"/>
      </w:tblGrid>
      <w:tr>
        <w:trPr>
          <w:tblHeader w:val="true"/>
        </w:trPr>
        <w:tc>
          <w:tcPr>
            <w:tcW w:w="993"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 xml:space="preserve">№ </w:t>
            </w:r>
            <w:r>
              <w:rPr>
                <w:kern w:val="0"/>
                <w:lang w:bidi="ar-SA"/>
              </w:rPr>
              <w:t>пп</w:t>
            </w:r>
          </w:p>
        </w:tc>
        <w:tc>
          <w:tcPr>
            <w:tcW w:w="2450"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Станция</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Наименование</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Номер</w:t>
            </w:r>
          </w:p>
          <w:p>
            <w:pPr>
              <w:pStyle w:val="Standard"/>
              <w:widowControl w:val="false"/>
              <w:jc w:val="center"/>
              <w:rPr>
                <w:kern w:val="0"/>
                <w:lang w:bidi="ar-SA"/>
              </w:rPr>
            </w:pPr>
            <w:r>
              <w:rPr>
                <w:kern w:val="0"/>
                <w:lang w:bidi="ar-SA"/>
              </w:rPr>
              <w:t>основного</w:t>
            </w:r>
          </w:p>
          <w:p>
            <w:pPr>
              <w:pStyle w:val="Standard"/>
              <w:widowControl w:val="false"/>
              <w:jc w:val="center"/>
              <w:rPr>
                <w:kern w:val="0"/>
                <w:lang w:bidi="ar-SA"/>
              </w:rPr>
            </w:pPr>
            <w:r>
              <w:rPr>
                <w:kern w:val="0"/>
                <w:lang w:bidi="ar-SA"/>
              </w:rPr>
              <w:t>средство</w:t>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Инвентарный номер</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0"/>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ГГ-1</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w:t>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ГГ-2</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w:t>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ГГ-3</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ГГ-4</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ГГ-5</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ГГ-6</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rPr>
                <w:kern w:val="0"/>
                <w:lang w:bidi="ar-SA"/>
              </w:rPr>
            </w:pPr>
            <w:r>
              <w:rPr>
                <w:kern w:val="0"/>
                <w:lang w:bidi="ar-SA"/>
              </w:rPr>
              <w:t>104000003006</w:t>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rPr>
                <w:kern w:val="0"/>
                <w:lang w:bidi="ar-SA"/>
              </w:rPr>
            </w:pPr>
            <w:r>
              <w:rPr>
                <w:kern w:val="0"/>
                <w:lang w:bidi="ar-SA"/>
              </w:rPr>
              <w:t>12101040000030060000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rPr>
                <w:kern w:val="0"/>
                <w:lang w:bidi="ar-SA"/>
              </w:rPr>
            </w:pPr>
            <w:r>
              <w:rPr>
                <w:kern w:val="0"/>
                <w:lang w:bidi="ar-SA"/>
              </w:rPr>
              <w:t>104000003358</w:t>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rPr>
                <w:kern w:val="0"/>
                <w:lang w:bidi="ar-SA"/>
              </w:rPr>
            </w:pPr>
            <w:r>
              <w:rPr>
                <w:kern w:val="0"/>
                <w:lang w:bidi="ar-SA"/>
              </w:rPr>
              <w:t>12101040000033580000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ГАЭС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ТСН-62</w:t>
            </w:r>
          </w:p>
        </w:tc>
        <w:tc>
          <w:tcPr>
            <w:tcW w:w="1877"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104000000873</w:t>
            </w:r>
          </w:p>
        </w:tc>
        <w:tc>
          <w:tcPr>
            <w:tcW w:w="2616"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КК0325/57</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ГЭС-1</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104000000164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КК00045/3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ГЭС-1</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104000000062</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КК00046/3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ГЭС-1</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104000002517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12101040000025170000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ГЭС-1</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104000003083</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12101040000030830000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ГЭС-1</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Т-4</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104000002574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12101040000025740000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104000001036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КК00048/1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104000001037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КК00049/1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104000001035</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КК00050/1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ГГ4</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104000001034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КК00051/1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МНУ 8-25</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№7</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№8</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№9</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104000003821</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12101040000038210000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104000003822</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12101040000038220000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АТ-1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104000003834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12101040000038340000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АТ-2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104000003835</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12101040000038350000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№4</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№5</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ЦМХ ёмкость №6</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104000003438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12101040000034380000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104000003541</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12101040000035410000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Т-31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104000003297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rPr>
                <w:kern w:val="0"/>
                <w:lang w:bidi="ar-SA"/>
              </w:rPr>
            </w:pPr>
            <w:r>
              <w:rPr>
                <w:kern w:val="0"/>
                <w:lang w:bidi="ar-SA"/>
              </w:rPr>
              <w:t>12101040000032970000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 резерв</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ТСН-61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104000001025</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КК0000930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ТСН-62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104000001026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КК0000781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lineRule="auto" w:line="240" w:before="0" w:after="0"/>
              <w:ind w:left="0" w:right="0" w:hanging="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ТСН-ШР-6</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104000001029</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КК0186/13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ТСН-ВП</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104000001027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КК0000779</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ТСН-ХВ</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104000001028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КК0186/12</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ТСН-Охр</w:t>
            </w:r>
          </w:p>
        </w:tc>
        <w:tc>
          <w:tcPr>
            <w:tcW w:w="1877"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104000000088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КК00184/3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104000000077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КК00185/3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ГЭС-3</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104000000076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КК00186/3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АТ-1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АТ-2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 xml:space="preserve">Т-1 </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ТСН-61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104000000565</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КК0000928</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ТСН-62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104000000566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КК0000929</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ТСН-63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104000000562</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КК0000950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ТСН-64</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104000000564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КК0000945</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ТСН-ХВ</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104000000569</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КК0000941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ТСН-НБ</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ТСН-АВВ</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104000000568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КК0000944</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104000000087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КК00187/3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104000000074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КК00188/3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ГЭС-4</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104000000080</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КК00189/6</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Барсучковская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104000002899</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12101040000028990000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Барсучковская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104000002806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12101040000028060000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Барсучковская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104000002807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12101040000028070000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pPr>
            <w:r>
              <w:rPr>
                <w:kern w:val="0"/>
                <w:lang w:bidi="ar-SA"/>
              </w:rPr>
              <w:t>Барсучковская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104000002808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12101040000028080000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104000001767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КК0003996</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104000001768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КК0003997</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Т-101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104000000916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КК0954/25</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104000000097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КК00197/9</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104000000098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КК00198/9</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104000000099</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КК00195/9</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ГА-4</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104000000100</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КК00194/9</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УБ-1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Свистухинская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УБ-2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Сенгилеевская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104000001771</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КК0003372</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Сенгилеевская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104000002325</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КК0003381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Сенгилеевская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Т-101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104000003239</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12101040000032390000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pPr>
            <w:r>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104000000641</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КК00262/2</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отсутствует</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104000000175</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КК00258/3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ГГ2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104000000176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КК00257/3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104000001449</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КК0003641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104000001450</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КК0003642</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ТН-1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104000001334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КК0003611</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ТН-2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104000001336</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КК0003612</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ТН-3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104000001333</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КК0003610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ТН Л-15</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104000001335</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КК0003609</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ТН Л-145</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104000001332</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КК0003608</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104000001471</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КК0003562</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104000001472</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КК0003564</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ГА-3</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104000001473</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КК0003563</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Егорлыкская ГЭС-2</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ГА-4</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104000001474</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КК0003565</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Новотроицкая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Т-31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104000002640</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12101040000026400000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Новотроицкая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Т-32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104000002641</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12101040000026410000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Новотроицкая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ТСН-61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104000000762</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КК0237/10</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Новотроицкая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А-1</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104000000177</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КК0001166</w:t>
            </w:r>
          </w:p>
        </w:tc>
      </w:tr>
      <w:tr>
        <w:trPr/>
        <w:tc>
          <w:tcPr>
            <w:tcW w:w="99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9"/>
              </w:numPr>
              <w:spacing w:before="0" w:after="0"/>
              <w:ind w:left="360" w:right="0" w:hanging="360"/>
              <w:contextualSpacing w:val="false"/>
              <w:jc w:val="center"/>
              <w:rPr>
                <w:kern w:val="0"/>
                <w:lang w:bidi="ar-SA"/>
              </w:rPr>
            </w:pPr>
            <w:r>
              <w:rPr>
                <w:kern w:val="0"/>
                <w:lang w:bidi="ar-SA"/>
              </w:rPr>
            </w:r>
          </w:p>
        </w:tc>
        <w:tc>
          <w:tcPr>
            <w:tcW w:w="2450" w:type="dxa"/>
            <w:tcBorders>
              <w:top w:val="single" w:sz="4" w:space="0" w:color="000000"/>
              <w:left w:val="single" w:sz="4" w:space="0" w:color="000000"/>
              <w:bottom w:val="single" w:sz="4" w:space="0" w:color="000000"/>
              <w:right w:val="single" w:sz="4" w:space="0" w:color="000000"/>
            </w:tcBorders>
          </w:tcPr>
          <w:p>
            <w:pPr>
              <w:pStyle w:val="Standard"/>
              <w:widowControl w:val="false"/>
              <w:jc w:val="center"/>
              <w:rPr>
                <w:kern w:val="0"/>
                <w:lang w:bidi="ar-SA"/>
              </w:rPr>
            </w:pPr>
            <w:r>
              <w:rPr>
                <w:kern w:val="0"/>
                <w:lang w:bidi="ar-SA"/>
              </w:rPr>
              <w:t>Новотроицкая ГЭС</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Standard"/>
              <w:widowControl w:val="false"/>
              <w:jc w:val="center"/>
              <w:rPr>
                <w:kern w:val="0"/>
                <w:lang w:bidi="ar-SA"/>
              </w:rPr>
            </w:pPr>
            <w:r>
              <w:rPr>
                <w:kern w:val="0"/>
                <w:lang w:bidi="ar-SA"/>
              </w:rPr>
              <w:t>А-2</w:t>
            </w:r>
          </w:p>
        </w:tc>
        <w:tc>
          <w:tcPr>
            <w:tcW w:w="1877"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104000000178</w:t>
            </w:r>
          </w:p>
        </w:tc>
        <w:tc>
          <w:tcPr>
            <w:tcW w:w="2616" w:type="dxa"/>
            <w:tcBorders>
              <w:top w:val="single" w:sz="4" w:space="0" w:color="000000"/>
              <w:left w:val="single" w:sz="4" w:space="0" w:color="000000"/>
              <w:bottom w:val="single" w:sz="4" w:space="0" w:color="000000"/>
              <w:right w:val="single" w:sz="4" w:space="0" w:color="000000"/>
            </w:tcBorders>
            <w:vAlign w:val="bottom"/>
          </w:tcPr>
          <w:p>
            <w:pPr>
              <w:pStyle w:val="Standard"/>
              <w:widowControl w:val="false"/>
              <w:jc w:val="center"/>
              <w:rPr>
                <w:kern w:val="0"/>
                <w:lang w:bidi="ar-SA"/>
              </w:rPr>
            </w:pPr>
            <w:r>
              <w:rPr>
                <w:kern w:val="0"/>
                <w:lang w:bidi="ar-SA"/>
              </w:rPr>
              <w:t>КК0001167</w:t>
            </w:r>
          </w:p>
        </w:tc>
      </w:tr>
    </w:tbl>
    <w:p>
      <w:pPr>
        <w:pStyle w:val="BodyText"/>
        <w:jc w:val="right"/>
        <w:rPr>
          <w:sz w:val="24"/>
          <w:szCs w:val="24"/>
        </w:rPr>
      </w:pPr>
      <w:r>
        <w:rPr>
          <w:sz w:val="24"/>
          <w:szCs w:val="24"/>
        </w:rPr>
      </w:r>
      <w:r>
        <w:br w:type="page"/>
      </w:r>
    </w:p>
    <w:p>
      <w:pPr>
        <w:pStyle w:val="BodyText"/>
        <w:jc w:val="right"/>
        <w:rPr>
          <w:sz w:val="24"/>
          <w:szCs w:val="24"/>
        </w:rPr>
      </w:pPr>
      <w:bookmarkStart w:id="101" w:name="__RefHeading___Toc24492_4117644551"/>
      <w:bookmarkStart w:id="102" w:name="_Toc161410597"/>
      <w:bookmarkEnd w:id="101"/>
      <w:r>
        <w:rPr>
          <w:sz w:val="24"/>
          <w:szCs w:val="24"/>
        </w:rPr>
        <w:t xml:space="preserve">Приложение № </w:t>
      </w:r>
      <w:r>
        <w:rPr>
          <w:sz w:val="24"/>
          <w:szCs w:val="24"/>
          <w:lang w:val="ru-RU"/>
        </w:rPr>
        <w:t>4</w:t>
      </w:r>
      <w:r>
        <w:rPr>
          <w:sz w:val="24"/>
          <w:szCs w:val="24"/>
        </w:rPr>
        <w:t xml:space="preserve"> к ТТ</w:t>
      </w:r>
      <w:bookmarkEnd w:id="102"/>
    </w:p>
    <w:p>
      <w:pPr>
        <w:pStyle w:val="Normal"/>
        <w:tabs>
          <w:tab w:val="clear" w:pos="708"/>
          <w:tab w:val="left" w:pos="900" w:leader="none"/>
        </w:tabs>
        <w:jc w:val="center"/>
        <w:rPr>
          <w:sz w:val="24"/>
          <w:szCs w:val="24"/>
        </w:rPr>
      </w:pPr>
      <w:r>
        <w:rPr>
          <w:sz w:val="24"/>
          <w:szCs w:val="24"/>
        </w:rPr>
        <w:t xml:space="preserve"> </w:t>
      </w:r>
      <w:r>
        <w:rPr>
          <w:b/>
          <w:sz w:val="24"/>
          <w:szCs w:val="24"/>
        </w:rPr>
        <w:t>Требования к оформлению и составлению</w:t>
      </w:r>
    </w:p>
    <w:p>
      <w:pPr>
        <w:pStyle w:val="Normal"/>
        <w:tabs>
          <w:tab w:val="clear" w:pos="708"/>
          <w:tab w:val="left" w:pos="1260" w:leader="none"/>
        </w:tabs>
        <w:ind w:left="1260" w:right="0" w:hanging="1080"/>
        <w:jc w:val="center"/>
        <w:rPr>
          <w:b/>
          <w:sz w:val="24"/>
          <w:szCs w:val="24"/>
        </w:rPr>
      </w:pPr>
      <w:r>
        <w:rPr>
          <w:b/>
          <w:sz w:val="24"/>
          <w:szCs w:val="24"/>
        </w:rPr>
        <w:t>смет или расчетов на оказание услуг</w:t>
      </w:r>
    </w:p>
    <w:p>
      <w:pPr>
        <w:pStyle w:val="Normal"/>
        <w:tabs>
          <w:tab w:val="clear" w:pos="708"/>
          <w:tab w:val="left" w:pos="1260" w:leader="none"/>
        </w:tabs>
        <w:ind w:left="1260" w:right="0" w:hanging="1080"/>
        <w:jc w:val="center"/>
        <w:rPr>
          <w:b/>
          <w:sz w:val="24"/>
          <w:szCs w:val="24"/>
        </w:rPr>
      </w:pPr>
      <w:r>
        <w:rPr>
          <w:b/>
          <w:sz w:val="24"/>
          <w:szCs w:val="24"/>
        </w:rPr>
        <w:t>по программе эксплуатации</w:t>
      </w:r>
    </w:p>
    <w:p>
      <w:pPr>
        <w:pStyle w:val="ConsPlusNormal"/>
        <w:widowControl/>
        <w:tabs>
          <w:tab w:val="clear" w:pos="708"/>
          <w:tab w:val="left" w:pos="1620" w:leader="none"/>
        </w:tabs>
        <w:ind w:left="0" w:right="0" w:firstLine="180"/>
        <w:jc w:val="center"/>
        <w:rPr>
          <w:rFonts w:ascii="Times New Roman" w:hAnsi="Times New Roman"/>
          <w:b/>
        </w:rPr>
      </w:pPr>
      <w:r>
        <w:rPr>
          <w:rFonts w:ascii="Times New Roman" w:hAnsi="Times New Roman"/>
          <w:b/>
        </w:rPr>
      </w:r>
    </w:p>
    <w:p>
      <w:pPr>
        <w:pStyle w:val="ConsPlusNormal"/>
        <w:widowControl/>
        <w:numPr>
          <w:ilvl w:val="0"/>
          <w:numId w:val="0"/>
        </w:numPr>
        <w:tabs>
          <w:tab w:val="clear" w:pos="708"/>
          <w:tab w:val="left" w:pos="1620" w:leader="none"/>
        </w:tabs>
        <w:ind w:left="0" w:right="0" w:hanging="0"/>
        <w:jc w:val="center"/>
        <w:rPr>
          <w:shd w:fill="auto" w:val="clear"/>
        </w:rPr>
      </w:pPr>
      <w:r>
        <w:rPr>
          <w:shd w:fill="auto" w:val="clear"/>
        </w:rPr>
      </w:r>
    </w:p>
    <w:p>
      <w:pPr>
        <w:pStyle w:val="ConsPlusNormal"/>
        <w:widowControl/>
        <w:numPr>
          <w:ilvl w:val="0"/>
          <w:numId w:val="9"/>
        </w:numPr>
        <w:tabs>
          <w:tab w:val="clear" w:pos="708"/>
          <w:tab w:val="left" w:pos="1134" w:leader="none"/>
        </w:tabs>
        <w:ind w:left="0" w:right="0" w:firstLine="567"/>
        <w:jc w:val="both"/>
        <w:rPr>
          <w:rFonts w:ascii="Times New Roman" w:hAnsi="Times New Roman"/>
          <w:shd w:fill="auto" w:val="clear"/>
        </w:rPr>
      </w:pPr>
      <w:r>
        <w:rPr>
          <w:rFonts w:cs="Times New Roman" w:ascii="Times New Roman" w:hAnsi="Times New Roman"/>
          <w:color w:val="000000"/>
          <w:sz w:val="24"/>
          <w:szCs w:val="24"/>
          <w:shd w:fill="auto" w:val="clear"/>
        </w:rPr>
        <w:t>Основные условия ценообразования изложены в приложении № 4 к настоящим тре</w:t>
        <w:softHyphen/>
        <w:t>бованиям и являются неотъемлемой частью требований к составлению сметной документации.</w:t>
      </w:r>
    </w:p>
    <w:p>
      <w:pPr>
        <w:pStyle w:val="ConsPlusNormal"/>
        <w:widowControl/>
        <w:numPr>
          <w:ilvl w:val="0"/>
          <w:numId w:val="9"/>
        </w:numPr>
        <w:tabs>
          <w:tab w:val="clear" w:pos="708"/>
          <w:tab w:val="left" w:pos="426" w:leader="none"/>
          <w:tab w:val="left" w:pos="993" w:leader="none"/>
        </w:tabs>
        <w:suppressAutoHyphens w:val="true"/>
        <w:spacing w:before="40" w:after="40"/>
        <w:ind w:left="0" w:right="0" w:firstLine="624"/>
        <w:jc w:val="both"/>
        <w:rPr/>
      </w:pPr>
      <w:r>
        <w:rPr>
          <w:rStyle w:val="Style15"/>
          <w:rFonts w:cs="Times New Roman" w:ascii="Times New Roman" w:hAnsi="Times New Roman"/>
          <w:sz w:val="24"/>
          <w:szCs w:val="24"/>
          <w:shd w:fill="auto" w:val="clear"/>
        </w:rPr>
        <w:t xml:space="preserve">Использование нормативов ценообразования, не зарегистрированных и не вошедших в ФРСН, </w:t>
      </w:r>
      <w:r>
        <w:rPr>
          <w:rStyle w:val="Style15"/>
          <w:rFonts w:cs="Times New Roman" w:ascii="Times New Roman" w:hAnsi="Times New Roman"/>
          <w:b/>
          <w:sz w:val="24"/>
          <w:szCs w:val="24"/>
          <w:u w:val="single"/>
          <w:shd w:fill="auto" w:val="clear"/>
        </w:rPr>
        <w:t>не допускается</w:t>
      </w:r>
      <w:r>
        <w:rPr>
          <w:rStyle w:val="Style15"/>
          <w:rFonts w:cs="Times New Roman" w:ascii="Times New Roman" w:hAnsi="Times New Roman"/>
          <w:sz w:val="24"/>
          <w:szCs w:val="24"/>
          <w:shd w:fill="auto" w:val="clear"/>
        </w:rPr>
        <w:t>, кроме случаев, прямо указанных в настоящих требованиях.</w:t>
      </w:r>
    </w:p>
    <w:p>
      <w:pPr>
        <w:pStyle w:val="ConsPlusNormal"/>
        <w:widowControl/>
        <w:numPr>
          <w:ilvl w:val="0"/>
          <w:numId w:val="9"/>
        </w:numPr>
        <w:tabs>
          <w:tab w:val="clear" w:pos="708"/>
          <w:tab w:val="left" w:pos="1134" w:leader="none"/>
        </w:tabs>
        <w:spacing w:before="40" w:after="40"/>
        <w:ind w:left="0" w:right="0" w:firstLine="567"/>
        <w:jc w:val="both"/>
        <w:rPr>
          <w:sz w:val="24"/>
          <w:szCs w:val="24"/>
        </w:rPr>
      </w:pPr>
      <w:r>
        <w:rPr>
          <w:rFonts w:cs="Times New Roman" w:ascii="Times New Roman" w:hAnsi="Times New Roman"/>
          <w:sz w:val="24"/>
          <w:szCs w:val="24"/>
          <w:shd w:fill="auto" w:val="clear"/>
        </w:rPr>
        <w:t>При составлении смет руководствоваться Методикой определения сметной стоимо</w:t>
        <w:softHyphen/>
        <w:t>сти строительства, реконструкции, капитального ремонта, сноса объектов капитального строи</w:t>
        <w:softHyphen/>
        <w:t>тельства, работ по сохранению объектов культурного наследия (памятников истории и культу</w:t>
        <w:softHyphen/>
        <w:t>ры) народов Российской Федерации на территории Российской Федерации», введенной в дей</w:t>
        <w:softHyphen/>
        <w:t>ствие Приказом Министерства строительства и ЖКХ РФ от 04.08.2020 № 421/пр. (далее - Мето</w:t>
        <w:softHyphen/>
        <w:t>дикой определения сметной стоимости строительства), с учетом изменений и дополнений, а так же Методикой определения сметной стоимости строительства с применением федеральных единичных расценок и их отдельных составляющих, утверждённой Приказом Министерства строительства и ЖКХ РФ от 08.08.2022г № 648/пр. с учетом изменений и дополнений.</w:t>
      </w:r>
    </w:p>
    <w:p>
      <w:pPr>
        <w:pStyle w:val="ConsPlusNormal"/>
        <w:widowControl/>
        <w:numPr>
          <w:ilvl w:val="0"/>
          <w:numId w:val="9"/>
        </w:numPr>
        <w:tabs>
          <w:tab w:val="clear" w:pos="708"/>
          <w:tab w:val="left" w:pos="426" w:leader="none"/>
          <w:tab w:val="left" w:pos="993" w:leader="none"/>
        </w:tabs>
        <w:spacing w:before="40" w:after="40"/>
        <w:ind w:left="0" w:right="0" w:firstLine="709"/>
        <w:jc w:val="both"/>
        <w:rPr>
          <w:sz w:val="24"/>
          <w:szCs w:val="24"/>
        </w:rPr>
      </w:pPr>
      <w:r>
        <w:rPr>
          <w:rFonts w:cs="Times New Roman" w:ascii="Times New Roman" w:hAnsi="Times New Roman"/>
          <w:sz w:val="24"/>
          <w:szCs w:val="24"/>
          <w:shd w:fill="auto" w:val="clear"/>
        </w:rPr>
        <w:t>При составлении смет на ремонт, реконструкцию и техническое перевооружение энергетического оборудования приоритетным является применение сборников «Базовых цен на работы по ремонту энергетического оборудования, адекватных условиям функционирования конкурентного рынка услуг по ремонту и техперевооружению» с учетом дополнений и измене</w:t>
        <w:softHyphen/>
        <w:t>ний 1-12 (далее – БЦ), «Методических указаний по формированию смет и калькуляций на ре</w:t>
        <w:softHyphen/>
        <w:t>монт энергооборудования» (СО 34.20.607-2005), разработанных АО «ЦКБ Энергоремонт». По</w:t>
        <w:softHyphen/>
        <w:t>правочный индекс к Базовым ценам учитывать в размере, не превышающем предельный ин</w:t>
        <w:softHyphen/>
        <w:t>декс, установленный для Филиала (ПО) ПАО «РусГидро».</w:t>
      </w:r>
    </w:p>
    <w:p>
      <w:pPr>
        <w:pStyle w:val="Xmsolistparagraph"/>
        <w:numPr>
          <w:ilvl w:val="0"/>
          <w:numId w:val="9"/>
        </w:numPr>
        <w:shd w:val="clear" w:fill="FFFFFF"/>
        <w:tabs>
          <w:tab w:val="clear" w:pos="708"/>
          <w:tab w:val="left" w:pos="1134" w:leader="none"/>
        </w:tabs>
        <w:spacing w:before="0" w:after="0"/>
        <w:ind w:left="0" w:right="0" w:firstLine="567"/>
        <w:jc w:val="both"/>
        <w:rPr/>
      </w:pPr>
      <w:r>
        <w:rPr>
          <w:rStyle w:val="Style15"/>
          <w:rFonts w:cs="Times New Roman"/>
          <w:color w:val="000000"/>
          <w:sz w:val="24"/>
          <w:szCs w:val="24"/>
          <w:shd w:fill="auto" w:val="clear"/>
        </w:rPr>
        <w:t>Сметная цена материальных ресурсов и (или) оборудования (далее –МТР), закупае</w:t>
        <w:softHyphen/>
        <w:t>мых на территории региона субъекта Российской Федерации,</w:t>
      </w:r>
      <w:r>
        <w:rPr>
          <w:rStyle w:val="Style15"/>
          <w:rFonts w:cs="Times New Roman"/>
          <w:color w:val="1F497D"/>
          <w:sz w:val="24"/>
          <w:szCs w:val="24"/>
          <w:shd w:fill="auto" w:val="clear"/>
        </w:rPr>
        <w:t xml:space="preserve"> </w:t>
      </w:r>
      <w:r>
        <w:rPr>
          <w:rStyle w:val="Style15"/>
          <w:rFonts w:cs="Times New Roman"/>
          <w:color w:val="000000"/>
          <w:sz w:val="24"/>
          <w:szCs w:val="24"/>
          <w:shd w:fill="auto" w:val="clear"/>
        </w:rPr>
        <w:t>определяется в базисном уровне цен по состоянию на 01.01.2022 с использованием ФСБЦ-2022, индексов по группам однород</w:t>
        <w:softHyphen/>
        <w:t>ных строительных ресурсов, размещенных во ФГИС ЦС по субъекту Российской Федерации, в котором расположен объект строительства.</w:t>
      </w:r>
    </w:p>
    <w:p>
      <w:pPr>
        <w:pStyle w:val="Style38"/>
        <w:numPr>
          <w:ilvl w:val="0"/>
          <w:numId w:val="0"/>
        </w:numPr>
        <w:tabs>
          <w:tab w:val="left" w:pos="791" w:leader="none"/>
          <w:tab w:val="left" w:pos="914" w:leader="none"/>
          <w:tab w:val="left" w:pos="1134" w:leader="none"/>
        </w:tabs>
        <w:suppressAutoHyphens w:val="true"/>
        <w:spacing w:before="0" w:after="0"/>
        <w:ind w:left="0" w:right="0" w:hanging="0"/>
        <w:jc w:val="both"/>
        <w:rPr/>
      </w:pPr>
      <w:r>
        <w:rPr>
          <w:rStyle w:val="Style15"/>
          <w:rFonts w:cs="Times New Roman"/>
          <w:sz w:val="24"/>
          <w:szCs w:val="24"/>
          <w:shd w:fill="auto" w:val="clear"/>
        </w:rPr>
        <w:t>При отсутствии</w:t>
      </w:r>
      <w:r>
        <w:rPr>
          <w:rStyle w:val="Style15"/>
          <w:rFonts w:cs="Times New Roman"/>
          <w:i/>
          <w:sz w:val="24"/>
          <w:szCs w:val="24"/>
          <w:shd w:fill="auto" w:val="clear"/>
        </w:rPr>
        <w:t xml:space="preserve"> </w:t>
      </w:r>
      <w:r>
        <w:rPr>
          <w:rStyle w:val="Style15"/>
          <w:rFonts w:cs="Times New Roman"/>
          <w:sz w:val="24"/>
          <w:szCs w:val="24"/>
          <w:shd w:fill="auto" w:val="clear"/>
        </w:rPr>
        <w:t>информации о сметных ценах в ФГИС ЦС и ФСБЦ по материальным ресурсам и оборудованию, их сметная цена формируется Методом анализа ТКП в соответствии с образ</w:t>
        <w:softHyphen/>
        <w:t>цом указанном в Приложением № 3 к настоящим требованиям.</w:t>
      </w:r>
    </w:p>
    <w:p>
      <w:pPr>
        <w:pStyle w:val="Normal"/>
        <w:numPr>
          <w:ilvl w:val="0"/>
          <w:numId w:val="9"/>
        </w:numPr>
        <w:tabs>
          <w:tab w:val="clear" w:pos="708"/>
          <w:tab w:val="left" w:pos="-325" w:leader="none"/>
        </w:tabs>
        <w:suppressAutoHyphens w:val="true"/>
        <w:ind w:left="0" w:right="0" w:firstLine="680"/>
        <w:jc w:val="both"/>
        <w:rPr/>
      </w:pPr>
      <w:r>
        <w:rPr>
          <w:rStyle w:val="Style15"/>
          <w:rFonts w:eastAsia="Arial" w:cs="Times New Roman"/>
          <w:sz w:val="24"/>
          <w:szCs w:val="24"/>
          <w:shd w:fill="auto" w:val="clear"/>
        </w:rPr>
        <w:t>При определении сметной стоимости в 2-х уровнях цен (текущем и базисном), стоимость указанных материальных ресурсов и оборудования, определяется в базисном уровне цен как отношение их стоимости в текущем уровне цен к соответствующим индексам измене</w:t>
        <w:softHyphen/>
        <w:t>ния сметной стоимости, примененным при составлении сметной документации.</w:t>
      </w:r>
    </w:p>
    <w:p>
      <w:pPr>
        <w:pStyle w:val="ListParagraph"/>
        <w:numPr>
          <w:ilvl w:val="0"/>
          <w:numId w:val="9"/>
        </w:numPr>
        <w:tabs>
          <w:tab w:val="clear" w:pos="708"/>
          <w:tab w:val="left" w:pos="709" w:leader="none"/>
          <w:tab w:val="left" w:pos="1134" w:leader="none"/>
        </w:tabs>
        <w:spacing w:lineRule="auto" w:line="240" w:before="40" w:after="40"/>
        <w:ind w:left="0" w:right="0" w:firstLine="567"/>
        <w:contextualSpacing w:val="false"/>
        <w:jc w:val="both"/>
        <w:rPr/>
      </w:pPr>
      <w:r>
        <w:rPr>
          <w:rStyle w:val="Style15"/>
          <w:b w:val="false"/>
          <w:bCs w:val="false"/>
          <w:color w:val="000000"/>
          <w:sz w:val="24"/>
          <w:szCs w:val="24"/>
          <w:shd w:fill="auto" w:val="clear"/>
        </w:rPr>
        <w:t>Затраты на эксплуатацию строительной техники, не учтенной нормами и расценка</w:t>
        <w:softHyphen/>
        <w:t>ми, включенными в ФРСН, определяются Методами, предусмотренными Методикой ПЦ (мето</w:t>
        <w:softHyphen/>
        <w:t>ды без использования сметных нормативов) и включаются в Главу 9 ССР.</w:t>
      </w:r>
    </w:p>
    <w:p>
      <w:pPr>
        <w:pStyle w:val="ConsPlusNormal"/>
        <w:widowControl/>
        <w:numPr>
          <w:ilvl w:val="0"/>
          <w:numId w:val="9"/>
        </w:numPr>
        <w:tabs>
          <w:tab w:val="clear" w:pos="708"/>
          <w:tab w:val="left" w:pos="567" w:leader="none"/>
          <w:tab w:val="left" w:pos="1134" w:leader="none"/>
        </w:tabs>
        <w:spacing w:before="40" w:after="40"/>
        <w:ind w:left="0" w:right="0" w:firstLine="567"/>
        <w:jc w:val="both"/>
        <w:rPr/>
      </w:pPr>
      <w:r>
        <w:rPr>
          <w:rStyle w:val="Style15"/>
          <w:rFonts w:cs="Times New Roman" w:ascii="Times New Roman" w:hAnsi="Times New Roman"/>
          <w:b w:val="false"/>
          <w:bCs w:val="false"/>
          <w:color w:val="000000"/>
          <w:sz w:val="24"/>
          <w:szCs w:val="24"/>
          <w:shd w:fill="auto" w:val="clear"/>
        </w:rPr>
        <w:t>При составлении сметной документации корректировка наименования работ, приня</w:t>
        <w:softHyphen/>
        <w:t>той расценки недопустима. При необходимости, вся дополнительная информация указывается в скобках, после указания наименования расценки (</w:t>
      </w:r>
      <w:r>
        <w:rPr>
          <w:rStyle w:val="Style15"/>
          <w:rFonts w:cs="Times New Roman" w:ascii="Times New Roman" w:hAnsi="Times New Roman"/>
          <w:b w:val="false"/>
          <w:bCs w:val="false"/>
          <w:i/>
          <w:color w:val="000000"/>
          <w:sz w:val="24"/>
          <w:szCs w:val="24"/>
          <w:shd w:fill="auto" w:val="clear"/>
        </w:rPr>
        <w:t>например, Разборка, очистка, замена уплот</w:t>
        <w:softHyphen/>
        <w:t>нения, сборка крышки ванны подшипника: диаметр шейки вала свыше 0.95 до 1,5 м (диаметр шейки вала – 1.3 м), л</w:t>
      </w:r>
      <w:r>
        <w:rPr>
          <w:rStyle w:val="Style15"/>
          <w:rFonts w:cs="Times New Roman" w:ascii="Times New Roman" w:hAnsi="Times New Roman"/>
          <w:b w:val="false"/>
          <w:bCs w:val="false"/>
          <w:color w:val="000000"/>
          <w:sz w:val="24"/>
          <w:szCs w:val="24"/>
          <w:shd w:fill="auto" w:val="clear"/>
        </w:rPr>
        <w:t xml:space="preserve">ибо указывается в примечании, через дополнительную информацию </w:t>
      </w:r>
      <w:r>
        <w:rPr>
          <w:rStyle w:val="Style15"/>
          <w:rFonts w:cs="Times New Roman" w:ascii="Times New Roman" w:hAnsi="Times New Roman"/>
          <w:b w:val="false"/>
          <w:bCs w:val="false"/>
          <w:color w:val="000000"/>
          <w:sz w:val="24"/>
          <w:szCs w:val="24"/>
          <w:shd w:fill="auto" w:val="clear"/>
          <w:lang w:val="en-US"/>
        </w:rPr>
        <w:t>(в ПК Гранд-Смета).</w:t>
      </w:r>
    </w:p>
    <w:p>
      <w:pPr>
        <w:pStyle w:val="Style38"/>
        <w:numPr>
          <w:ilvl w:val="0"/>
          <w:numId w:val="9"/>
        </w:numPr>
        <w:tabs>
          <w:tab w:val="left" w:pos="709" w:leader="none"/>
          <w:tab w:val="left" w:pos="851" w:leader="none"/>
          <w:tab w:val="left" w:pos="1276" w:leader="none"/>
        </w:tabs>
        <w:spacing w:before="40" w:after="40"/>
        <w:ind w:left="0" w:right="0" w:firstLine="709"/>
        <w:jc w:val="both"/>
        <w:rPr/>
      </w:pPr>
      <w:r>
        <w:rPr>
          <w:rStyle w:val="Style15"/>
          <w:rFonts w:cs="Times New Roman"/>
          <w:color w:val="000000"/>
          <w:sz w:val="24"/>
          <w:szCs w:val="24"/>
          <w:shd w:fill="auto" w:val="clear"/>
        </w:rPr>
        <w:t>При формировании сметной стоимости в ЛСР (ЛС) отдельно выделяется сметная стоимость по видам оборудования: инженерное; технологическое; лабораторное; транспортные средства; инструмент для технологических процессов; производственный и хозяйственный ин</w:t>
        <w:softHyphen/>
        <w:t>вентарь, в т.ч. мебель.</w:t>
      </w:r>
    </w:p>
    <w:p>
      <w:pPr>
        <w:pStyle w:val="Style38"/>
        <w:numPr>
          <w:ilvl w:val="0"/>
          <w:numId w:val="9"/>
        </w:numPr>
        <w:tabs>
          <w:tab w:val="left" w:pos="709" w:leader="none"/>
          <w:tab w:val="left" w:pos="851" w:leader="none"/>
          <w:tab w:val="left" w:pos="1276" w:leader="none"/>
        </w:tabs>
        <w:spacing w:before="40" w:after="40"/>
        <w:ind w:left="0" w:right="0" w:firstLine="709"/>
        <w:jc w:val="both"/>
        <w:rPr>
          <w:sz w:val="24"/>
          <w:szCs w:val="24"/>
        </w:rPr>
      </w:pPr>
      <w:r>
        <w:rPr>
          <w:rFonts w:cs="Times New Roman"/>
          <w:sz w:val="24"/>
          <w:szCs w:val="24"/>
          <w:shd w:fill="auto" w:val="clear"/>
        </w:rPr>
        <w:t>При использовании в сметах коэффициентов и лимитированных затрат указывать обоснование из технической части, вводных указаний сборников или других нормативных до</w:t>
        <w:softHyphen/>
        <w:t>кументов и приложений к ним.</w:t>
      </w:r>
    </w:p>
    <w:p>
      <w:pPr>
        <w:pStyle w:val="Style38"/>
        <w:numPr>
          <w:ilvl w:val="0"/>
          <w:numId w:val="9"/>
        </w:numPr>
        <w:tabs>
          <w:tab w:val="left" w:pos="709" w:leader="none"/>
          <w:tab w:val="left" w:pos="851" w:leader="none"/>
          <w:tab w:val="left" w:pos="1276" w:leader="none"/>
        </w:tabs>
        <w:spacing w:before="40" w:after="40"/>
        <w:ind w:left="0" w:right="0" w:firstLine="709"/>
        <w:jc w:val="both"/>
        <w:rPr/>
      </w:pPr>
      <w:r>
        <w:rPr>
          <w:rStyle w:val="Style15"/>
          <w:rFonts w:cs="Times New Roman"/>
          <w:color w:val="000000"/>
          <w:sz w:val="24"/>
          <w:szCs w:val="24"/>
          <w:shd w:fill="auto" w:val="clear"/>
        </w:rPr>
        <w:t>Поправочные коэффициенты из технической части к расценкам (например, на де</w:t>
        <w:softHyphen/>
        <w:t>монтаж или для учета особых условий выполнения работ) учитываются индивидуально для каждой позиции и в выходных формах при выгрузке в формат «Excel» и указываются попози</w:t>
        <w:softHyphen/>
        <w:t>ционно.</w:t>
      </w:r>
      <w:r>
        <w:rPr>
          <w:rStyle w:val="Style15"/>
          <w:rFonts w:cs="Times New Roman"/>
          <w:color w:val="FF0000"/>
          <w:sz w:val="24"/>
          <w:szCs w:val="24"/>
          <w:shd w:fill="auto" w:val="clear"/>
        </w:rPr>
        <w:t xml:space="preserve"> </w:t>
      </w:r>
      <w:r>
        <w:rPr>
          <w:rStyle w:val="Style15"/>
          <w:rFonts w:cs="Times New Roman"/>
          <w:sz w:val="24"/>
          <w:szCs w:val="24"/>
          <w:shd w:fill="auto" w:val="clear"/>
        </w:rPr>
        <w:t>Коэффициенты, учитывающие усложняющие факторы и условия производства работ, могут применяться одновременно с другими коэффициентами, предусмотренными сметными нормативами, включенными в ФРСН. При одновременном применении коэффициенты пере</w:t>
        <w:softHyphen/>
        <w:t>множаются, результат округляется до семи знаков после запятой.</w:t>
      </w:r>
    </w:p>
    <w:p>
      <w:pPr>
        <w:pStyle w:val="Style38"/>
        <w:numPr>
          <w:ilvl w:val="0"/>
          <w:numId w:val="9"/>
        </w:numPr>
        <w:tabs>
          <w:tab w:val="left" w:pos="709" w:leader="none"/>
          <w:tab w:val="left" w:pos="851" w:leader="none"/>
          <w:tab w:val="left" w:pos="1276" w:leader="none"/>
        </w:tabs>
        <w:spacing w:before="40" w:after="40"/>
        <w:ind w:left="0" w:right="0" w:firstLine="709"/>
        <w:jc w:val="both"/>
        <w:rPr/>
      </w:pPr>
      <w:r>
        <w:rPr>
          <w:rStyle w:val="Style15"/>
          <w:rFonts w:cs="Times New Roman"/>
          <w:color w:val="000000"/>
          <w:sz w:val="24"/>
          <w:szCs w:val="24"/>
          <w:shd w:fill="auto" w:val="clear"/>
        </w:rPr>
        <w:t>При внесении изменений в сметную документацию разрабатывается сводный смет</w:t>
        <w:softHyphen/>
        <w:t>ный расчет, определяющий общую сметную стоимость строительства с учетом произведенных изменений проектной и (или) иной технической документации на полный объем работ с учетом объемов корректировки (исключаемых и дополнительных). Локальные сметные расчеты (сме</w:t>
        <w:softHyphen/>
        <w:t>ты) разрабатываются отдельно на исключаемые и дополнительные объемы работ.</w:t>
      </w:r>
    </w:p>
    <w:p>
      <w:pPr>
        <w:pStyle w:val="Style38"/>
        <w:numPr>
          <w:ilvl w:val="0"/>
          <w:numId w:val="9"/>
        </w:numPr>
        <w:tabs>
          <w:tab w:val="left" w:pos="709" w:leader="none"/>
          <w:tab w:val="left" w:pos="851" w:leader="none"/>
          <w:tab w:val="left" w:pos="1276" w:leader="none"/>
        </w:tabs>
        <w:spacing w:before="40" w:after="40"/>
        <w:ind w:left="0" w:right="0" w:firstLine="709"/>
        <w:jc w:val="both"/>
        <w:rPr/>
      </w:pPr>
      <w:r>
        <w:rPr>
          <w:rStyle w:val="Style15"/>
          <w:rFonts w:cs="Times New Roman"/>
          <w:sz w:val="24"/>
          <w:szCs w:val="24"/>
          <w:shd w:fill="auto" w:val="clear"/>
        </w:rPr>
        <w:t xml:space="preserve">В </w:t>
      </w:r>
      <w:r>
        <w:rPr>
          <w:rStyle w:val="Style15"/>
          <w:rFonts w:cs="Times New Roman"/>
          <w:color w:val="000000"/>
          <w:sz w:val="24"/>
          <w:szCs w:val="24"/>
          <w:shd w:fill="auto" w:val="clear"/>
        </w:rPr>
        <w:t>ЛСР</w:t>
      </w:r>
      <w:r>
        <w:rPr>
          <w:rStyle w:val="Style15"/>
          <w:rFonts w:cs="Times New Roman"/>
          <w:sz w:val="24"/>
          <w:szCs w:val="24"/>
          <w:shd w:fill="auto" w:val="clear"/>
        </w:rPr>
        <w:t xml:space="preserve"> (ЛС) указывать величину накладных расходов по видам строительных, ре</w:t>
        <w:softHyphen/>
        <w:t>монтно-строительных, монтажных и пусконаладочных работ, на основании нормативных доку</w:t>
        <w:softHyphen/>
        <w:t>ментов, внесенных в ФРСН.</w:t>
      </w:r>
    </w:p>
    <w:p>
      <w:pPr>
        <w:pStyle w:val="Style38"/>
        <w:numPr>
          <w:ilvl w:val="0"/>
          <w:numId w:val="9"/>
        </w:numPr>
        <w:tabs>
          <w:tab w:val="left" w:pos="709" w:leader="none"/>
          <w:tab w:val="left" w:pos="851" w:leader="none"/>
          <w:tab w:val="left" w:pos="1276" w:leader="none"/>
        </w:tabs>
        <w:spacing w:before="40" w:after="40"/>
        <w:ind w:left="0" w:right="0" w:firstLine="709"/>
        <w:jc w:val="both"/>
        <w:rPr/>
      </w:pPr>
      <w:r>
        <w:rPr>
          <w:rStyle w:val="Style15"/>
          <w:rFonts w:cs="Times New Roman"/>
          <w:sz w:val="24"/>
          <w:szCs w:val="24"/>
          <w:shd w:fill="auto" w:val="clear"/>
        </w:rPr>
        <w:t xml:space="preserve">В </w:t>
      </w:r>
      <w:r>
        <w:rPr>
          <w:rStyle w:val="Style15"/>
          <w:rFonts w:cs="Times New Roman"/>
          <w:color w:val="000000"/>
          <w:sz w:val="24"/>
          <w:szCs w:val="24"/>
          <w:shd w:fill="auto" w:val="clear"/>
        </w:rPr>
        <w:t>ЛСР</w:t>
      </w:r>
      <w:r>
        <w:rPr>
          <w:rStyle w:val="Style15"/>
          <w:rFonts w:cs="Times New Roman"/>
          <w:sz w:val="24"/>
          <w:szCs w:val="24"/>
          <w:shd w:fill="auto" w:val="clear"/>
        </w:rPr>
        <w:t xml:space="preserve"> (ЛС) указывать величину сметной прибыли по видам строительных, ре</w:t>
        <w:softHyphen/>
        <w:t>монтно-строительных, монтажных и пусконаладочных работ, на основании актуальных норма</w:t>
        <w:softHyphen/>
        <w:t>тивных документов, внесенных в ФРСН.</w:t>
      </w:r>
    </w:p>
    <w:p>
      <w:pPr>
        <w:pStyle w:val="ListParagraph"/>
        <w:widowControl/>
        <w:numPr>
          <w:ilvl w:val="0"/>
          <w:numId w:val="9"/>
        </w:numPr>
        <w:tabs>
          <w:tab w:val="clear" w:pos="708"/>
          <w:tab w:val="left" w:pos="284" w:leader="none"/>
          <w:tab w:val="left" w:pos="709" w:leader="none"/>
          <w:tab w:val="left" w:pos="1247" w:leader="none"/>
          <w:tab w:val="left" w:pos="1276" w:leader="none"/>
        </w:tabs>
        <w:suppressAutoHyphens w:val="true"/>
        <w:overflowPunct w:val="false"/>
        <w:bidi w:val="0"/>
        <w:spacing w:lineRule="auto" w:line="240" w:before="40" w:after="40"/>
        <w:ind w:left="0" w:right="0" w:firstLine="737"/>
        <w:contextualSpacing w:val="false"/>
        <w:jc w:val="both"/>
        <w:rPr/>
      </w:pPr>
      <w:r>
        <w:rPr>
          <w:rStyle w:val="Style15"/>
          <w:rFonts w:eastAsia="Times New Roman" w:cs="Times New Roman"/>
          <w:kern w:val="0"/>
          <w:sz w:val="24"/>
          <w:szCs w:val="24"/>
          <w:lang w:val="ru-RU" w:eastAsia="ru-RU" w:bidi="ar-SA"/>
        </w:rPr>
        <w:t>Понижающий коэффициент начисляется в локальных сметах единым индексом в итогах (после начисления лимитированных затрат в случае составления одной сметы). При этом, понижающий коэффициент, указывается в размере не более 7-ми знаков после запятой.</w:t>
      </w:r>
    </w:p>
    <w:p>
      <w:pPr>
        <w:pStyle w:val="Normal"/>
        <w:numPr>
          <w:ilvl w:val="0"/>
          <w:numId w:val="9"/>
        </w:numPr>
        <w:tabs>
          <w:tab w:val="clear" w:pos="708"/>
          <w:tab w:val="left" w:pos="709" w:leader="none"/>
          <w:tab w:val="left" w:pos="851" w:leader="none"/>
          <w:tab w:val="left" w:pos="1276" w:leader="none"/>
        </w:tabs>
        <w:spacing w:before="40" w:after="40"/>
        <w:ind w:left="0" w:right="0" w:firstLine="709"/>
        <w:jc w:val="both"/>
        <w:rPr/>
      </w:pPr>
      <w:r>
        <w:rPr>
          <w:rStyle w:val="Style15"/>
          <w:rFonts w:cs="Times New Roman"/>
          <w:color w:val="000000"/>
          <w:sz w:val="24"/>
          <w:szCs w:val="24"/>
          <w:shd w:fill="auto" w:val="clear"/>
        </w:rPr>
        <w:t>Сметная</w:t>
      </w:r>
      <w:r>
        <w:rPr>
          <w:rStyle w:val="Style15"/>
          <w:rFonts w:cs="Times New Roman"/>
          <w:sz w:val="24"/>
          <w:szCs w:val="24"/>
          <w:shd w:fill="auto" w:val="clear"/>
        </w:rPr>
        <w:t xml:space="preserve"> стоимость пусконаладочных работ определяется на основании утвержден</w:t>
        <w:softHyphen/>
        <w:t xml:space="preserve">ных заказчиком программы и графика. Расчет стоимости пусконаладочных работ составлять с применением сметных нормативов, включенных в ФРСН. При определении сметной стоимости полного комплекса пусконаладочных работ на основании раздела </w:t>
      </w:r>
      <w:r>
        <w:rPr>
          <w:rStyle w:val="Style15"/>
          <w:rFonts w:cs="Times New Roman"/>
          <w:sz w:val="24"/>
          <w:szCs w:val="24"/>
          <w:shd w:fill="auto" w:val="clear"/>
          <w:lang w:val="en-US"/>
        </w:rPr>
        <w:t>VII</w:t>
      </w:r>
      <w:r>
        <w:rPr>
          <w:rStyle w:val="Style15"/>
          <w:rFonts w:cs="Times New Roman"/>
          <w:sz w:val="24"/>
          <w:szCs w:val="24"/>
          <w:shd w:fill="auto" w:val="clear"/>
        </w:rPr>
        <w:t>. Методики определения сметной стоимости строительства:</w:t>
      </w:r>
    </w:p>
    <w:p>
      <w:pPr>
        <w:pStyle w:val="ConsPlusNormal"/>
        <w:numPr>
          <w:ilvl w:val="0"/>
          <w:numId w:val="9"/>
        </w:numPr>
        <w:tabs>
          <w:tab w:val="clear" w:pos="708"/>
          <w:tab w:val="left" w:pos="709" w:leader="none"/>
          <w:tab w:val="left" w:pos="851" w:leader="none"/>
          <w:tab w:val="left" w:pos="1134" w:leader="none"/>
        </w:tabs>
        <w:spacing w:before="40" w:after="40"/>
        <w:ind w:left="0" w:right="0" w:firstLine="709"/>
        <w:jc w:val="both"/>
        <w:rPr>
          <w:sz w:val="24"/>
          <w:szCs w:val="24"/>
        </w:rPr>
      </w:pPr>
      <w:r>
        <w:rPr>
          <w:rFonts w:cs="Times New Roman" w:ascii="Times New Roman" w:hAnsi="Times New Roman"/>
          <w:sz w:val="24"/>
          <w:szCs w:val="24"/>
          <w:shd w:fill="auto" w:val="clear"/>
        </w:rPr>
        <w:t>Затраты на проведение пусконаладочных работ «вхолостую» по объектам произ</w:t>
        <w:softHyphen/>
        <w:t>водственного и непроизводственного назначения, связанных с получением дохода от реализа</w:t>
        <w:softHyphen/>
        <w:t>ции товаров (услуг) включаются в Главу 9 «Прочие работы и затраты» (графы 7 и 8) ССРСС. В соответствии с заданием Заказчика и при обосновании программами ПНР (комплексного опро</w:t>
        <w:softHyphen/>
        <w:t>бования оборудования), в сметной стоимости ПНР дополнительно могут учитываться: стои</w:t>
        <w:softHyphen/>
        <w:t>мость материальных, энергетических ресурсов, сырья и полуфабрикатов, используемых при проведении ПНР «вхолостую».</w:t>
      </w:r>
    </w:p>
    <w:p>
      <w:pPr>
        <w:pStyle w:val="ConsPlusNormal"/>
        <w:numPr>
          <w:ilvl w:val="0"/>
          <w:numId w:val="9"/>
        </w:numPr>
        <w:tabs>
          <w:tab w:val="clear" w:pos="708"/>
          <w:tab w:val="left" w:pos="709" w:leader="none"/>
          <w:tab w:val="left" w:pos="851" w:leader="none"/>
          <w:tab w:val="left" w:pos="1134" w:leader="none"/>
        </w:tabs>
        <w:spacing w:before="40" w:after="40"/>
        <w:ind w:left="0" w:right="0" w:firstLine="709"/>
        <w:jc w:val="both"/>
        <w:rPr/>
      </w:pPr>
      <w:r>
        <w:rPr>
          <w:rStyle w:val="Style15"/>
          <w:rFonts w:cs="Times New Roman" w:ascii="Times New Roman" w:hAnsi="Times New Roman"/>
          <w:b w:val="false"/>
          <w:bCs w:val="false"/>
          <w:color w:val="000000"/>
          <w:sz w:val="24"/>
          <w:szCs w:val="24"/>
          <w:shd w:fill="auto" w:val="clear"/>
        </w:rPr>
        <w:t>Пусконаладочные работы «под нагрузкой» для объектов производственного и не</w:t>
        <w:softHyphen/>
        <w:t>производственного назначения, связанных с получением дохода от реализации товаров (услуг) не относятся на сметную стоимость строительства и в сметной документации не учитываются. Исключением являются ПНР на особо опасных, технически сложных и уникальных объектах капитального строительства, где необходимость учета таких затрат определяется заказчиком. Данные работы оформляются отдельными локальными сметами в соответствии с Приложением № 1.5 к Требованиям по оформлению и составлению сметной документации на выполнение строительно-монтажных работ по программе ремонтов, реконструкции и техническому перево</w:t>
        <w:softHyphen/>
        <w:t>оружению и включаются в ССР.В ЛС на ПНР коэффициенты, учитывающие условия произ</w:t>
        <w:softHyphen/>
        <w:t>водства работ, начисляются только на те этапы работ, которые фактически производятся в дан</w:t>
        <w:softHyphen/>
        <w:t>ных условиях. Долю работ в общих затратах, для начисления коэффициента, принимать в соот</w:t>
        <w:softHyphen/>
        <w:t>ветствии со структурой пусконаладочных работ, приведенной в Общих положениях сборников на ПНР.</w:t>
      </w:r>
    </w:p>
    <w:p>
      <w:pPr>
        <w:pStyle w:val="ListParagraph"/>
        <w:numPr>
          <w:ilvl w:val="0"/>
          <w:numId w:val="9"/>
        </w:numPr>
        <w:tabs>
          <w:tab w:val="clear" w:pos="708"/>
          <w:tab w:val="left" w:pos="709" w:leader="none"/>
          <w:tab w:val="left" w:pos="1134" w:leader="none"/>
          <w:tab w:val="left" w:pos="1276" w:leader="none"/>
        </w:tabs>
        <w:spacing w:lineRule="auto" w:line="240" w:before="40" w:after="40"/>
        <w:ind w:left="0" w:right="0" w:firstLine="567"/>
        <w:contextualSpacing w:val="false"/>
        <w:jc w:val="both"/>
        <w:rPr>
          <w:sz w:val="24"/>
          <w:szCs w:val="24"/>
        </w:rPr>
      </w:pPr>
      <w:r>
        <w:rPr>
          <w:sz w:val="24"/>
          <w:szCs w:val="24"/>
          <w:shd w:fill="auto" w:val="clear"/>
        </w:rPr>
        <w:t xml:space="preserve">В </w:t>
      </w:r>
      <w:r>
        <w:rPr>
          <w:color w:val="000000"/>
          <w:sz w:val="24"/>
          <w:szCs w:val="24"/>
          <w:shd w:fill="auto" w:val="clear"/>
        </w:rPr>
        <w:t>локальных</w:t>
      </w:r>
      <w:r>
        <w:rPr>
          <w:sz w:val="24"/>
          <w:szCs w:val="24"/>
          <w:shd w:fill="auto" w:val="clear"/>
        </w:rPr>
        <w:t xml:space="preserve"> сметных расчетах построчные и итоговые суммы </w:t>
      </w:r>
      <w:r>
        <w:rPr>
          <w:b/>
          <w:sz w:val="24"/>
          <w:szCs w:val="24"/>
          <w:u w:val="single"/>
          <w:shd w:fill="auto" w:val="clear"/>
        </w:rPr>
        <w:t>округлять:</w:t>
      </w:r>
    </w:p>
    <w:p>
      <w:pPr>
        <w:pStyle w:val="ConsPlusNormal"/>
        <w:numPr>
          <w:ilvl w:val="0"/>
          <w:numId w:val="10"/>
        </w:numPr>
        <w:tabs>
          <w:tab w:val="clear" w:pos="708"/>
          <w:tab w:val="left" w:pos="709" w:leader="none"/>
          <w:tab w:val="left" w:pos="1134" w:leader="none"/>
        </w:tabs>
        <w:spacing w:before="40" w:after="40"/>
        <w:ind w:left="502" w:right="0" w:hanging="360"/>
        <w:jc w:val="both"/>
        <w:rPr>
          <w:sz w:val="24"/>
          <w:szCs w:val="24"/>
        </w:rPr>
      </w:pPr>
      <w:r>
        <w:rPr>
          <w:rFonts w:cs="Times New Roman" w:ascii="Times New Roman" w:hAnsi="Times New Roman"/>
          <w:sz w:val="24"/>
          <w:szCs w:val="24"/>
          <w:shd w:fill="auto" w:val="clear"/>
        </w:rPr>
        <w:t>при базисно-индексном методе до двух знаков после запятой (до копеек)</w:t>
      </w:r>
      <w:r>
        <w:rPr>
          <w:rFonts w:cs="Times New Roman" w:ascii="Times New Roman" w:hAnsi="Times New Roman"/>
          <w:b/>
          <w:sz w:val="24"/>
          <w:szCs w:val="24"/>
          <w:shd w:fill="auto" w:val="clear"/>
        </w:rPr>
        <w:t>.</w:t>
      </w:r>
    </w:p>
    <w:p>
      <w:pPr>
        <w:pStyle w:val="ConsPlusNormal"/>
        <w:numPr>
          <w:ilvl w:val="0"/>
          <w:numId w:val="10"/>
        </w:numPr>
        <w:tabs>
          <w:tab w:val="clear" w:pos="708"/>
          <w:tab w:val="left" w:pos="709" w:leader="none"/>
          <w:tab w:val="left" w:pos="1134" w:leader="none"/>
        </w:tabs>
        <w:spacing w:before="40" w:after="40"/>
        <w:ind w:left="502" w:right="0" w:hanging="360"/>
        <w:jc w:val="both"/>
        <w:rPr>
          <w:sz w:val="24"/>
          <w:szCs w:val="24"/>
        </w:rPr>
      </w:pPr>
      <w:r>
        <w:rPr>
          <w:rFonts w:cs="Times New Roman" w:ascii="Times New Roman" w:hAnsi="Times New Roman"/>
          <w:sz w:val="24"/>
          <w:szCs w:val="24"/>
          <w:shd w:fill="auto" w:val="clear"/>
        </w:rPr>
        <w:t xml:space="preserve">при ресурсно-индексном и ресурсным методах, а также в сметных расчетах на отдельные виды затрат - в рублях </w:t>
      </w:r>
      <w:r>
        <w:rPr>
          <w:rFonts w:cs="Times New Roman" w:ascii="Times New Roman" w:hAnsi="Times New Roman"/>
          <w:b/>
          <w:sz w:val="24"/>
          <w:szCs w:val="24"/>
          <w:shd w:fill="auto" w:val="clear"/>
        </w:rPr>
        <w:t>до целых единиц</w:t>
      </w:r>
      <w:r>
        <w:rPr>
          <w:rFonts w:cs="Times New Roman" w:ascii="Times New Roman" w:hAnsi="Times New Roman"/>
          <w:sz w:val="24"/>
          <w:szCs w:val="24"/>
          <w:shd w:fill="auto" w:val="clear"/>
        </w:rPr>
        <w:t>;</w:t>
      </w:r>
    </w:p>
    <w:p>
      <w:pPr>
        <w:pStyle w:val="ConsPlusNormal"/>
        <w:numPr>
          <w:ilvl w:val="0"/>
          <w:numId w:val="10"/>
        </w:numPr>
        <w:tabs>
          <w:tab w:val="clear" w:pos="708"/>
          <w:tab w:val="left" w:pos="709" w:leader="none"/>
          <w:tab w:val="left" w:pos="1134" w:leader="none"/>
        </w:tabs>
        <w:spacing w:before="40" w:after="40"/>
        <w:ind w:left="502" w:right="0" w:hanging="360"/>
        <w:jc w:val="both"/>
        <w:rPr/>
      </w:pPr>
      <w:r>
        <w:rPr>
          <w:rStyle w:val="Style15"/>
          <w:rFonts w:cs="Times New Roman" w:ascii="Times New Roman" w:hAnsi="Times New Roman"/>
          <w:sz w:val="24"/>
          <w:szCs w:val="24"/>
          <w:shd w:fill="auto" w:val="clear"/>
        </w:rPr>
        <w:t>в объектных сметных расчетах (сметах), сводном сметном расчете и сводке затрат - в руб</w:t>
        <w:softHyphen/>
        <w:t>лях с до двух знаков после запятой. Величину НДС не указывать.</w:t>
      </w:r>
    </w:p>
    <w:p>
      <w:pPr>
        <w:pStyle w:val="Style38"/>
        <w:numPr>
          <w:ilvl w:val="0"/>
          <w:numId w:val="9"/>
        </w:numPr>
        <w:tabs>
          <w:tab w:val="left" w:pos="709" w:leader="none"/>
          <w:tab w:val="left" w:pos="851" w:leader="none"/>
          <w:tab w:val="left" w:pos="1276" w:leader="none"/>
        </w:tabs>
        <w:spacing w:before="40" w:after="40"/>
        <w:ind w:left="0" w:right="0" w:firstLine="709"/>
        <w:jc w:val="both"/>
        <w:rPr/>
      </w:pPr>
      <w:r>
        <w:rPr>
          <w:rStyle w:val="Style15"/>
          <w:rFonts w:cs="Times New Roman"/>
          <w:color w:val="000000"/>
          <w:sz w:val="24"/>
          <w:szCs w:val="24"/>
          <w:shd w:fill="auto" w:val="clear"/>
        </w:rPr>
        <w:t>Выходные</w:t>
      </w:r>
      <w:r>
        <w:rPr>
          <w:rStyle w:val="Style15"/>
          <w:rFonts w:cs="Times New Roman"/>
          <w:sz w:val="24"/>
          <w:szCs w:val="24"/>
          <w:shd w:fill="auto" w:val="clear"/>
        </w:rPr>
        <w:t xml:space="preserve"> формы сметных расчетов должны соответствовать Образцу согласно Приложению 1.5.</w:t>
      </w:r>
    </w:p>
    <w:p>
      <w:pPr>
        <w:pStyle w:val="ListParagraph"/>
        <w:numPr>
          <w:ilvl w:val="0"/>
          <w:numId w:val="9"/>
        </w:numPr>
        <w:tabs>
          <w:tab w:val="clear" w:pos="708"/>
          <w:tab w:val="left" w:pos="709" w:leader="none"/>
          <w:tab w:val="left" w:pos="1134" w:leader="none"/>
          <w:tab w:val="left" w:pos="1276" w:leader="none"/>
        </w:tabs>
        <w:spacing w:lineRule="auto" w:line="240" w:before="40" w:after="40"/>
        <w:ind w:left="0" w:right="0" w:firstLine="567"/>
        <w:contextualSpacing w:val="false"/>
        <w:jc w:val="both"/>
        <w:rPr>
          <w:sz w:val="24"/>
          <w:szCs w:val="24"/>
        </w:rPr>
      </w:pPr>
      <w:r>
        <w:rPr>
          <w:color w:val="000000"/>
          <w:sz w:val="24"/>
          <w:szCs w:val="24"/>
          <w:shd w:fill="auto" w:val="clear"/>
        </w:rPr>
        <w:t xml:space="preserve">При наличии двух и более сметных расчетов составлять ССР в текущем уровне цен </w:t>
      </w:r>
      <w:r>
        <w:rPr>
          <w:sz w:val="24"/>
          <w:szCs w:val="24"/>
          <w:shd w:fill="auto" w:val="clear"/>
        </w:rPr>
        <w:t xml:space="preserve">по форме </w:t>
      </w:r>
      <w:r>
        <w:rPr>
          <w:color w:val="000000"/>
          <w:sz w:val="24"/>
          <w:szCs w:val="24"/>
          <w:shd w:fill="auto" w:val="clear"/>
        </w:rPr>
        <w:t>Приложения № 1.1 к Требованиям к оформлению и составлению сметной документа</w:t>
        <w:softHyphen/>
        <w:t>ции на выполнение строительно-монтажных работ по программе ремонтов, реконструкции и техническому перевооружению.</w:t>
      </w:r>
    </w:p>
    <w:p>
      <w:pPr>
        <w:pStyle w:val="ConsPlusNormal"/>
        <w:widowControl/>
        <w:numPr>
          <w:ilvl w:val="0"/>
          <w:numId w:val="9"/>
        </w:numPr>
        <w:tabs>
          <w:tab w:val="clear" w:pos="708"/>
          <w:tab w:val="left" w:pos="1134" w:leader="none"/>
        </w:tabs>
        <w:ind w:left="0" w:right="0" w:firstLine="567"/>
        <w:jc w:val="both"/>
        <w:rPr/>
      </w:pPr>
      <w:r>
        <w:rPr>
          <w:rStyle w:val="Style15"/>
          <w:rFonts w:cs="Times New Roman" w:ascii="Times New Roman" w:hAnsi="Times New Roman"/>
          <w:color w:val="000000"/>
          <w:sz w:val="24"/>
          <w:szCs w:val="24"/>
          <w:shd w:fill="auto" w:val="clear"/>
        </w:rPr>
        <w:t>В случае заключений дополнительных соглашений к договору (далее - д/с), ССР необходимо выполнять в накопительной форме с учетом ЛСР (ЛС) к основному договору и ко всем заключенным д/с к нему. В итогах ССР (справочно) указывать суммы изменения (умень</w:t>
        <w:softHyphen/>
        <w:t>шения, увеличения) основного договора на основании заключения д/с, которые определяются как разница между суммой ССР очередного д/с и стоимостью основного договора. Форма ССР с учетом заключения д/с к договору приведена в Приложении № 1.2 к Требованиям к оформле</w:t>
        <w:softHyphen/>
        <w:t xml:space="preserve">нию и составлению сметной документации на выполнение строительно-монтажных работ по программе ремонтов, реконструкции и техническому перевооружению. </w:t>
      </w:r>
    </w:p>
    <w:p>
      <w:pPr>
        <w:pStyle w:val="ListParagraph"/>
        <w:numPr>
          <w:ilvl w:val="0"/>
          <w:numId w:val="9"/>
        </w:numPr>
        <w:tabs>
          <w:tab w:val="clear" w:pos="708"/>
          <w:tab w:val="left" w:pos="709" w:leader="none"/>
          <w:tab w:val="left" w:pos="1134" w:leader="none"/>
          <w:tab w:val="left" w:pos="1276" w:leader="none"/>
        </w:tabs>
        <w:spacing w:lineRule="auto" w:line="240" w:before="40" w:after="40"/>
        <w:ind w:left="0" w:right="0" w:firstLine="567"/>
        <w:contextualSpacing w:val="false"/>
        <w:jc w:val="both"/>
        <w:rPr/>
      </w:pPr>
      <w:r>
        <w:rPr>
          <w:rStyle w:val="Style15"/>
          <w:b w:val="false"/>
          <w:bCs w:val="false"/>
          <w:color w:val="000000"/>
          <w:sz w:val="24"/>
          <w:szCs w:val="24"/>
        </w:rPr>
        <w:t>В сметных расчетах при исключении и добавлении ресурсов (материалов) необходи</w:t>
        <w:softHyphen/>
        <w:t>мо данные ресурсы относить в отдельную позицию, не допускается изменение внутри расцен</w:t>
        <w:softHyphen/>
        <w:t>ки.</w:t>
      </w:r>
    </w:p>
    <w:p>
      <w:pPr>
        <w:pStyle w:val="Normal"/>
        <w:widowControl/>
        <w:numPr>
          <w:ilvl w:val="0"/>
          <w:numId w:val="9"/>
        </w:numPr>
        <w:tabs>
          <w:tab w:val="clear" w:pos="708"/>
          <w:tab w:val="left" w:pos="1134" w:leader="none"/>
        </w:tabs>
        <w:ind w:left="0" w:right="0" w:firstLine="567"/>
        <w:jc w:val="both"/>
        <w:rPr>
          <w:sz w:val="24"/>
          <w:szCs w:val="24"/>
        </w:rPr>
      </w:pPr>
      <w:r>
        <w:rPr>
          <w:color w:val="000000"/>
          <w:sz w:val="24"/>
          <w:szCs w:val="24"/>
          <w:shd w:fill="auto" w:val="clear"/>
        </w:rPr>
        <w:t>ЛС в ССР в накопительной форме - по порядку.</w:t>
      </w:r>
    </w:p>
    <w:p>
      <w:pPr>
        <w:pStyle w:val="ConsPlusNormal"/>
        <w:widowControl/>
        <w:numPr>
          <w:ilvl w:val="0"/>
          <w:numId w:val="9"/>
        </w:numPr>
        <w:tabs>
          <w:tab w:val="clear" w:pos="708"/>
          <w:tab w:val="left" w:pos="1134" w:leader="none"/>
        </w:tabs>
        <w:ind w:left="0" w:right="0" w:firstLine="567"/>
        <w:jc w:val="both"/>
        <w:rPr>
          <w:sz w:val="24"/>
          <w:szCs w:val="24"/>
        </w:rPr>
      </w:pPr>
      <w:r>
        <w:rPr>
          <w:rFonts w:ascii="Times New Roman" w:hAnsi="Times New Roman"/>
          <w:color w:val="000000"/>
          <w:sz w:val="24"/>
          <w:szCs w:val="24"/>
          <w:shd w:fill="auto" w:val="clear"/>
        </w:rPr>
        <w:t>Разнесение затрат (сумм ЛС) по графам и главам ССР осуществлять в соответствии с указаниями Методики определения сметной стоимости строительства.</w:t>
      </w:r>
    </w:p>
    <w:p>
      <w:pPr>
        <w:sectPr>
          <w:headerReference w:type="default" r:id="rId33"/>
          <w:headerReference w:type="first" r:id="rId34"/>
          <w:type w:val="nextPage"/>
          <w:pgSz w:w="11906" w:h="16838"/>
          <w:pgMar w:left="1134" w:right="337" w:gutter="0" w:header="333" w:top="612" w:footer="0" w:bottom="343"/>
          <w:pgNumType w:fmt="decimal"/>
          <w:formProt w:val="false"/>
          <w:textDirection w:val="lrTb"/>
          <w:docGrid w:type="default" w:linePitch="360" w:charSpace="0"/>
        </w:sectPr>
        <w:pStyle w:val="ConsPlusNormal"/>
        <w:widowControl/>
        <w:numPr>
          <w:ilvl w:val="0"/>
          <w:numId w:val="9"/>
        </w:numPr>
        <w:tabs>
          <w:tab w:val="clear" w:pos="708"/>
          <w:tab w:val="left" w:pos="1134" w:leader="none"/>
        </w:tabs>
        <w:ind w:left="0" w:right="0" w:firstLine="567"/>
        <w:jc w:val="both"/>
        <w:rPr/>
      </w:pPr>
      <w:r>
        <w:rPr>
          <w:rStyle w:val="Style15"/>
          <w:rFonts w:ascii="Times New Roman" w:hAnsi="Times New Roman"/>
          <w:b w:val="false"/>
          <w:bCs w:val="false"/>
          <w:color w:val="000000"/>
          <w:sz w:val="24"/>
          <w:szCs w:val="24"/>
          <w:shd w:fill="auto" w:val="clear"/>
        </w:rPr>
        <w:t xml:space="preserve">В ССР, построчные и итоговые суммы </w:t>
      </w:r>
      <w:r>
        <w:rPr>
          <w:rStyle w:val="Style15"/>
          <w:rFonts w:cs="Times New Roman" w:ascii="Times New Roman" w:hAnsi="Times New Roman"/>
          <w:b w:val="false"/>
          <w:bCs w:val="false"/>
          <w:color w:val="000000"/>
          <w:sz w:val="24"/>
          <w:szCs w:val="24"/>
          <w:shd w:fill="auto" w:val="clear"/>
        </w:rPr>
        <w:t xml:space="preserve">указывать </w:t>
      </w:r>
      <w:r>
        <w:rPr>
          <w:rStyle w:val="Style15"/>
          <w:rFonts w:ascii="Times New Roman" w:hAnsi="Times New Roman"/>
          <w:b w:val="false"/>
          <w:bCs w:val="false"/>
          <w:color w:val="000000"/>
          <w:sz w:val="24"/>
          <w:szCs w:val="24"/>
          <w:shd w:fill="auto" w:val="clear"/>
        </w:rPr>
        <w:t>в рублях с округлением до двух знаков после запятой. Величину НДС не указывать. В случае выполнения Подрядчиком полно</w:t>
        <w:softHyphen/>
        <w:t>го комплекса пусконаладочных работ («вхолостую» и «под нагрузкой») сумму затрат на выпол</w:t>
        <w:softHyphen/>
        <w:t>нение пусконаладочных работ «под нагрузкой» включать за итогом ССР. Таким образом, общая стоимость работ по договору (дополнительному соглашению) будет включать в себя все затра</w:t>
        <w:softHyphen/>
        <w:t>ты Подрядчика в рамках конкретного договора, включая пусконаладочные работы «под нагруз</w:t>
        <w:softHyphen/>
        <w:t>кой» (для работ, выполняемых в рамках ТПиР). В случае если договором определена только предельная цена, то в ССР указываются составляющие стоимости в соответствии с догово</w:t>
        <w:softHyphen/>
        <w:t>ром.Сметная документация должна быть представлена на электронном носителе (в формате «xml» ПК «Гранд-Смета», «Excel», «pdf»), полностью соответствующему, бумажному варианту. Сметная документация в формате «Excel» должна быть представлена в одном файле с внесени</w:t>
        <w:softHyphen/>
        <w:t>ем ССР, ЛСР и других расчетов на отдельные листы (вкладки) документа.</w:t>
      </w:r>
      <w:r>
        <w:br w:type="page"/>
      </w:r>
    </w:p>
    <w:p>
      <w:pPr>
        <w:pStyle w:val="ListParagraph"/>
        <w:spacing w:lineRule="auto" w:line="240" w:before="0" w:after="0"/>
        <w:ind w:left="928" w:right="666" w:hanging="0"/>
        <w:contextualSpacing/>
        <w:jc w:val="right"/>
        <w:rPr>
          <w:rFonts w:ascii="Times New Roman" w:hAnsi="Times New Roman"/>
          <w:sz w:val="18"/>
          <w:szCs w:val="18"/>
          <w:shd w:fill="auto" w:val="clear"/>
        </w:rPr>
      </w:pPr>
      <w:r>
        <w:rPr>
          <w:sz w:val="18"/>
          <w:szCs w:val="18"/>
          <w:shd w:fill="auto" w:val="clear"/>
        </w:rPr>
        <w:t xml:space="preserve">Приложение №1.1 </w:t>
      </w:r>
    </w:p>
    <w:p>
      <w:pPr>
        <w:pStyle w:val="ConsPlusNormal"/>
        <w:ind w:left="928" w:right="666" w:hanging="0"/>
        <w:jc w:val="right"/>
        <w:rPr>
          <w:rFonts w:ascii="Times New Roman" w:hAnsi="Times New Roman"/>
          <w:sz w:val="18"/>
          <w:szCs w:val="18"/>
          <w:shd w:fill="auto" w:val="clear"/>
        </w:rPr>
      </w:pPr>
      <w:r>
        <w:rPr>
          <w:rFonts w:ascii="Times New Roman" w:hAnsi="Times New Roman"/>
          <w:sz w:val="18"/>
          <w:szCs w:val="18"/>
          <w:shd w:fill="auto" w:val="clear"/>
        </w:rPr>
        <w:t xml:space="preserve">к Требованиям к оформлению и составлению сметной </w:t>
      </w:r>
    </w:p>
    <w:p>
      <w:pPr>
        <w:pStyle w:val="ConsPlusNormal"/>
        <w:ind w:left="928" w:right="666" w:hanging="0"/>
        <w:jc w:val="right"/>
        <w:rPr>
          <w:rFonts w:ascii="Times New Roman" w:hAnsi="Times New Roman"/>
          <w:sz w:val="18"/>
          <w:szCs w:val="18"/>
          <w:shd w:fill="auto" w:val="clear"/>
        </w:rPr>
      </w:pPr>
      <w:r>
        <w:rPr>
          <w:rFonts w:ascii="Times New Roman" w:hAnsi="Times New Roman"/>
          <w:sz w:val="18"/>
          <w:szCs w:val="18"/>
          <w:shd w:fill="auto" w:val="clear"/>
        </w:rPr>
        <w:t xml:space="preserve">документации на выполнение работ по программе эксплуатации  </w:t>
      </w:r>
    </w:p>
    <w:tbl>
      <w:tblPr>
        <w:tblW w:w="14945" w:type="dxa"/>
        <w:jc w:val="left"/>
        <w:tblInd w:w="0" w:type="dxa"/>
        <w:tblLayout w:type="fixed"/>
        <w:tblCellMar>
          <w:top w:w="0" w:type="dxa"/>
          <w:left w:w="108" w:type="dxa"/>
          <w:bottom w:w="0" w:type="dxa"/>
          <w:right w:w="108" w:type="dxa"/>
        </w:tblCellMar>
      </w:tblPr>
      <w:tblGrid>
        <w:gridCol w:w="1237"/>
        <w:gridCol w:w="73"/>
        <w:gridCol w:w="1635"/>
        <w:gridCol w:w="163"/>
        <w:gridCol w:w="2427"/>
        <w:gridCol w:w="2007"/>
        <w:gridCol w:w="1581"/>
        <w:gridCol w:w="1813"/>
        <w:gridCol w:w="1705"/>
        <w:gridCol w:w="1990"/>
        <w:gridCol w:w="55"/>
        <w:gridCol w:w="257"/>
      </w:tblGrid>
      <w:tr>
        <w:trPr>
          <w:trHeight w:val="312" w:hRule="atLeast"/>
        </w:trPr>
        <w:tc>
          <w:tcPr>
            <w:tcW w:w="3108" w:type="dxa"/>
            <w:gridSpan w:val="4"/>
            <w:tcBorders/>
            <w:vAlign w:val="center"/>
          </w:tcPr>
          <w:p>
            <w:pPr>
              <w:pStyle w:val="Normal"/>
              <w:widowControl w:val="false"/>
              <w:spacing w:lineRule="auto" w:line="240" w:before="0" w:after="0"/>
              <w:contextualSpacing/>
              <w:rPr>
                <w:rFonts w:ascii="Times New Roman" w:hAnsi="Times New Roman"/>
                <w:b/>
                <w:sz w:val="18"/>
                <w:szCs w:val="18"/>
                <w:shd w:fill="auto" w:val="clear"/>
              </w:rPr>
            </w:pPr>
            <w:r>
              <w:rPr>
                <w:b/>
                <w:sz w:val="18"/>
                <w:szCs w:val="18"/>
                <w:shd w:fill="auto" w:val="clear"/>
              </w:rPr>
              <w:t>ОБРАЗЕЦ</w:t>
            </w:r>
          </w:p>
        </w:tc>
        <w:tc>
          <w:tcPr>
            <w:tcW w:w="242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200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1581"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813"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3695" w:type="dxa"/>
            <w:gridSpan w:val="2"/>
            <w:tcBorders/>
            <w:vAlign w:val="center"/>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r>
          </w:p>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Приложение __ от ______</w:t>
            </w:r>
          </w:p>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к Договору № _________ от ______</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rHeight w:val="312" w:hRule="atLeast"/>
        </w:trPr>
        <w:tc>
          <w:tcPr>
            <w:tcW w:w="3108" w:type="dxa"/>
            <w:gridSpan w:val="4"/>
            <w:tcBorders/>
            <w:vAlign w:val="center"/>
          </w:tcPr>
          <w:p>
            <w:pPr>
              <w:pStyle w:val="Normal"/>
              <w:widowControl w:val="false"/>
              <w:spacing w:lineRule="auto" w:line="240" w:before="0" w:after="0"/>
              <w:contextualSpacing/>
              <w:rPr>
                <w:rFonts w:ascii="Times New Roman" w:hAnsi="Times New Roman"/>
                <w:b/>
                <w:bCs/>
                <w:sz w:val="18"/>
                <w:szCs w:val="18"/>
                <w:shd w:fill="auto" w:val="clear"/>
              </w:rPr>
            </w:pPr>
            <w:r>
              <w:rPr>
                <w:b/>
                <w:bCs/>
                <w:sz w:val="18"/>
                <w:szCs w:val="18"/>
                <w:shd w:fill="auto" w:val="clear"/>
              </w:rPr>
            </w:r>
          </w:p>
          <w:p>
            <w:pPr>
              <w:pStyle w:val="Normal"/>
              <w:widowControl w:val="false"/>
              <w:spacing w:lineRule="auto" w:line="240" w:before="0" w:after="0"/>
              <w:contextualSpacing/>
              <w:rPr>
                <w:rFonts w:ascii="Times New Roman" w:hAnsi="Times New Roman"/>
                <w:b/>
                <w:bCs/>
                <w:sz w:val="18"/>
                <w:szCs w:val="18"/>
                <w:shd w:fill="auto" w:val="clear"/>
              </w:rPr>
            </w:pPr>
            <w:r>
              <w:rPr>
                <w:b/>
                <w:bCs/>
                <w:sz w:val="18"/>
                <w:szCs w:val="18"/>
                <w:shd w:fill="auto" w:val="clear"/>
              </w:rPr>
              <w:t>СОГЛАСОВАНО:</w:t>
            </w:r>
          </w:p>
        </w:tc>
        <w:tc>
          <w:tcPr>
            <w:tcW w:w="2427" w:type="dxa"/>
            <w:tcBorders/>
            <w:vAlign w:val="center"/>
          </w:tcPr>
          <w:p>
            <w:pPr>
              <w:pStyle w:val="Normal"/>
              <w:widowControl w:val="false"/>
              <w:spacing w:lineRule="auto" w:line="240" w:before="0" w:after="0"/>
              <w:contextualSpacing/>
              <w:rPr>
                <w:rFonts w:ascii="Times New Roman" w:hAnsi="Times New Roman"/>
                <w:b/>
                <w:bCs/>
                <w:sz w:val="18"/>
                <w:szCs w:val="18"/>
                <w:shd w:fill="auto" w:val="clear"/>
              </w:rPr>
            </w:pPr>
            <w:r>
              <w:rPr>
                <w:b/>
                <w:bCs/>
                <w:sz w:val="18"/>
                <w:szCs w:val="18"/>
                <w:shd w:fill="auto" w:val="clear"/>
              </w:rPr>
            </w:r>
          </w:p>
        </w:tc>
        <w:tc>
          <w:tcPr>
            <w:tcW w:w="200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1581"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5508" w:type="dxa"/>
            <w:gridSpan w:val="3"/>
            <w:tcBorders/>
            <w:vAlign w:val="center"/>
          </w:tcPr>
          <w:p>
            <w:pPr>
              <w:pStyle w:val="Normal"/>
              <w:widowControl w:val="false"/>
              <w:spacing w:lineRule="auto" w:line="240" w:before="0" w:after="0"/>
              <w:contextualSpacing/>
              <w:jc w:val="right"/>
              <w:rPr>
                <w:rFonts w:ascii="Times New Roman" w:hAnsi="Times New Roman"/>
                <w:b/>
                <w:bCs/>
                <w:sz w:val="18"/>
                <w:szCs w:val="18"/>
                <w:shd w:fill="auto" w:val="clear"/>
              </w:rPr>
            </w:pPr>
            <w:r>
              <w:rPr>
                <w:b/>
                <w:bCs/>
                <w:sz w:val="18"/>
                <w:szCs w:val="18"/>
                <w:shd w:fill="auto" w:val="clear"/>
              </w:rPr>
            </w:r>
          </w:p>
          <w:p>
            <w:pPr>
              <w:pStyle w:val="Normal"/>
              <w:widowControl w:val="false"/>
              <w:spacing w:lineRule="auto" w:line="240" w:before="0" w:after="0"/>
              <w:contextualSpacing/>
              <w:jc w:val="right"/>
              <w:rPr>
                <w:rFonts w:ascii="Times New Roman" w:hAnsi="Times New Roman"/>
                <w:b/>
                <w:bCs/>
                <w:sz w:val="18"/>
                <w:szCs w:val="18"/>
                <w:shd w:fill="auto" w:val="clear"/>
              </w:rPr>
            </w:pPr>
            <w:r>
              <w:rPr>
                <w:b/>
                <w:bCs/>
                <w:sz w:val="18"/>
                <w:szCs w:val="18"/>
                <w:shd w:fill="auto" w:val="clear"/>
              </w:rPr>
              <w:t>УТВЕРЖДАЮ:</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rHeight w:val="312" w:hRule="atLeast"/>
        </w:trPr>
        <w:tc>
          <w:tcPr>
            <w:tcW w:w="3108" w:type="dxa"/>
            <w:gridSpan w:val="4"/>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___________________ФИО</w:t>
            </w:r>
          </w:p>
        </w:tc>
        <w:tc>
          <w:tcPr>
            <w:tcW w:w="242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200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1581"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5508" w:type="dxa"/>
            <w:gridSpan w:val="3"/>
            <w:tcBorders/>
            <w:vAlign w:val="center"/>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xml:space="preserve">___________________ФИО       </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rHeight w:val="312" w:hRule="atLeast"/>
        </w:trPr>
        <w:tc>
          <w:tcPr>
            <w:tcW w:w="5535" w:type="dxa"/>
            <w:gridSpan w:val="5"/>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"_______" _____________ 20___ г.</w:t>
            </w:r>
          </w:p>
        </w:tc>
        <w:tc>
          <w:tcPr>
            <w:tcW w:w="200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1581"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5508" w:type="dxa"/>
            <w:gridSpan w:val="3"/>
            <w:tcBorders/>
            <w:vAlign w:val="center"/>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"______" ____________________ 20__ г.</w:t>
            </w:r>
          </w:p>
        </w:tc>
        <w:tc>
          <w:tcPr>
            <w:tcW w:w="312" w:type="dxa"/>
            <w:gridSpan w:val="2"/>
            <w:tcBorders/>
          </w:tcPr>
          <w:p>
            <w:pPr>
              <w:pStyle w:val="Normal"/>
              <w:widowControl w:val="false"/>
              <w:rPr>
                <w:shd w:fill="auto" w:val="clear"/>
              </w:rPr>
            </w:pPr>
            <w:r>
              <w:rPr>
                <w:shd w:fill="auto" w:val="clear"/>
              </w:rPr>
            </w:r>
          </w:p>
        </w:tc>
      </w:tr>
      <w:tr>
        <w:trPr>
          <w:trHeight w:val="365" w:hRule="atLeast"/>
        </w:trPr>
        <w:tc>
          <w:tcPr>
            <w:tcW w:w="1237" w:type="dxa"/>
            <w:tcBorders/>
            <w:vAlign w:val="center"/>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r>
          </w:p>
        </w:tc>
        <w:tc>
          <w:tcPr>
            <w:tcW w:w="1871" w:type="dxa"/>
            <w:gridSpan w:val="3"/>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242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7106" w:type="dxa"/>
            <w:gridSpan w:val="4"/>
            <w:tcBorders/>
            <w:vAlign w:val="center"/>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Сводный сметный расчет в сумме:______</w:t>
            </w:r>
          </w:p>
        </w:tc>
        <w:tc>
          <w:tcPr>
            <w:tcW w:w="1990"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руб. без НДС</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rHeight w:val="144" w:hRule="atLeast"/>
        </w:trPr>
        <w:tc>
          <w:tcPr>
            <w:tcW w:w="1237"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871" w:type="dxa"/>
            <w:gridSpan w:val="3"/>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2427" w:type="dxa"/>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5401" w:type="dxa"/>
            <w:gridSpan w:val="3"/>
            <w:tcBorders/>
            <w:vAlign w:val="center"/>
          </w:tcPr>
          <w:p>
            <w:pPr>
              <w:pStyle w:val="Normal"/>
              <w:widowControl w:val="false"/>
              <w:spacing w:lineRule="auto" w:line="240" w:before="0" w:after="0"/>
              <w:contextualSpacing/>
              <w:rPr>
                <w:rFonts w:ascii="Times New Roman" w:hAnsi="Times New Roman"/>
                <w:b/>
                <w:bCs/>
                <w:sz w:val="18"/>
                <w:szCs w:val="18"/>
                <w:shd w:fill="auto" w:val="clear"/>
              </w:rPr>
            </w:pPr>
            <w:r>
              <w:rPr>
                <w:b/>
                <w:bCs/>
                <w:sz w:val="18"/>
                <w:szCs w:val="18"/>
                <w:shd w:fill="auto" w:val="clear"/>
              </w:rPr>
              <w:t xml:space="preserve">СВОДНЫЙ СМЕТНЫЙ РАСЧЕТ </w:t>
            </w:r>
          </w:p>
        </w:tc>
        <w:tc>
          <w:tcPr>
            <w:tcW w:w="1705"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990"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rHeight w:val="108" w:hRule="atLeast"/>
        </w:trPr>
        <w:tc>
          <w:tcPr>
            <w:tcW w:w="1237" w:type="dxa"/>
            <w:tcBorders/>
            <w:vAlign w:val="bottom"/>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871" w:type="dxa"/>
            <w:gridSpan w:val="3"/>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9533" w:type="dxa"/>
            <w:gridSpan w:val="5"/>
            <w:tcBorders>
              <w:bottom w:val="single" w:sz="4" w:space="0" w:color="000000"/>
            </w:tcBorders>
            <w:vAlign w:val="center"/>
          </w:tcPr>
          <w:p>
            <w:pPr>
              <w:pStyle w:val="Normal"/>
              <w:widowControl w:val="false"/>
              <w:spacing w:lineRule="auto" w:line="240" w:before="0" w:after="0"/>
              <w:contextualSpacing/>
              <w:jc w:val="center"/>
              <w:rPr>
                <w:rFonts w:ascii="Times New Roman" w:hAnsi="Times New Roman"/>
                <w:i/>
                <w:i/>
                <w:iCs/>
                <w:sz w:val="18"/>
                <w:szCs w:val="18"/>
                <w:shd w:fill="auto" w:val="clear"/>
              </w:rPr>
            </w:pPr>
            <w:r>
              <w:rPr>
                <w:i/>
                <w:iCs/>
                <w:sz w:val="18"/>
                <w:szCs w:val="18"/>
                <w:shd w:fill="auto" w:val="clear"/>
              </w:rPr>
              <w:t> </w:t>
            </w:r>
          </w:p>
        </w:tc>
        <w:tc>
          <w:tcPr>
            <w:tcW w:w="1990" w:type="dxa"/>
            <w:tcBorders/>
            <w:vAlign w:val="center"/>
          </w:tcPr>
          <w:p>
            <w:pPr>
              <w:pStyle w:val="Normal"/>
              <w:widowControl w:val="false"/>
              <w:spacing w:lineRule="auto" w:line="240" w:before="0" w:after="0"/>
              <w:contextualSpacing/>
              <w:jc w:val="center"/>
              <w:rPr>
                <w:rFonts w:ascii="Times New Roman" w:hAnsi="Times New Roman"/>
                <w:i/>
                <w:i/>
                <w:iCs/>
                <w:sz w:val="18"/>
                <w:szCs w:val="18"/>
                <w:shd w:fill="auto" w:val="clear"/>
              </w:rPr>
            </w:pPr>
            <w:r>
              <w:rPr>
                <w:i/>
                <w:iCs/>
                <w:sz w:val="18"/>
                <w:szCs w:val="18"/>
                <w:shd w:fill="auto" w:val="clear"/>
              </w:rPr>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rHeight w:val="312" w:hRule="atLeast"/>
        </w:trPr>
        <w:tc>
          <w:tcPr>
            <w:tcW w:w="1237" w:type="dxa"/>
            <w:tcBorders/>
            <w:vAlign w:val="bottom"/>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871" w:type="dxa"/>
            <w:gridSpan w:val="3"/>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2427" w:type="dxa"/>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5401" w:type="dxa"/>
            <w:gridSpan w:val="3"/>
            <w:tcBorders/>
            <w:vAlign w:val="center"/>
          </w:tcPr>
          <w:p>
            <w:pPr>
              <w:pStyle w:val="Normal"/>
              <w:widowControl w:val="false"/>
              <w:spacing w:lineRule="auto" w:line="240" w:before="0" w:after="0"/>
              <w:contextualSpacing/>
              <w:rPr>
                <w:shd w:fill="auto" w:val="clear"/>
              </w:rPr>
            </w:pPr>
            <w:r>
              <w:rPr>
                <w:i/>
                <w:iCs/>
                <w:sz w:val="18"/>
                <w:szCs w:val="18"/>
                <w:shd w:fill="auto" w:val="clear"/>
              </w:rPr>
              <w:t>(наименование объекта)</w:t>
            </w:r>
          </w:p>
        </w:tc>
        <w:tc>
          <w:tcPr>
            <w:tcW w:w="1705"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990"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rHeight w:val="312" w:hRule="atLeast"/>
        </w:trPr>
        <w:tc>
          <w:tcPr>
            <w:tcW w:w="1237" w:type="dxa"/>
            <w:tcBorders/>
            <w:vAlign w:val="bottom"/>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7886" w:type="dxa"/>
            <w:gridSpan w:val="6"/>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Составлен в ценах, соответствующих периоду выполнения работ по договору</w:t>
            </w:r>
          </w:p>
        </w:tc>
        <w:tc>
          <w:tcPr>
            <w:tcW w:w="1813"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705"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1990" w:type="dxa"/>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r>
          </w:p>
        </w:tc>
        <w:tc>
          <w:tcPr>
            <w:tcW w:w="312" w:type="dxa"/>
            <w:gridSpan w:val="2"/>
            <w:tcBorders/>
          </w:tcPr>
          <w:p>
            <w:pPr>
              <w:pStyle w:val="Normal"/>
              <w:widowControl w:val="false"/>
              <w:rPr>
                <w:shd w:fill="auto" w:val="clear"/>
              </w:rPr>
            </w:pPr>
            <w:r>
              <w:rPr>
                <w:shd w:fill="auto" w:val="clear"/>
              </w:rPr>
            </w:r>
          </w:p>
        </w:tc>
      </w:tr>
      <w:tr>
        <w:trPr/>
        <w:tc>
          <w:tcPr>
            <w:tcW w:w="123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 xml:space="preserve">№ </w:t>
            </w:r>
            <w:r>
              <w:rPr>
                <w:sz w:val="18"/>
                <w:szCs w:val="18"/>
                <w:shd w:fill="auto" w:val="clear"/>
              </w:rPr>
              <w:t>пп</w:t>
            </w:r>
          </w:p>
        </w:tc>
        <w:tc>
          <w:tcPr>
            <w:tcW w:w="1871"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Номера сметных рас</w:t>
              <w:softHyphen/>
              <w:t>четов и смет</w:t>
            </w:r>
          </w:p>
        </w:tc>
        <w:tc>
          <w:tcPr>
            <w:tcW w:w="242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Наименование глав, объек</w:t>
              <w:softHyphen/>
              <w:t>тов, работ и затрат</w:t>
            </w:r>
          </w:p>
        </w:tc>
        <w:tc>
          <w:tcPr>
            <w:tcW w:w="7106" w:type="dxa"/>
            <w:gridSpan w:val="4"/>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Сметная стоимость, руб.</w:t>
            </w:r>
          </w:p>
        </w:tc>
        <w:tc>
          <w:tcPr>
            <w:tcW w:w="199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Общая сметная стои</w:t>
              <w:softHyphen/>
              <w:t>мость, руб.</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c>
          <w:tcPr>
            <w:tcW w:w="123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87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4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007"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строительных работ</w:t>
            </w:r>
          </w:p>
        </w:tc>
        <w:tc>
          <w:tcPr>
            <w:tcW w:w="1581"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монтажных ра</w:t>
              <w:softHyphen/>
              <w:t>бот</w:t>
            </w:r>
          </w:p>
        </w:tc>
        <w:tc>
          <w:tcPr>
            <w:tcW w:w="1813"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оборудования, мебе</w:t>
              <w:softHyphen/>
              <w:t>ли, инвентаря</w:t>
            </w:r>
          </w:p>
        </w:tc>
        <w:tc>
          <w:tcPr>
            <w:tcW w:w="1705" w:type="dxa"/>
            <w:vMerge w:val="restart"/>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прочих</w:t>
            </w:r>
          </w:p>
        </w:tc>
        <w:tc>
          <w:tcPr>
            <w:tcW w:w="199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c>
          <w:tcPr>
            <w:tcW w:w="123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871"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427"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c>
          <w:tcPr>
            <w:tcW w:w="20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581"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c>
          <w:tcPr>
            <w:tcW w:w="18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7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c>
          <w:tcPr>
            <w:tcW w:w="199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c>
          <w:tcPr>
            <w:tcW w:w="1237" w:type="dxa"/>
            <w:tcBorders>
              <w:left w:val="single" w:sz="4" w:space="0" w:color="000000"/>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1</w:t>
            </w:r>
          </w:p>
        </w:tc>
        <w:tc>
          <w:tcPr>
            <w:tcW w:w="1871" w:type="dxa"/>
            <w:gridSpan w:val="3"/>
            <w:tcBorders>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2</w:t>
            </w:r>
          </w:p>
        </w:tc>
        <w:tc>
          <w:tcPr>
            <w:tcW w:w="2427" w:type="dxa"/>
            <w:tcBorders>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3</w:t>
            </w:r>
          </w:p>
        </w:tc>
        <w:tc>
          <w:tcPr>
            <w:tcW w:w="2007" w:type="dxa"/>
            <w:tcBorders>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4</w:t>
            </w:r>
          </w:p>
        </w:tc>
        <w:tc>
          <w:tcPr>
            <w:tcW w:w="1581" w:type="dxa"/>
            <w:tcBorders>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5</w:t>
            </w:r>
          </w:p>
        </w:tc>
        <w:tc>
          <w:tcPr>
            <w:tcW w:w="1813" w:type="dxa"/>
            <w:tcBorders>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6</w:t>
            </w:r>
          </w:p>
        </w:tc>
        <w:tc>
          <w:tcPr>
            <w:tcW w:w="1705" w:type="dxa"/>
            <w:tcBorders>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7</w:t>
            </w:r>
          </w:p>
        </w:tc>
        <w:tc>
          <w:tcPr>
            <w:tcW w:w="1990" w:type="dxa"/>
            <w:tcBorders>
              <w:right w:val="single" w:sz="4" w:space="0" w:color="000000"/>
            </w:tcBorders>
            <w:vAlign w:val="center"/>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8</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c>
          <w:tcPr>
            <w:tcW w:w="1463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b/>
                <w:bCs/>
                <w:sz w:val="18"/>
                <w:szCs w:val="18"/>
                <w:shd w:fill="auto" w:val="clear"/>
              </w:rPr>
            </w:pPr>
            <w:r>
              <w:rPr>
                <w:b/>
                <w:bCs/>
                <w:sz w:val="18"/>
                <w:szCs w:val="18"/>
                <w:shd w:fill="auto" w:val="clear"/>
              </w:rPr>
              <w:t>Глава 2. Основные объекты строительства</w:t>
            </w:r>
          </w:p>
        </w:tc>
        <w:tc>
          <w:tcPr>
            <w:tcW w:w="312" w:type="dxa"/>
            <w:gridSpan w:val="2"/>
            <w:tcBorders/>
          </w:tcPr>
          <w:p>
            <w:pPr>
              <w:pStyle w:val="Normal"/>
              <w:widowControl w:val="false"/>
              <w:rPr>
                <w:shd w:fill="auto" w:val="clear"/>
              </w:rPr>
            </w:pPr>
            <w:r>
              <w:rPr>
                <w:shd w:fill="auto" w:val="clear"/>
              </w:rPr>
            </w:r>
          </w:p>
        </w:tc>
      </w:tr>
      <w:tr>
        <w:trPr/>
        <w:tc>
          <w:tcPr>
            <w:tcW w:w="123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1</w:t>
            </w:r>
          </w:p>
        </w:tc>
        <w:tc>
          <w:tcPr>
            <w:tcW w:w="1871" w:type="dxa"/>
            <w:gridSpan w:val="3"/>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02-01-01</w:t>
            </w:r>
          </w:p>
        </w:tc>
        <w:tc>
          <w:tcPr>
            <w:tcW w:w="2427" w:type="dxa"/>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2007"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813"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705"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right w:val="single" w:sz="4" w:space="0" w:color="000000"/>
            </w:tcBorders>
            <w:shd w:fill="FFFFFF" w:val="clear"/>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c>
          <w:tcPr>
            <w:tcW w:w="123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 </w:t>
            </w:r>
          </w:p>
        </w:tc>
        <w:tc>
          <w:tcPr>
            <w:tcW w:w="4298"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b/>
                <w:bCs/>
                <w:sz w:val="18"/>
                <w:szCs w:val="18"/>
                <w:shd w:fill="auto" w:val="clear"/>
              </w:rPr>
            </w:pPr>
            <w:r>
              <w:rPr>
                <w:b/>
                <w:bCs/>
                <w:sz w:val="18"/>
                <w:szCs w:val="18"/>
                <w:shd w:fill="auto" w:val="clear"/>
              </w:rPr>
              <w:t>Итого по Главе 2. "Основные объекты строи</w:t>
              <w:softHyphen/>
              <w:t>тельства"</w:t>
            </w:r>
          </w:p>
        </w:tc>
        <w:tc>
          <w:tcPr>
            <w:tcW w:w="2007"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813"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705"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312" w:type="dxa"/>
            <w:gridSpan w:val="2"/>
            <w:tcBorders/>
          </w:tcPr>
          <w:p>
            <w:pPr>
              <w:pStyle w:val="Normal"/>
              <w:widowControl w:val="false"/>
              <w:rPr>
                <w:shd w:fill="auto" w:val="clear"/>
              </w:rPr>
            </w:pPr>
            <w:r>
              <w:rPr>
                <w:shd w:fill="auto" w:val="clear"/>
              </w:rPr>
            </w:r>
          </w:p>
        </w:tc>
      </w:tr>
      <w:tr>
        <w:trPr/>
        <w:tc>
          <w:tcPr>
            <w:tcW w:w="123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 </w:t>
            </w:r>
          </w:p>
        </w:tc>
        <w:tc>
          <w:tcPr>
            <w:tcW w:w="4298"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b/>
                <w:bCs/>
                <w:sz w:val="18"/>
                <w:szCs w:val="18"/>
                <w:shd w:fill="auto" w:val="clear"/>
              </w:rPr>
            </w:pPr>
            <w:r>
              <w:rPr>
                <w:b/>
                <w:bCs/>
                <w:sz w:val="18"/>
                <w:szCs w:val="18"/>
                <w:shd w:fill="auto" w:val="clear"/>
              </w:rPr>
              <w:t>Итого по Главам 1-12</w:t>
            </w:r>
          </w:p>
        </w:tc>
        <w:tc>
          <w:tcPr>
            <w:tcW w:w="2007"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813"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705"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312" w:type="dxa"/>
            <w:gridSpan w:val="2"/>
            <w:tcBorders/>
          </w:tcPr>
          <w:p>
            <w:pPr>
              <w:pStyle w:val="Normal"/>
              <w:widowControl w:val="false"/>
              <w:rPr>
                <w:shd w:fill="auto" w:val="clear"/>
              </w:rPr>
            </w:pPr>
            <w:r>
              <w:rPr>
                <w:shd w:fill="auto" w:val="clear"/>
              </w:rPr>
            </w:r>
          </w:p>
        </w:tc>
      </w:tr>
      <w:tr>
        <w:trPr/>
        <w:tc>
          <w:tcPr>
            <w:tcW w:w="14631"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b/>
                <w:bCs/>
                <w:sz w:val="18"/>
                <w:szCs w:val="18"/>
                <w:shd w:fill="auto" w:val="clear"/>
              </w:rPr>
            </w:pPr>
            <w:r>
              <w:rPr>
                <w:b/>
                <w:bCs/>
                <w:sz w:val="18"/>
                <w:szCs w:val="18"/>
                <w:shd w:fill="auto" w:val="clear"/>
              </w:rPr>
              <w:t>Непредвиденные затраты</w:t>
            </w:r>
          </w:p>
        </w:tc>
        <w:tc>
          <w:tcPr>
            <w:tcW w:w="312" w:type="dxa"/>
            <w:gridSpan w:val="2"/>
            <w:tcBorders/>
          </w:tcPr>
          <w:p>
            <w:pPr>
              <w:pStyle w:val="Normal"/>
              <w:widowControl w:val="false"/>
              <w:rPr>
                <w:shd w:fill="auto" w:val="clear"/>
              </w:rPr>
            </w:pPr>
            <w:r>
              <w:rPr>
                <w:shd w:fill="auto" w:val="clear"/>
              </w:rPr>
            </w:r>
          </w:p>
        </w:tc>
      </w:tr>
      <w:tr>
        <w:trPr/>
        <w:tc>
          <w:tcPr>
            <w:tcW w:w="123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 </w:t>
            </w:r>
          </w:p>
        </w:tc>
        <w:tc>
          <w:tcPr>
            <w:tcW w:w="1871" w:type="dxa"/>
            <w:gridSpan w:val="3"/>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2427" w:type="dxa"/>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2007" w:type="dxa"/>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1813" w:type="dxa"/>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1705" w:type="dxa"/>
            <w:tcBorders>
              <w:bottom w:val="single" w:sz="4" w:space="0" w:color="000000"/>
              <w:right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right w:val="single" w:sz="4" w:space="0" w:color="000000"/>
            </w:tcBorders>
            <w:shd w:fill="FFFFFF" w:val="clear"/>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55" w:type="dxa"/>
            <w:tcBorders/>
          </w:tcPr>
          <w:p>
            <w:pPr>
              <w:pStyle w:val="Normal"/>
              <w:widowControl w:val="false"/>
              <w:rPr>
                <w:shd w:fill="auto" w:val="clear"/>
              </w:rPr>
            </w:pPr>
            <w:r>
              <w:rPr>
                <w:shd w:fill="auto" w:val="clear"/>
              </w:rPr>
            </w:r>
          </w:p>
        </w:tc>
        <w:tc>
          <w:tcPr>
            <w:tcW w:w="257" w:type="dxa"/>
            <w:tcBorders/>
          </w:tcPr>
          <w:p>
            <w:pPr>
              <w:pStyle w:val="Normal"/>
              <w:widowControl w:val="false"/>
              <w:rPr>
                <w:shd w:fill="auto" w:val="clear"/>
              </w:rPr>
            </w:pPr>
            <w:r>
              <w:rPr>
                <w:shd w:fill="auto" w:val="clear"/>
              </w:rPr>
            </w:r>
          </w:p>
        </w:tc>
      </w:tr>
      <w:tr>
        <w:trPr/>
        <w:tc>
          <w:tcPr>
            <w:tcW w:w="123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 </w:t>
            </w:r>
          </w:p>
        </w:tc>
        <w:tc>
          <w:tcPr>
            <w:tcW w:w="4298"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b/>
                <w:bCs/>
                <w:sz w:val="18"/>
                <w:szCs w:val="18"/>
                <w:shd w:fill="auto" w:val="clear"/>
              </w:rPr>
            </w:pPr>
            <w:r>
              <w:rPr>
                <w:b/>
                <w:bCs/>
                <w:sz w:val="18"/>
                <w:szCs w:val="18"/>
                <w:shd w:fill="auto" w:val="clear"/>
              </w:rPr>
              <w:t>Итого с учетом "Непредвиденные затраты"</w:t>
            </w:r>
          </w:p>
        </w:tc>
        <w:tc>
          <w:tcPr>
            <w:tcW w:w="2007"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813"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705"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312" w:type="dxa"/>
            <w:gridSpan w:val="2"/>
            <w:tcBorders/>
          </w:tcPr>
          <w:p>
            <w:pPr>
              <w:pStyle w:val="Normal"/>
              <w:widowControl w:val="false"/>
              <w:rPr>
                <w:shd w:fill="auto" w:val="clear"/>
              </w:rPr>
            </w:pPr>
            <w:r>
              <w:rPr>
                <w:shd w:fill="auto" w:val="clear"/>
              </w:rPr>
            </w:r>
          </w:p>
        </w:tc>
      </w:tr>
      <w:tr>
        <w:trPr/>
        <w:tc>
          <w:tcPr>
            <w:tcW w:w="1237" w:type="dxa"/>
            <w:tcBorders>
              <w:left w:val="single" w:sz="4" w:space="0" w:color="000000"/>
              <w:bottom w:val="single" w:sz="4" w:space="0" w:color="000000"/>
              <w:right w:val="single" w:sz="4" w:space="0" w:color="000000"/>
            </w:tcBorders>
          </w:tcPr>
          <w:p>
            <w:pPr>
              <w:pStyle w:val="Normal"/>
              <w:widowControl w:val="false"/>
              <w:spacing w:lineRule="auto" w:line="240" w:before="0" w:after="0"/>
              <w:contextualSpacing/>
              <w:jc w:val="center"/>
              <w:rPr>
                <w:rFonts w:ascii="Times New Roman" w:hAnsi="Times New Roman"/>
                <w:sz w:val="18"/>
                <w:szCs w:val="18"/>
                <w:shd w:fill="auto" w:val="clear"/>
              </w:rPr>
            </w:pPr>
            <w:r>
              <w:rPr>
                <w:sz w:val="18"/>
                <w:szCs w:val="18"/>
                <w:shd w:fill="auto" w:val="clear"/>
              </w:rPr>
              <w:t> </w:t>
            </w:r>
          </w:p>
        </w:tc>
        <w:tc>
          <w:tcPr>
            <w:tcW w:w="4298"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b/>
                <w:bCs/>
                <w:sz w:val="18"/>
                <w:szCs w:val="18"/>
                <w:shd w:fill="auto" w:val="clear"/>
              </w:rPr>
            </w:pPr>
            <w:r>
              <w:rPr>
                <w:b/>
                <w:bCs/>
                <w:sz w:val="18"/>
                <w:szCs w:val="18"/>
                <w:shd w:fill="auto" w:val="clear"/>
              </w:rPr>
              <w:t>Итого по сводному расчету</w:t>
            </w:r>
          </w:p>
        </w:tc>
        <w:tc>
          <w:tcPr>
            <w:tcW w:w="2007"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813"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705"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right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312" w:type="dxa"/>
            <w:gridSpan w:val="2"/>
            <w:tcBorders/>
          </w:tcPr>
          <w:p>
            <w:pPr>
              <w:pStyle w:val="Normal"/>
              <w:widowControl w:val="false"/>
              <w:rPr>
                <w:shd w:fill="auto" w:val="clear"/>
              </w:rPr>
            </w:pPr>
            <w:r>
              <w:rPr>
                <w:shd w:fill="auto" w:val="clear"/>
              </w:rPr>
            </w:r>
          </w:p>
        </w:tc>
      </w:tr>
      <w:tr>
        <w:trPr/>
        <w:tc>
          <w:tcPr>
            <w:tcW w:w="1310" w:type="dxa"/>
            <w:gridSpan w:val="2"/>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r>
          </w:p>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r>
          </w:p>
        </w:tc>
        <w:tc>
          <w:tcPr>
            <w:tcW w:w="1635" w:type="dxa"/>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Составил:</w:t>
            </w:r>
          </w:p>
        </w:tc>
        <w:tc>
          <w:tcPr>
            <w:tcW w:w="2590" w:type="dxa"/>
            <w:gridSpan w:val="2"/>
            <w:tcBorders>
              <w:bottom w:val="single" w:sz="4" w:space="0" w:color="000000"/>
            </w:tcBorders>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2007" w:type="dxa"/>
            <w:tcBorders>
              <w:bottom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3518" w:type="dxa"/>
            <w:gridSpan w:val="2"/>
            <w:tcBorders>
              <w:bottom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c>
          <w:tcPr>
            <w:tcW w:w="312" w:type="dxa"/>
            <w:gridSpan w:val="2"/>
            <w:tcBorders>
              <w:bottom w:val="single" w:sz="4" w:space="0" w:color="000000"/>
            </w:tcBorders>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r>
      <w:tr>
        <w:trPr>
          <w:trHeight w:val="312" w:hRule="atLeast"/>
        </w:trPr>
        <w:tc>
          <w:tcPr>
            <w:tcW w:w="1310" w:type="dxa"/>
            <w:gridSpan w:val="2"/>
            <w:tcBorders/>
            <w:vAlign w:val="bottom"/>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r>
          </w:p>
        </w:tc>
        <w:tc>
          <w:tcPr>
            <w:tcW w:w="1635" w:type="dxa"/>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r>
          </w:p>
        </w:tc>
        <w:tc>
          <w:tcPr>
            <w:tcW w:w="2590" w:type="dxa"/>
            <w:gridSpan w:val="2"/>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 </w:t>
            </w:r>
          </w:p>
        </w:tc>
        <w:tc>
          <w:tcPr>
            <w:tcW w:w="7106" w:type="dxa"/>
            <w:gridSpan w:val="4"/>
            <w:tcBorders>
              <w:top w:val="single" w:sz="4" w:space="0" w:color="000000"/>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(должность, подпись, расшифровка)</w:t>
            </w:r>
          </w:p>
        </w:tc>
        <w:tc>
          <w:tcPr>
            <w:tcW w:w="1990" w:type="dxa"/>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 </w:t>
            </w:r>
          </w:p>
        </w:tc>
        <w:tc>
          <w:tcPr>
            <w:tcW w:w="312" w:type="dxa"/>
            <w:gridSpan w:val="2"/>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 </w:t>
            </w:r>
          </w:p>
        </w:tc>
      </w:tr>
      <w:tr>
        <w:trPr>
          <w:trHeight w:val="312" w:hRule="atLeast"/>
        </w:trPr>
        <w:tc>
          <w:tcPr>
            <w:tcW w:w="1310" w:type="dxa"/>
            <w:gridSpan w:val="2"/>
            <w:tcBorders/>
            <w:vAlign w:val="bottom"/>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r>
          </w:p>
        </w:tc>
        <w:tc>
          <w:tcPr>
            <w:tcW w:w="1635" w:type="dxa"/>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Проверил:</w:t>
            </w:r>
          </w:p>
        </w:tc>
        <w:tc>
          <w:tcPr>
            <w:tcW w:w="2590" w:type="dxa"/>
            <w:gridSpan w:val="2"/>
            <w:tcBorders>
              <w:bottom w:val="single" w:sz="4" w:space="0" w:color="000000"/>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2007" w:type="dxa"/>
            <w:tcBorders>
              <w:bottom w:val="single" w:sz="4" w:space="0" w:color="000000"/>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1581" w:type="dxa"/>
            <w:tcBorders>
              <w:bottom w:val="single" w:sz="4" w:space="0" w:color="000000"/>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3518" w:type="dxa"/>
            <w:gridSpan w:val="2"/>
            <w:tcBorders>
              <w:bottom w:val="single" w:sz="4" w:space="0" w:color="000000"/>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1990" w:type="dxa"/>
            <w:tcBorders>
              <w:bottom w:val="single" w:sz="4" w:space="0" w:color="000000"/>
            </w:tcBorders>
            <w:vAlign w:val="bottom"/>
          </w:tcPr>
          <w:p>
            <w:pPr>
              <w:pStyle w:val="Normal"/>
              <w:widowControl w:val="false"/>
              <w:spacing w:lineRule="auto" w:line="240" w:before="0" w:after="0"/>
              <w:contextualSpacing/>
              <w:rPr>
                <w:rFonts w:ascii="Times New Roman" w:hAnsi="Times New Roman"/>
                <w:sz w:val="18"/>
                <w:szCs w:val="18"/>
                <w:shd w:fill="auto" w:val="clear"/>
              </w:rPr>
            </w:pPr>
            <w:r>
              <w:rPr>
                <w:sz w:val="18"/>
                <w:szCs w:val="18"/>
                <w:shd w:fill="auto" w:val="clear"/>
              </w:rPr>
              <w:t> </w:t>
            </w:r>
          </w:p>
        </w:tc>
        <w:tc>
          <w:tcPr>
            <w:tcW w:w="312" w:type="dxa"/>
            <w:gridSpan w:val="2"/>
            <w:tcBorders>
              <w:bottom w:val="single" w:sz="4" w:space="0" w:color="000000"/>
            </w:tcBorders>
            <w:vAlign w:val="bottom"/>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t> </w:t>
            </w:r>
          </w:p>
        </w:tc>
      </w:tr>
      <w:tr>
        <w:trPr>
          <w:trHeight w:val="724" w:hRule="atLeast"/>
        </w:trPr>
        <w:tc>
          <w:tcPr>
            <w:tcW w:w="1310" w:type="dxa"/>
            <w:gridSpan w:val="2"/>
            <w:tcBorders/>
            <w:vAlign w:val="bottom"/>
          </w:tcPr>
          <w:p>
            <w:pPr>
              <w:pStyle w:val="Normal"/>
              <w:widowControl w:val="false"/>
              <w:spacing w:lineRule="auto" w:line="240" w:before="0" w:after="0"/>
              <w:contextualSpacing/>
              <w:jc w:val="right"/>
              <w:rPr>
                <w:rFonts w:ascii="Times New Roman" w:hAnsi="Times New Roman"/>
                <w:sz w:val="18"/>
                <w:szCs w:val="18"/>
                <w:shd w:fill="auto" w:val="clear"/>
              </w:rPr>
            </w:pPr>
            <w:r>
              <w:rPr>
                <w:sz w:val="18"/>
                <w:szCs w:val="18"/>
                <w:shd w:fill="auto" w:val="clear"/>
              </w:rPr>
            </w:r>
          </w:p>
        </w:tc>
        <w:tc>
          <w:tcPr>
            <w:tcW w:w="1635" w:type="dxa"/>
            <w:tcBorders/>
            <w:vAlign w:val="bottom"/>
          </w:tcPr>
          <w:p>
            <w:pPr>
              <w:pStyle w:val="Normal"/>
              <w:widowControl w:val="false"/>
              <w:spacing w:lineRule="auto" w:line="240" w:before="0" w:after="0"/>
              <w:contextualSpacing/>
              <w:rPr>
                <w:shd w:fill="auto" w:val="clear"/>
              </w:rPr>
            </w:pPr>
            <w:r>
              <w:rPr/>
              <w:object>
                <v:shapetype id="_x0000_tole_rId35" coordsize="21600,21600" o:spt="ole_rId3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5" type="_x0000_tole_rId35" style="width:68.3pt;height:43.8pt;mso-wrap-distance-right:0pt" filled="f" o:ole="">
                  <v:imagedata r:id="rId36" o:title=""/>
                </v:shape>
                <o:OLEObject Type="Embed" ProgID="Excel.Sheet.12" ShapeID="ole_rId35" DrawAspect="Icon" ObjectID="_143683397" r:id="rId35"/>
              </w:object>
            </w:r>
          </w:p>
        </w:tc>
        <w:tc>
          <w:tcPr>
            <w:tcW w:w="2590" w:type="dxa"/>
            <w:gridSpan w:val="2"/>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 </w:t>
            </w:r>
          </w:p>
        </w:tc>
        <w:tc>
          <w:tcPr>
            <w:tcW w:w="7106" w:type="dxa"/>
            <w:gridSpan w:val="4"/>
            <w:tcBorders>
              <w:top w:val="single" w:sz="4" w:space="0" w:color="000000"/>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(должность, подпись, расшифровка)</w:t>
            </w:r>
          </w:p>
        </w:tc>
        <w:tc>
          <w:tcPr>
            <w:tcW w:w="1990" w:type="dxa"/>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 </w:t>
            </w:r>
          </w:p>
        </w:tc>
        <w:tc>
          <w:tcPr>
            <w:tcW w:w="312" w:type="dxa"/>
            <w:gridSpan w:val="2"/>
            <w:tcBorders/>
          </w:tcPr>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t> </w:t>
            </w:r>
          </w:p>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r>
          </w:p>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r>
          </w:p>
          <w:p>
            <w:pPr>
              <w:pStyle w:val="Normal"/>
              <w:widowControl w:val="false"/>
              <w:spacing w:lineRule="auto" w:line="240" w:before="0" w:after="0"/>
              <w:contextualSpacing/>
              <w:rPr>
                <w:rFonts w:ascii="Times New Roman" w:hAnsi="Times New Roman"/>
                <w:i/>
                <w:i/>
                <w:iCs/>
                <w:sz w:val="18"/>
                <w:szCs w:val="18"/>
                <w:shd w:fill="auto" w:val="clear"/>
              </w:rPr>
            </w:pPr>
            <w:r>
              <w:rPr>
                <w:i/>
                <w:iCs/>
                <w:sz w:val="18"/>
                <w:szCs w:val="18"/>
                <w:shd w:fill="auto" w:val="clear"/>
              </w:rPr>
            </w:r>
          </w:p>
        </w:tc>
      </w:tr>
    </w:tbl>
    <w:p>
      <w:pPr>
        <w:pStyle w:val="Normal"/>
        <w:spacing w:lineRule="auto" w:line="240" w:before="0" w:after="0"/>
        <w:ind w:left="8646" w:right="0" w:firstLine="720"/>
        <w:jc w:val="right"/>
        <w:rPr>
          <w:shd w:fill="auto" w:val="clear"/>
        </w:rPr>
      </w:pPr>
      <w:r>
        <w:rPr>
          <w:sz w:val="20"/>
          <w:szCs w:val="20"/>
          <w:shd w:fill="auto" w:val="clear"/>
        </w:rPr>
        <w:t xml:space="preserve">Приложение №1.2 </w:t>
      </w:r>
    </w:p>
    <w:p>
      <w:pPr>
        <w:pStyle w:val="ConsPlusNormal"/>
        <w:ind w:left="5811" w:right="0" w:firstLine="720"/>
        <w:jc w:val="right"/>
        <w:rPr>
          <w:rFonts w:ascii="Times New Roman" w:hAnsi="Times New Roman"/>
          <w:sz w:val="20"/>
          <w:szCs w:val="20"/>
          <w:shd w:fill="auto" w:val="clear"/>
        </w:rPr>
      </w:pPr>
      <w:r>
        <w:rPr>
          <w:rFonts w:ascii="Times New Roman" w:hAnsi="Times New Roman"/>
          <w:sz w:val="20"/>
          <w:szCs w:val="20"/>
          <w:shd w:fill="auto" w:val="clear"/>
        </w:rPr>
        <w:t xml:space="preserve">к Требованиям к оформлению и составлению </w:t>
      </w:r>
    </w:p>
    <w:p>
      <w:pPr>
        <w:pStyle w:val="ConsPlusNormal"/>
        <w:ind w:left="5811" w:right="0" w:firstLine="720"/>
        <w:jc w:val="right"/>
        <w:rPr>
          <w:rFonts w:ascii="Times New Roman" w:hAnsi="Times New Roman"/>
          <w:sz w:val="20"/>
          <w:szCs w:val="20"/>
          <w:shd w:fill="auto" w:val="clear"/>
        </w:rPr>
      </w:pPr>
      <w:r>
        <w:rPr>
          <w:rFonts w:ascii="Times New Roman" w:hAnsi="Times New Roman"/>
          <w:sz w:val="20"/>
          <w:szCs w:val="20"/>
          <w:shd w:fill="auto" w:val="clear"/>
        </w:rPr>
        <w:t xml:space="preserve">сметной документации на выполнение работ </w:t>
      </w:r>
    </w:p>
    <w:p>
      <w:pPr>
        <w:pStyle w:val="ConsPlusNormal"/>
        <w:ind w:left="5811" w:right="0" w:firstLine="720"/>
        <w:jc w:val="right"/>
        <w:rPr>
          <w:rFonts w:ascii="Times New Roman" w:hAnsi="Times New Roman"/>
          <w:sz w:val="20"/>
          <w:szCs w:val="20"/>
          <w:shd w:fill="auto" w:val="clear"/>
        </w:rPr>
      </w:pPr>
      <w:r>
        <w:rPr>
          <w:rFonts w:ascii="Times New Roman" w:hAnsi="Times New Roman"/>
          <w:sz w:val="20"/>
          <w:szCs w:val="20"/>
          <w:shd w:fill="auto" w:val="clear"/>
        </w:rPr>
        <w:t xml:space="preserve"> </w:t>
      </w:r>
      <w:r>
        <w:rPr>
          <w:rFonts w:ascii="Times New Roman" w:hAnsi="Times New Roman"/>
          <w:sz w:val="20"/>
          <w:szCs w:val="20"/>
          <w:shd w:fill="auto" w:val="clear"/>
        </w:rPr>
        <w:t>по программе эксплуатация</w:t>
      </w:r>
    </w:p>
    <w:tbl>
      <w:tblPr>
        <w:tblW w:w="14605" w:type="dxa"/>
        <w:jc w:val="left"/>
        <w:tblInd w:w="142" w:type="dxa"/>
        <w:tblLayout w:type="fixed"/>
        <w:tblCellMar>
          <w:top w:w="0" w:type="dxa"/>
          <w:left w:w="108" w:type="dxa"/>
          <w:bottom w:w="0" w:type="dxa"/>
          <w:right w:w="108" w:type="dxa"/>
        </w:tblCellMar>
      </w:tblPr>
      <w:tblGrid>
        <w:gridCol w:w="721"/>
        <w:gridCol w:w="219"/>
        <w:gridCol w:w="1446"/>
        <w:gridCol w:w="219"/>
        <w:gridCol w:w="3264"/>
        <w:gridCol w:w="235"/>
        <w:gridCol w:w="218"/>
        <w:gridCol w:w="1206"/>
        <w:gridCol w:w="1198"/>
        <w:gridCol w:w="892"/>
        <w:gridCol w:w="828"/>
        <w:gridCol w:w="333"/>
        <w:gridCol w:w="834"/>
        <w:gridCol w:w="238"/>
        <w:gridCol w:w="130"/>
        <w:gridCol w:w="231"/>
        <w:gridCol w:w="492"/>
        <w:gridCol w:w="348"/>
        <w:gridCol w:w="258"/>
        <w:gridCol w:w="69"/>
        <w:gridCol w:w="660"/>
        <w:gridCol w:w="490"/>
        <w:gridCol w:w="74"/>
      </w:tblGrid>
      <w:tr>
        <w:trPr/>
        <w:tc>
          <w:tcPr>
            <w:tcW w:w="2605" w:type="dxa"/>
            <w:gridSpan w:val="4"/>
            <w:tcBorders/>
            <w:vAlign w:val="center"/>
          </w:tcPr>
          <w:p>
            <w:pPr>
              <w:pStyle w:val="Normal"/>
              <w:widowControl w:val="false"/>
              <w:spacing w:lineRule="auto" w:line="240" w:before="0" w:after="0"/>
              <w:rPr>
                <w:rFonts w:ascii="Times New Roman" w:hAnsi="Times New Roman"/>
                <w:b/>
                <w:bCs/>
                <w:sz w:val="20"/>
                <w:szCs w:val="20"/>
                <w:shd w:fill="auto" w:val="clear"/>
              </w:rPr>
            </w:pPr>
            <w:r>
              <w:rPr>
                <w:b/>
                <w:bCs/>
                <w:sz w:val="20"/>
                <w:szCs w:val="20"/>
                <w:shd w:fill="auto" w:val="clear"/>
              </w:rPr>
              <w:t>СОГЛАСОВАНО:</w:t>
            </w:r>
          </w:p>
        </w:tc>
        <w:tc>
          <w:tcPr>
            <w:tcW w:w="3717" w:type="dxa"/>
            <w:gridSpan w:val="3"/>
            <w:tcBorders/>
            <w:vAlign w:val="bottom"/>
          </w:tcPr>
          <w:p>
            <w:pPr>
              <w:pStyle w:val="Normal"/>
              <w:widowControl w:val="false"/>
              <w:spacing w:lineRule="auto" w:line="240" w:before="0" w:after="0"/>
              <w:rPr>
                <w:rFonts w:ascii="Times New Roman" w:hAnsi="Times New Roman"/>
                <w:b/>
                <w:bCs/>
                <w:sz w:val="20"/>
                <w:szCs w:val="20"/>
                <w:shd w:fill="auto" w:val="clear"/>
              </w:rPr>
            </w:pPr>
            <w:r>
              <w:rPr>
                <w:b/>
                <w:bCs/>
                <w:sz w:val="20"/>
                <w:szCs w:val="20"/>
                <w:shd w:fill="auto" w:val="clear"/>
              </w:rPr>
            </w:r>
          </w:p>
        </w:tc>
        <w:tc>
          <w:tcPr>
            <w:tcW w:w="3296" w:type="dxa"/>
            <w:gridSpan w:val="3"/>
            <w:tcBorders/>
            <w:vAlign w:val="bottom"/>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c>
          <w:tcPr>
            <w:tcW w:w="1995" w:type="dxa"/>
            <w:gridSpan w:val="3"/>
            <w:tcBorders/>
            <w:vAlign w:val="bottom"/>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c>
          <w:tcPr>
            <w:tcW w:w="2990" w:type="dxa"/>
            <w:gridSpan w:val="10"/>
            <w:tcBorders/>
            <w:vAlign w:val="bottom"/>
          </w:tcPr>
          <w:p>
            <w:pPr>
              <w:pStyle w:val="Normal"/>
              <w:widowControl w:val="false"/>
              <w:spacing w:lineRule="auto" w:line="240" w:before="0" w:after="0"/>
              <w:rPr>
                <w:rFonts w:ascii="Times New Roman" w:hAnsi="Times New Roman"/>
                <w:b/>
                <w:bCs/>
                <w:sz w:val="20"/>
                <w:szCs w:val="20"/>
                <w:shd w:fill="auto" w:val="clear"/>
              </w:rPr>
            </w:pPr>
            <w:r>
              <w:rPr>
                <w:b/>
                <w:bCs/>
                <w:sz w:val="20"/>
                <w:szCs w:val="20"/>
                <w:shd w:fill="auto" w:val="clear"/>
              </w:rPr>
              <w:t>УТВЕРЖДАЮ:</w:t>
            </w:r>
          </w:p>
        </w:tc>
      </w:tr>
      <w:tr>
        <w:trPr/>
        <w:tc>
          <w:tcPr>
            <w:tcW w:w="2605" w:type="dxa"/>
            <w:gridSpan w:val="4"/>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t>_______________ ФИО</w:t>
            </w:r>
          </w:p>
        </w:tc>
        <w:tc>
          <w:tcPr>
            <w:tcW w:w="3717" w:type="dxa"/>
            <w:gridSpan w:val="3"/>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3296" w:type="dxa"/>
            <w:gridSpan w:val="3"/>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995" w:type="dxa"/>
            <w:gridSpan w:val="3"/>
            <w:tcBorders/>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2990" w:type="dxa"/>
            <w:gridSpan w:val="10"/>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t>________________ФИО</w:t>
            </w:r>
          </w:p>
        </w:tc>
      </w:tr>
      <w:tr>
        <w:trPr/>
        <w:tc>
          <w:tcPr>
            <w:tcW w:w="6322" w:type="dxa"/>
            <w:gridSpan w:val="7"/>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t>"___" _____________ 20__ г.</w:t>
            </w:r>
          </w:p>
        </w:tc>
        <w:tc>
          <w:tcPr>
            <w:tcW w:w="3296" w:type="dxa"/>
            <w:gridSpan w:val="3"/>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995" w:type="dxa"/>
            <w:gridSpan w:val="3"/>
            <w:tcBorders/>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2990" w:type="dxa"/>
            <w:gridSpan w:val="10"/>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t>"___" _____________ 20__ г.</w:t>
            </w:r>
          </w:p>
        </w:tc>
      </w:tr>
      <w:tr>
        <w:trPr/>
        <w:tc>
          <w:tcPr>
            <w:tcW w:w="940" w:type="dxa"/>
            <w:gridSpan w:val="2"/>
            <w:tcBorders/>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c>
          <w:tcPr>
            <w:tcW w:w="5164" w:type="dxa"/>
            <w:gridSpan w:val="4"/>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342" w:type="dxa"/>
            <w:gridSpan w:val="5"/>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535" w:type="dxa"/>
            <w:gridSpan w:val="4"/>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71" w:type="dxa"/>
            <w:gridSpan w:val="3"/>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25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29"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4" w:type="dxa"/>
            <w:tcBorders/>
          </w:tcPr>
          <w:p>
            <w:pPr>
              <w:pStyle w:val="Normal"/>
              <w:widowControl w:val="false"/>
              <w:rPr>
                <w:shd w:fill="auto" w:val="clear"/>
              </w:rPr>
            </w:pPr>
            <w:r>
              <w:rPr>
                <w:shd w:fill="auto" w:val="clear"/>
              </w:rPr>
            </w:r>
          </w:p>
        </w:tc>
      </w:tr>
      <w:tr>
        <w:trPr/>
        <w:tc>
          <w:tcPr>
            <w:tcW w:w="721" w:type="dxa"/>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65" w:type="dxa"/>
            <w:gridSpan w:val="2"/>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348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59"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323" w:type="dxa"/>
            <w:gridSpan w:val="6"/>
            <w:tcBorders/>
            <w:vAlign w:val="center"/>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t xml:space="preserve">Сводный сметный расчет в сумме </w:t>
            </w:r>
          </w:p>
        </w:tc>
        <w:tc>
          <w:tcPr>
            <w:tcW w:w="1528" w:type="dxa"/>
            <w:gridSpan w:val="6"/>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t>руб. без НДС</w:t>
            </w:r>
          </w:p>
        </w:tc>
        <w:tc>
          <w:tcPr>
            <w:tcW w:w="1224" w:type="dxa"/>
            <w:gridSpan w:val="3"/>
            <w:tcBorders/>
          </w:tcPr>
          <w:p>
            <w:pPr>
              <w:pStyle w:val="Normal"/>
              <w:widowControl w:val="false"/>
              <w:rPr>
                <w:shd w:fill="auto" w:val="clear"/>
              </w:rPr>
            </w:pPr>
            <w:r>
              <w:rPr>
                <w:shd w:fill="auto" w:val="clear"/>
              </w:rPr>
            </w:r>
          </w:p>
        </w:tc>
      </w:tr>
      <w:tr>
        <w:trPr/>
        <w:tc>
          <w:tcPr>
            <w:tcW w:w="72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665"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465" w:type="dxa"/>
            <w:gridSpan w:val="11"/>
            <w:tcBorders/>
            <w:vAlign w:val="bottom"/>
          </w:tcPr>
          <w:p>
            <w:pPr>
              <w:pStyle w:val="Normal"/>
              <w:widowControl w:val="false"/>
              <w:spacing w:lineRule="auto" w:line="240" w:before="0" w:after="0"/>
              <w:jc w:val="center"/>
              <w:rPr>
                <w:rFonts w:ascii="Times New Roman" w:hAnsi="Times New Roman"/>
                <w:b/>
                <w:bCs/>
                <w:sz w:val="20"/>
                <w:szCs w:val="20"/>
                <w:shd w:fill="auto" w:val="clear"/>
              </w:rPr>
            </w:pPr>
            <w:r>
              <w:rPr>
                <w:b/>
                <w:bCs/>
                <w:sz w:val="20"/>
                <w:szCs w:val="20"/>
                <w:shd w:fill="auto" w:val="clear"/>
              </w:rPr>
              <w:t xml:space="preserve">СВОДНЫЙ СМЕТНЫЙ РАСЧЕТ </w:t>
            </w:r>
          </w:p>
        </w:tc>
        <w:tc>
          <w:tcPr>
            <w:tcW w:w="1528" w:type="dxa"/>
            <w:gridSpan w:val="6"/>
            <w:tcBorders/>
            <w:vAlign w:val="center"/>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224" w:type="dxa"/>
            <w:gridSpan w:val="3"/>
            <w:tcBorders/>
          </w:tcPr>
          <w:p>
            <w:pPr>
              <w:pStyle w:val="Normal"/>
              <w:widowControl w:val="false"/>
              <w:rPr>
                <w:shd w:fill="auto" w:val="clear"/>
              </w:rPr>
            </w:pPr>
            <w:r>
              <w:rPr>
                <w:shd w:fill="auto" w:val="clear"/>
              </w:rPr>
            </w:r>
          </w:p>
        </w:tc>
      </w:tr>
      <w:tr>
        <w:trPr/>
        <w:tc>
          <w:tcPr>
            <w:tcW w:w="72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665"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318" w:type="dxa"/>
            <w:gridSpan w:val="14"/>
            <w:tcBorders>
              <w:bottom w:val="single" w:sz="4" w:space="0" w:color="000000"/>
            </w:tcBorders>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t> </w:t>
            </w:r>
          </w:p>
        </w:tc>
        <w:tc>
          <w:tcPr>
            <w:tcW w:w="675" w:type="dxa"/>
            <w:gridSpan w:val="3"/>
            <w:tcBorders/>
            <w:vAlign w:val="center"/>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224" w:type="dxa"/>
            <w:gridSpan w:val="3"/>
            <w:tcBorders/>
          </w:tcPr>
          <w:p>
            <w:pPr>
              <w:pStyle w:val="Normal"/>
              <w:widowControl w:val="false"/>
              <w:rPr>
                <w:shd w:fill="auto" w:val="clear"/>
              </w:rPr>
            </w:pPr>
            <w:r>
              <w:rPr>
                <w:shd w:fill="auto" w:val="clear"/>
              </w:rPr>
            </w:r>
          </w:p>
        </w:tc>
      </w:tr>
      <w:tr>
        <w:trPr/>
        <w:tc>
          <w:tcPr>
            <w:tcW w:w="72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665"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348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10" w:type="dxa"/>
            <w:gridSpan w:val="7"/>
            <w:tcBorders/>
            <w:vAlign w:val="center"/>
          </w:tcPr>
          <w:p>
            <w:pPr>
              <w:pStyle w:val="Normal"/>
              <w:widowControl w:val="false"/>
              <w:spacing w:lineRule="auto" w:line="240" w:before="0" w:after="0"/>
              <w:rPr>
                <w:shd w:fill="auto" w:val="clear"/>
              </w:rPr>
            </w:pPr>
            <w:r>
              <w:rPr>
                <w:i/>
                <w:iCs/>
                <w:sz w:val="20"/>
                <w:szCs w:val="20"/>
                <w:shd w:fill="auto" w:val="clear"/>
              </w:rPr>
              <w:t xml:space="preserve">               </w:t>
            </w:r>
            <w:r>
              <w:rPr>
                <w:i/>
                <w:iCs/>
                <w:sz w:val="20"/>
                <w:szCs w:val="20"/>
                <w:shd w:fill="auto" w:val="clear"/>
              </w:rPr>
              <w:t>(наименование объекта)</w:t>
            </w:r>
          </w:p>
        </w:tc>
        <w:tc>
          <w:tcPr>
            <w:tcW w:w="1072" w:type="dxa"/>
            <w:gridSpan w:val="2"/>
            <w:tcBorders/>
            <w:vAlign w:val="center"/>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528" w:type="dxa"/>
            <w:gridSpan w:val="6"/>
            <w:tcBorders/>
            <w:vAlign w:val="center"/>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224" w:type="dxa"/>
            <w:gridSpan w:val="3"/>
            <w:tcBorders/>
          </w:tcPr>
          <w:p>
            <w:pPr>
              <w:pStyle w:val="Normal"/>
              <w:widowControl w:val="false"/>
              <w:rPr>
                <w:shd w:fill="auto" w:val="clear"/>
              </w:rPr>
            </w:pPr>
            <w:r>
              <w:rPr>
                <w:shd w:fill="auto" w:val="clear"/>
              </w:rPr>
            </w:r>
          </w:p>
        </w:tc>
      </w:tr>
      <w:tr>
        <w:trPr/>
        <w:tc>
          <w:tcPr>
            <w:tcW w:w="12212" w:type="dxa"/>
            <w:gridSpan w:val="16"/>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t>Составлен в текущих ценах, соответствующих периоду выполнения работ по договору</w:t>
            </w:r>
          </w:p>
        </w:tc>
        <w:tc>
          <w:tcPr>
            <w:tcW w:w="492" w:type="dxa"/>
            <w:tcBorders/>
            <w:vAlign w:val="center"/>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675" w:type="dxa"/>
            <w:gridSpan w:val="3"/>
            <w:tcBorders/>
            <w:vAlign w:val="center"/>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224" w:type="dxa"/>
            <w:gridSpan w:val="3"/>
            <w:tcBorders/>
          </w:tcPr>
          <w:p>
            <w:pPr>
              <w:pStyle w:val="Normal"/>
              <w:widowControl w:val="false"/>
              <w:rPr>
                <w:shd w:fill="auto" w:val="clear"/>
              </w:rPr>
            </w:pPr>
            <w:r>
              <w:rPr>
                <w:shd w:fill="auto" w:val="clear"/>
              </w:rPr>
            </w:r>
          </w:p>
        </w:tc>
      </w:tr>
      <w:tr>
        <w:trPr/>
        <w:tc>
          <w:tcPr>
            <w:tcW w:w="72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xml:space="preserve">№ </w:t>
            </w:r>
            <w:r>
              <w:rPr>
                <w:sz w:val="18"/>
                <w:szCs w:val="18"/>
                <w:shd w:fill="auto" w:val="clear"/>
              </w:rPr>
              <w:t>пп</w:t>
            </w:r>
          </w:p>
        </w:tc>
        <w:tc>
          <w:tcPr>
            <w:tcW w:w="1665"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Номера сметных расчетов и смет</w:t>
            </w:r>
          </w:p>
        </w:tc>
        <w:tc>
          <w:tcPr>
            <w:tcW w:w="3483"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Наименование глав, объектов, работ и за</w:t>
              <w:softHyphen/>
              <w:t>трат</w:t>
            </w:r>
          </w:p>
        </w:tc>
        <w:tc>
          <w:tcPr>
            <w:tcW w:w="5982" w:type="dxa"/>
            <w:gridSpan w:val="9"/>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Сметная стоимость, руб.</w:t>
            </w:r>
          </w:p>
        </w:tc>
        <w:tc>
          <w:tcPr>
            <w:tcW w:w="1528" w:type="dxa"/>
            <w:gridSpan w:val="6"/>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113" w:right="0" w:hanging="0"/>
              <w:jc w:val="center"/>
              <w:rPr>
                <w:rFonts w:ascii="Times New Roman" w:hAnsi="Times New Roman"/>
                <w:sz w:val="18"/>
                <w:szCs w:val="18"/>
                <w:shd w:fill="auto" w:val="clear"/>
              </w:rPr>
            </w:pPr>
            <w:r>
              <w:rPr>
                <w:sz w:val="18"/>
                <w:szCs w:val="18"/>
                <w:shd w:fill="auto" w:val="clear"/>
              </w:rPr>
              <w:t>Общая сметная</w:t>
            </w:r>
          </w:p>
          <w:p>
            <w:pPr>
              <w:pStyle w:val="Normal"/>
              <w:widowControl w:val="false"/>
              <w:spacing w:lineRule="auto" w:line="240" w:before="0" w:after="0"/>
              <w:ind w:left="-113" w:right="0" w:hanging="0"/>
              <w:jc w:val="center"/>
              <w:rPr>
                <w:rFonts w:ascii="Times New Roman" w:hAnsi="Times New Roman"/>
                <w:sz w:val="18"/>
                <w:szCs w:val="18"/>
                <w:shd w:fill="auto" w:val="clear"/>
              </w:rPr>
            </w:pPr>
            <w:r>
              <w:rPr>
                <w:sz w:val="18"/>
                <w:szCs w:val="18"/>
                <w:shd w:fill="auto" w:val="clear"/>
              </w:rPr>
              <w:t>стоимость, руб</w:t>
            </w:r>
          </w:p>
        </w:tc>
        <w:tc>
          <w:tcPr>
            <w:tcW w:w="1224" w:type="dxa"/>
            <w:gridSpan w:val="3"/>
            <w:tcBorders/>
          </w:tcPr>
          <w:p>
            <w:pPr>
              <w:pStyle w:val="Normal"/>
              <w:widowControl w:val="false"/>
              <w:rPr>
                <w:shd w:fill="auto" w:val="clear"/>
              </w:rPr>
            </w:pPr>
            <w:r>
              <w:rPr>
                <w:shd w:fill="auto" w:val="clear"/>
              </w:rPr>
            </w:r>
          </w:p>
        </w:tc>
      </w:tr>
      <w:tr>
        <w:trPr/>
        <w:tc>
          <w:tcPr>
            <w:tcW w:w="72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66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48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659" w:type="dxa"/>
            <w:gridSpan w:val="3"/>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строитель-</w:t>
              <w:br/>
              <w:t>ных работ</w:t>
            </w:r>
          </w:p>
        </w:tc>
        <w:tc>
          <w:tcPr>
            <w:tcW w:w="1198"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монтажных работ</w:t>
            </w:r>
          </w:p>
        </w:tc>
        <w:tc>
          <w:tcPr>
            <w:tcW w:w="2053" w:type="dxa"/>
            <w:gridSpan w:val="3"/>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оборудования, мебели, инвентаря</w:t>
            </w:r>
          </w:p>
        </w:tc>
        <w:tc>
          <w:tcPr>
            <w:tcW w:w="1072" w:type="dxa"/>
            <w:gridSpan w:val="2"/>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прочих</w:t>
            </w:r>
          </w:p>
        </w:tc>
        <w:tc>
          <w:tcPr>
            <w:tcW w:w="1528" w:type="dxa"/>
            <w:gridSpan w:val="6"/>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1</w:t>
            </w:r>
          </w:p>
        </w:tc>
        <w:tc>
          <w:tcPr>
            <w:tcW w:w="1665" w:type="dxa"/>
            <w:gridSpan w:val="2"/>
            <w:tcBorders>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2</w:t>
            </w:r>
          </w:p>
        </w:tc>
        <w:tc>
          <w:tcPr>
            <w:tcW w:w="3483" w:type="dxa"/>
            <w:gridSpan w:val="2"/>
            <w:tcBorders>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3</w:t>
            </w:r>
          </w:p>
        </w:tc>
        <w:tc>
          <w:tcPr>
            <w:tcW w:w="1659" w:type="dxa"/>
            <w:gridSpan w:val="3"/>
            <w:tcBorders>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4</w:t>
            </w:r>
          </w:p>
        </w:tc>
        <w:tc>
          <w:tcPr>
            <w:tcW w:w="1198" w:type="dxa"/>
            <w:tcBorders>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5</w:t>
            </w:r>
          </w:p>
        </w:tc>
        <w:tc>
          <w:tcPr>
            <w:tcW w:w="2053" w:type="dxa"/>
            <w:gridSpan w:val="3"/>
            <w:tcBorders>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6</w:t>
            </w:r>
          </w:p>
        </w:tc>
        <w:tc>
          <w:tcPr>
            <w:tcW w:w="1072" w:type="dxa"/>
            <w:gridSpan w:val="2"/>
            <w:tcBorders>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7</w:t>
            </w:r>
          </w:p>
        </w:tc>
        <w:tc>
          <w:tcPr>
            <w:tcW w:w="1528" w:type="dxa"/>
            <w:gridSpan w:val="6"/>
            <w:tcBorders>
              <w:top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8</w:t>
            </w:r>
          </w:p>
        </w:tc>
        <w:tc>
          <w:tcPr>
            <w:tcW w:w="1224" w:type="dxa"/>
            <w:gridSpan w:val="3"/>
            <w:tcBorders/>
          </w:tcPr>
          <w:p>
            <w:pPr>
              <w:pStyle w:val="Normal"/>
              <w:widowControl w:val="false"/>
              <w:rPr>
                <w:shd w:fill="auto" w:val="clear"/>
              </w:rPr>
            </w:pPr>
            <w:r>
              <w:rPr>
                <w:shd w:fill="auto" w:val="clear"/>
              </w:rPr>
            </w:r>
          </w:p>
        </w:tc>
      </w:tr>
      <w:tr>
        <w:trPr/>
        <w:tc>
          <w:tcPr>
            <w:tcW w:w="13379" w:type="dxa"/>
            <w:gridSpan w:val="20"/>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bCs/>
                <w:sz w:val="18"/>
                <w:szCs w:val="18"/>
                <w:shd w:fill="auto" w:val="clear"/>
              </w:rPr>
            </w:pPr>
            <w:r>
              <w:rPr>
                <w:b/>
                <w:bCs/>
                <w:sz w:val="18"/>
                <w:szCs w:val="18"/>
                <w:shd w:fill="auto" w:val="clear"/>
              </w:rPr>
              <w:t xml:space="preserve">Глава 2. Основные объекты </w:t>
            </w:r>
          </w:p>
        </w:tc>
        <w:tc>
          <w:tcPr>
            <w:tcW w:w="1224" w:type="dxa"/>
            <w:gridSpan w:val="3"/>
            <w:tcBorders/>
          </w:tcPr>
          <w:p>
            <w:pPr>
              <w:pStyle w:val="Normal"/>
              <w:widowControl w:val="false"/>
              <w:rPr>
                <w:shd w:fill="auto" w:val="clear"/>
              </w:rPr>
            </w:pPr>
            <w:r>
              <w:rPr>
                <w:shd w:fill="auto" w:val="clear"/>
              </w:rPr>
            </w:r>
          </w:p>
        </w:tc>
      </w:tr>
      <w:tr>
        <w:trPr/>
        <w:tc>
          <w:tcPr>
            <w:tcW w:w="13379" w:type="dxa"/>
            <w:gridSpan w:val="20"/>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Cs/>
                <w:sz w:val="18"/>
                <w:szCs w:val="18"/>
                <w:shd w:fill="auto" w:val="clear"/>
              </w:rPr>
            </w:pPr>
            <w:r>
              <w:rPr>
                <w:b/>
                <w:bCs/>
                <w:sz w:val="18"/>
                <w:szCs w:val="18"/>
                <w:shd w:fill="auto" w:val="clear"/>
              </w:rPr>
              <w:t>Сметы основного договора:</w:t>
            </w:r>
          </w:p>
        </w:tc>
        <w:tc>
          <w:tcPr>
            <w:tcW w:w="1224" w:type="dxa"/>
            <w:gridSpan w:val="3"/>
            <w:tcBorders/>
          </w:tcPr>
          <w:p>
            <w:pPr>
              <w:pStyle w:val="Normal"/>
              <w:widowControl w:val="false"/>
              <w:rPr>
                <w:shd w:fill="auto" w:val="clear"/>
              </w:rPr>
            </w:pPr>
            <w:r>
              <w:rPr>
                <w:shd w:fill="auto" w:val="clear"/>
              </w:rPr>
            </w:r>
          </w:p>
        </w:tc>
      </w:tr>
      <w:tr>
        <w:trPr/>
        <w:tc>
          <w:tcPr>
            <w:tcW w:w="7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1</w:t>
            </w:r>
          </w:p>
        </w:tc>
        <w:tc>
          <w:tcPr>
            <w:tcW w:w="1665" w:type="dxa"/>
            <w:gridSpan w:val="2"/>
            <w:tcBorders>
              <w:top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w:t>
            </w:r>
            <w:r>
              <w:rPr>
                <w:sz w:val="18"/>
                <w:szCs w:val="18"/>
                <w:shd w:fill="auto" w:val="clear"/>
              </w:rPr>
              <w:t>02-01-01</w:t>
            </w:r>
          </w:p>
        </w:tc>
        <w:tc>
          <w:tcPr>
            <w:tcW w:w="3483" w:type="dxa"/>
            <w:gridSpan w:val="2"/>
            <w:tcBorders>
              <w:top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659" w:type="dxa"/>
            <w:gridSpan w:val="3"/>
            <w:tcBorders>
              <w:top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198" w:type="dxa"/>
            <w:tcBorders>
              <w:top w:val="single" w:sz="4" w:space="0" w:color="000000"/>
              <w:bottom w:val="single" w:sz="4" w:space="0" w:color="000000"/>
              <w:right w:val="single" w:sz="4" w:space="0" w:color="000000"/>
            </w:tcBorders>
          </w:tcPr>
          <w:p>
            <w:pPr>
              <w:pStyle w:val="Normal"/>
              <w:widowControl w:val="false"/>
              <w:tabs>
                <w:tab w:val="clear" w:pos="708"/>
                <w:tab w:val="left" w:pos="1186" w:leader="none"/>
              </w:tabs>
              <w:spacing w:lineRule="auto" w:line="240" w:before="0" w:after="0"/>
              <w:jc w:val="right"/>
              <w:rPr>
                <w:rFonts w:ascii="Times New Roman" w:hAnsi="Times New Roman"/>
                <w:sz w:val="18"/>
                <w:szCs w:val="18"/>
                <w:shd w:fill="auto" w:val="clear"/>
              </w:rPr>
            </w:pPr>
            <w:r>
              <w:rPr>
                <w:sz w:val="18"/>
                <w:szCs w:val="18"/>
                <w:shd w:fill="auto" w:val="clear"/>
              </w:rPr>
              <w:t> </w:t>
            </w:r>
          </w:p>
        </w:tc>
        <w:tc>
          <w:tcPr>
            <w:tcW w:w="2053" w:type="dxa"/>
            <w:gridSpan w:val="3"/>
            <w:tcBorders>
              <w:top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072" w:type="dxa"/>
            <w:gridSpan w:val="2"/>
            <w:tcBorders>
              <w:top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528" w:type="dxa"/>
            <w:gridSpan w:val="6"/>
            <w:tcBorders>
              <w:top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2</w:t>
            </w:r>
          </w:p>
        </w:tc>
        <w:tc>
          <w:tcPr>
            <w:tcW w:w="1665" w:type="dxa"/>
            <w:gridSpan w:val="2"/>
            <w:tcBorders>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w:t>
            </w:r>
            <w:r>
              <w:rPr>
                <w:sz w:val="18"/>
                <w:szCs w:val="18"/>
                <w:shd w:fill="auto" w:val="clear"/>
              </w:rPr>
              <w:t>02-01-02</w:t>
            </w:r>
          </w:p>
        </w:tc>
        <w:tc>
          <w:tcPr>
            <w:tcW w:w="3483" w:type="dxa"/>
            <w:gridSpan w:val="2"/>
            <w:tcBorders>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659"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198" w:type="dxa"/>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2053"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072" w:type="dxa"/>
            <w:gridSpan w:val="2"/>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528" w:type="dxa"/>
            <w:gridSpan w:val="6"/>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13379" w:type="dxa"/>
            <w:gridSpan w:val="20"/>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
                <w:bCs/>
                <w:sz w:val="18"/>
                <w:szCs w:val="18"/>
                <w:shd w:fill="auto" w:val="clear"/>
              </w:rPr>
            </w:pPr>
            <w:r>
              <w:rPr>
                <w:b/>
                <w:bCs/>
                <w:sz w:val="18"/>
                <w:szCs w:val="18"/>
                <w:shd w:fill="auto" w:val="clear"/>
              </w:rPr>
              <w:t>Исключить дополнительным соглашением №___</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r>
          </w:p>
        </w:tc>
        <w:tc>
          <w:tcPr>
            <w:tcW w:w="1665" w:type="dxa"/>
            <w:gridSpan w:val="2"/>
            <w:tcBorders>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w:t>
            </w:r>
            <w:r>
              <w:rPr>
                <w:sz w:val="18"/>
                <w:szCs w:val="18"/>
                <w:shd w:fill="auto" w:val="clear"/>
              </w:rPr>
              <w:t>02-01-02</w:t>
            </w:r>
          </w:p>
        </w:tc>
        <w:tc>
          <w:tcPr>
            <w:tcW w:w="3483" w:type="dxa"/>
            <w:gridSpan w:val="2"/>
            <w:tcBorders>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659"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198" w:type="dxa"/>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2053"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072" w:type="dxa"/>
            <w:gridSpan w:val="2"/>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528" w:type="dxa"/>
            <w:gridSpan w:val="6"/>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
                <w:bCs/>
                <w:sz w:val="18"/>
                <w:szCs w:val="18"/>
                <w:shd w:fill="auto" w:val="clear"/>
              </w:rPr>
            </w:pPr>
            <w:r>
              <w:rPr>
                <w:b/>
                <w:bCs/>
                <w:sz w:val="18"/>
                <w:szCs w:val="18"/>
                <w:shd w:fill="auto" w:val="clear"/>
              </w:rPr>
              <w:t> </w:t>
            </w:r>
          </w:p>
        </w:tc>
        <w:tc>
          <w:tcPr>
            <w:tcW w:w="5148" w:type="dxa"/>
            <w:gridSpan w:val="4"/>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Cs/>
                <w:sz w:val="18"/>
                <w:szCs w:val="18"/>
                <w:shd w:fill="auto" w:val="clear"/>
              </w:rPr>
            </w:pPr>
            <w:r>
              <w:rPr>
                <w:b/>
                <w:bCs/>
                <w:sz w:val="18"/>
                <w:szCs w:val="18"/>
                <w:shd w:fill="auto" w:val="clear"/>
              </w:rPr>
              <w:t>Итого исключено Дополнительным соглашением №</w:t>
            </w:r>
          </w:p>
        </w:tc>
        <w:tc>
          <w:tcPr>
            <w:tcW w:w="1659" w:type="dxa"/>
            <w:gridSpan w:val="3"/>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198" w:type="dxa"/>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2053" w:type="dxa"/>
            <w:gridSpan w:val="3"/>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072" w:type="dxa"/>
            <w:gridSpan w:val="2"/>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528" w:type="dxa"/>
            <w:gridSpan w:val="6"/>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13379" w:type="dxa"/>
            <w:gridSpan w:val="20"/>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
                <w:bCs/>
                <w:sz w:val="18"/>
                <w:szCs w:val="18"/>
                <w:shd w:fill="auto" w:val="clear"/>
              </w:rPr>
            </w:pPr>
            <w:r>
              <w:rPr>
                <w:b/>
                <w:bCs/>
                <w:sz w:val="18"/>
                <w:szCs w:val="18"/>
                <w:shd w:fill="auto" w:val="clear"/>
              </w:rPr>
              <w:t>Включить дополнительным соглашением №____</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r>
          </w:p>
        </w:tc>
        <w:tc>
          <w:tcPr>
            <w:tcW w:w="1665" w:type="dxa"/>
            <w:gridSpan w:val="2"/>
            <w:tcBorders>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w:t>
            </w:r>
            <w:r>
              <w:rPr>
                <w:sz w:val="18"/>
                <w:szCs w:val="18"/>
                <w:shd w:fill="auto" w:val="clear"/>
              </w:rPr>
              <w:t>02-01-02/1</w:t>
            </w:r>
          </w:p>
        </w:tc>
        <w:tc>
          <w:tcPr>
            <w:tcW w:w="3483" w:type="dxa"/>
            <w:gridSpan w:val="2"/>
            <w:tcBorders>
              <w:bottom w:val="single" w:sz="4" w:space="0" w:color="000000"/>
              <w:right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r>
          </w:p>
        </w:tc>
        <w:tc>
          <w:tcPr>
            <w:tcW w:w="1659" w:type="dxa"/>
            <w:gridSpan w:val="3"/>
            <w:tcBorders>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198" w:type="dxa"/>
            <w:tcBorders>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2053" w:type="dxa"/>
            <w:gridSpan w:val="3"/>
            <w:tcBorders>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072" w:type="dxa"/>
            <w:gridSpan w:val="2"/>
            <w:tcBorders>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528" w:type="dxa"/>
            <w:gridSpan w:val="6"/>
            <w:tcBorders>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b/>
                <w:bCs/>
                <w:sz w:val="18"/>
                <w:szCs w:val="18"/>
                <w:shd w:fill="auto" w:val="clear"/>
              </w:rPr>
            </w:pPr>
            <w:r>
              <w:rPr>
                <w:b/>
                <w:bCs/>
                <w:sz w:val="18"/>
                <w:szCs w:val="18"/>
                <w:shd w:fill="auto" w:val="clear"/>
              </w:rPr>
              <w:t> </w:t>
            </w:r>
          </w:p>
        </w:tc>
        <w:tc>
          <w:tcPr>
            <w:tcW w:w="5148" w:type="dxa"/>
            <w:gridSpan w:val="4"/>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b/>
                <w:bCs/>
                <w:sz w:val="18"/>
                <w:szCs w:val="18"/>
                <w:shd w:fill="auto" w:val="clear"/>
              </w:rPr>
            </w:pPr>
            <w:r>
              <w:rPr>
                <w:b/>
                <w:bCs/>
                <w:sz w:val="18"/>
                <w:szCs w:val="18"/>
                <w:shd w:fill="auto" w:val="clear"/>
              </w:rPr>
              <w:t>Итого включено Дополнительным соглашением №</w:t>
            </w:r>
          </w:p>
        </w:tc>
        <w:tc>
          <w:tcPr>
            <w:tcW w:w="1659" w:type="dxa"/>
            <w:gridSpan w:val="3"/>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198" w:type="dxa"/>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2053" w:type="dxa"/>
            <w:gridSpan w:val="3"/>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072" w:type="dxa"/>
            <w:gridSpan w:val="2"/>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528" w:type="dxa"/>
            <w:gridSpan w:val="6"/>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Cs/>
                <w:sz w:val="18"/>
                <w:szCs w:val="18"/>
                <w:shd w:fill="auto" w:val="clear"/>
              </w:rPr>
            </w:pPr>
            <w:r>
              <w:rPr>
                <w:b/>
                <w:bCs/>
                <w:sz w:val="18"/>
                <w:szCs w:val="18"/>
                <w:shd w:fill="auto" w:val="clear"/>
              </w:rPr>
              <w:t> </w:t>
            </w:r>
          </w:p>
        </w:tc>
        <w:tc>
          <w:tcPr>
            <w:tcW w:w="5148"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Итого по Главе 2. "Основные объекты"</w:t>
            </w:r>
          </w:p>
        </w:tc>
        <w:tc>
          <w:tcPr>
            <w:tcW w:w="1659"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198" w:type="dxa"/>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2053"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072" w:type="dxa"/>
            <w:gridSpan w:val="2"/>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528" w:type="dxa"/>
            <w:gridSpan w:val="6"/>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Cs/>
                <w:sz w:val="18"/>
                <w:szCs w:val="18"/>
                <w:shd w:fill="auto" w:val="clear"/>
              </w:rPr>
            </w:pPr>
            <w:r>
              <w:rPr>
                <w:b/>
                <w:bCs/>
                <w:sz w:val="18"/>
                <w:szCs w:val="18"/>
                <w:shd w:fill="auto" w:val="clear"/>
              </w:rPr>
              <w:t> </w:t>
            </w:r>
          </w:p>
        </w:tc>
        <w:tc>
          <w:tcPr>
            <w:tcW w:w="5148" w:type="dxa"/>
            <w:gridSpan w:val="4"/>
            <w:tcBorders>
              <w:top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Всего по сводному сметному расчету, без учета НДС</w:t>
            </w:r>
          </w:p>
        </w:tc>
        <w:tc>
          <w:tcPr>
            <w:tcW w:w="1659"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198" w:type="dxa"/>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2053" w:type="dxa"/>
            <w:gridSpan w:val="3"/>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072" w:type="dxa"/>
            <w:gridSpan w:val="2"/>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528" w:type="dxa"/>
            <w:gridSpan w:val="6"/>
            <w:tcBorders>
              <w:bottom w:val="single" w:sz="4" w:space="0" w:color="000000"/>
              <w:right w:val="single" w:sz="4" w:space="0" w:color="000000"/>
            </w:tcBorders>
          </w:tcPr>
          <w:p>
            <w:pPr>
              <w:pStyle w:val="Normal"/>
              <w:widowControl w:val="false"/>
              <w:spacing w:lineRule="auto" w:line="240" w:before="0" w:after="0"/>
              <w:jc w:val="right"/>
              <w:rPr>
                <w:rFonts w:ascii="Times New Roman" w:hAnsi="Times New Roman"/>
                <w:b/>
                <w:bCs/>
                <w:sz w:val="18"/>
                <w:szCs w:val="18"/>
                <w:shd w:fill="auto" w:val="clear"/>
              </w:rPr>
            </w:pPr>
            <w:r>
              <w:rPr>
                <w:b/>
                <w:bCs/>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665"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3483" w:type="dxa"/>
            <w:gridSpan w:val="2"/>
            <w:tcBorders>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сумма основного договора (без НДС)</w:t>
            </w:r>
          </w:p>
        </w:tc>
        <w:tc>
          <w:tcPr>
            <w:tcW w:w="1659" w:type="dxa"/>
            <w:gridSpan w:val="3"/>
            <w:tcBorders>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198"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2053" w:type="dxa"/>
            <w:gridSpan w:val="3"/>
            <w:tcBorders>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072"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528" w:type="dxa"/>
            <w:gridSpan w:val="6"/>
            <w:tcBorders>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i/>
                <w:i/>
                <w:iCs/>
                <w:sz w:val="18"/>
                <w:szCs w:val="18"/>
                <w:shd w:fill="auto" w:val="clear"/>
              </w:rPr>
            </w:pPr>
            <w:r>
              <w:rPr>
                <w:i/>
                <w:iCs/>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665" w:type="dxa"/>
            <w:gridSpan w:val="2"/>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ДС №___ от ___.__.20___г.</w:t>
            </w:r>
          </w:p>
        </w:tc>
        <w:tc>
          <w:tcPr>
            <w:tcW w:w="3483" w:type="dxa"/>
            <w:gridSpan w:val="2"/>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сумма увеличения основного договора на основании дополнительного соглашения № ___ без НДС</w:t>
            </w:r>
          </w:p>
        </w:tc>
        <w:tc>
          <w:tcPr>
            <w:tcW w:w="1659" w:type="dxa"/>
            <w:gridSpan w:val="3"/>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198" w:type="dxa"/>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2053" w:type="dxa"/>
            <w:gridSpan w:val="3"/>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072" w:type="dxa"/>
            <w:gridSpan w:val="2"/>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sz w:val="18"/>
                <w:szCs w:val="18"/>
                <w:shd w:fill="auto" w:val="clear"/>
              </w:rPr>
            </w:pPr>
            <w:r>
              <w:rPr>
                <w:sz w:val="18"/>
                <w:szCs w:val="18"/>
                <w:shd w:fill="auto" w:val="clear"/>
              </w:rPr>
              <w:t> </w:t>
            </w:r>
          </w:p>
        </w:tc>
        <w:tc>
          <w:tcPr>
            <w:tcW w:w="1528" w:type="dxa"/>
            <w:gridSpan w:val="6"/>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right"/>
              <w:rPr>
                <w:rFonts w:ascii="Times New Roman" w:hAnsi="Times New Roman"/>
                <w:i/>
                <w:i/>
                <w:iCs/>
                <w:sz w:val="18"/>
                <w:szCs w:val="18"/>
                <w:shd w:fill="auto" w:val="clear"/>
              </w:rPr>
            </w:pPr>
            <w:r>
              <w:rPr>
                <w:i/>
                <w:iCs/>
                <w:sz w:val="18"/>
                <w:szCs w:val="18"/>
                <w:shd w:fill="auto" w:val="clear"/>
              </w:rPr>
              <w:t xml:space="preserve">0  </w:t>
            </w:r>
          </w:p>
        </w:tc>
        <w:tc>
          <w:tcPr>
            <w:tcW w:w="1224" w:type="dxa"/>
            <w:gridSpan w:val="3"/>
            <w:tcBorders/>
          </w:tcPr>
          <w:p>
            <w:pPr>
              <w:pStyle w:val="Normal"/>
              <w:widowControl w:val="false"/>
              <w:rPr>
                <w:shd w:fill="auto" w:val="clear"/>
              </w:rPr>
            </w:pPr>
            <w:r>
              <w:rPr>
                <w:shd w:fill="auto" w:val="clear"/>
              </w:rPr>
            </w:r>
          </w:p>
        </w:tc>
      </w:tr>
      <w:tr>
        <w:trPr/>
        <w:tc>
          <w:tcPr>
            <w:tcW w:w="721" w:type="dxa"/>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r>
          </w:p>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r>
          </w:p>
        </w:tc>
        <w:tc>
          <w:tcPr>
            <w:tcW w:w="1665" w:type="dxa"/>
            <w:gridSpan w:val="2"/>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Составил:</w:t>
            </w:r>
          </w:p>
        </w:tc>
        <w:tc>
          <w:tcPr>
            <w:tcW w:w="3483" w:type="dxa"/>
            <w:gridSpan w:val="2"/>
            <w:tcBorders>
              <w:bottom w:val="single" w:sz="4" w:space="0" w:color="000000"/>
            </w:tcBorders>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659" w:type="dxa"/>
            <w:gridSpan w:val="3"/>
            <w:tcBorders>
              <w:bottom w:val="single" w:sz="4" w:space="0" w:color="000000"/>
            </w:tcBorders>
          </w:tcPr>
          <w:p>
            <w:pPr>
              <w:pStyle w:val="Normal"/>
              <w:widowControl w:val="false"/>
              <w:spacing w:lineRule="auto" w:line="240" w:before="0" w:after="0"/>
              <w:jc w:val="right"/>
              <w:rPr>
                <w:shd w:fill="auto" w:val="clear"/>
              </w:rPr>
            </w:pPr>
            <w:r>
              <w:rPr>
                <w:shd w:fill="auto" w:val="clear"/>
              </w:rPr>
            </w:r>
          </w:p>
        </w:tc>
        <w:tc>
          <w:tcPr>
            <w:tcW w:w="1198" w:type="dxa"/>
            <w:tcBorders>
              <w:bottom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2053" w:type="dxa"/>
            <w:gridSpan w:val="3"/>
            <w:tcBorders>
              <w:bottom w:val="single" w:sz="4" w:space="0" w:color="000000"/>
            </w:tcBorders>
          </w:tcPr>
          <w:p>
            <w:pPr>
              <w:pStyle w:val="Normal"/>
              <w:widowControl w:val="false"/>
              <w:spacing w:lineRule="auto" w:line="240" w:before="0" w:after="0"/>
              <w:jc w:val="right"/>
              <w:rPr>
                <w:shd w:fill="auto" w:val="clear"/>
              </w:rPr>
            </w:pPr>
            <w:r>
              <w:rPr>
                <w:shd w:fill="auto" w:val="clear"/>
              </w:rPr>
            </w:r>
          </w:p>
        </w:tc>
        <w:tc>
          <w:tcPr>
            <w:tcW w:w="1072" w:type="dxa"/>
            <w:gridSpan w:val="2"/>
            <w:tcBorders>
              <w:bottom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528" w:type="dxa"/>
            <w:gridSpan w:val="6"/>
            <w:tcBorders>
              <w:bottom w:val="single" w:sz="4" w:space="0" w:color="000000"/>
            </w:tcBorders>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vAlign w:val="bottom"/>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r>
          </w:p>
        </w:tc>
        <w:tc>
          <w:tcPr>
            <w:tcW w:w="1665" w:type="dxa"/>
            <w:gridSpan w:val="2"/>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r>
          </w:p>
        </w:tc>
        <w:tc>
          <w:tcPr>
            <w:tcW w:w="3483" w:type="dxa"/>
            <w:gridSpan w:val="2"/>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 </w:t>
            </w:r>
          </w:p>
        </w:tc>
        <w:tc>
          <w:tcPr>
            <w:tcW w:w="4910" w:type="dxa"/>
            <w:gridSpan w:val="7"/>
            <w:tcBorders>
              <w:top w:val="single" w:sz="4" w:space="0" w:color="000000"/>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(должность, подпись, расшифровка)</w:t>
            </w:r>
          </w:p>
        </w:tc>
        <w:tc>
          <w:tcPr>
            <w:tcW w:w="1072" w:type="dxa"/>
            <w:gridSpan w:val="2"/>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 </w:t>
            </w:r>
          </w:p>
        </w:tc>
        <w:tc>
          <w:tcPr>
            <w:tcW w:w="1528" w:type="dxa"/>
            <w:gridSpan w:val="6"/>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vAlign w:val="bottom"/>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r>
          </w:p>
        </w:tc>
        <w:tc>
          <w:tcPr>
            <w:tcW w:w="1665" w:type="dxa"/>
            <w:gridSpan w:val="2"/>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Проверил:</w:t>
            </w:r>
          </w:p>
        </w:tc>
        <w:tc>
          <w:tcPr>
            <w:tcW w:w="3483" w:type="dxa"/>
            <w:gridSpan w:val="2"/>
            <w:tcBorders>
              <w:bottom w:val="single" w:sz="4" w:space="0" w:color="000000"/>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659" w:type="dxa"/>
            <w:gridSpan w:val="3"/>
            <w:tcBorders>
              <w:bottom w:val="single" w:sz="4" w:space="0" w:color="000000"/>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198" w:type="dxa"/>
            <w:tcBorders>
              <w:bottom w:val="single" w:sz="4" w:space="0" w:color="000000"/>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2053" w:type="dxa"/>
            <w:gridSpan w:val="3"/>
            <w:tcBorders>
              <w:bottom w:val="single" w:sz="4" w:space="0" w:color="000000"/>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072" w:type="dxa"/>
            <w:gridSpan w:val="2"/>
            <w:tcBorders>
              <w:bottom w:val="single" w:sz="4" w:space="0" w:color="000000"/>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t> </w:t>
            </w:r>
          </w:p>
        </w:tc>
        <w:tc>
          <w:tcPr>
            <w:tcW w:w="1528" w:type="dxa"/>
            <w:gridSpan w:val="6"/>
            <w:tcBorders>
              <w:bottom w:val="single" w:sz="4" w:space="0" w:color="000000"/>
            </w:tcBorders>
            <w:vAlign w:val="bottom"/>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r>
        <w:trPr/>
        <w:tc>
          <w:tcPr>
            <w:tcW w:w="721" w:type="dxa"/>
            <w:tcBorders/>
            <w:vAlign w:val="bottom"/>
          </w:tcPr>
          <w:p>
            <w:pPr>
              <w:pStyle w:val="Normal"/>
              <w:widowControl w:val="false"/>
              <w:spacing w:lineRule="auto" w:line="240" w:before="0" w:after="0"/>
              <w:jc w:val="right"/>
              <w:rPr>
                <w:rFonts w:ascii="Times New Roman" w:hAnsi="Times New Roman"/>
                <w:sz w:val="18"/>
                <w:szCs w:val="18"/>
                <w:shd w:fill="auto" w:val="clear"/>
              </w:rPr>
            </w:pPr>
            <w:r>
              <w:rPr>
                <w:sz w:val="18"/>
                <w:szCs w:val="18"/>
                <w:shd w:fill="auto" w:val="clear"/>
              </w:rPr>
            </w:r>
          </w:p>
        </w:tc>
        <w:tc>
          <w:tcPr>
            <w:tcW w:w="1665" w:type="dxa"/>
            <w:gridSpan w:val="2"/>
            <w:tcBorders/>
            <w:vAlign w:val="bottom"/>
          </w:tcPr>
          <w:p>
            <w:pPr>
              <w:pStyle w:val="Normal"/>
              <w:widowControl w:val="false"/>
              <w:spacing w:lineRule="auto" w:line="240" w:before="0" w:after="0"/>
              <w:rPr>
                <w:rFonts w:ascii="Times New Roman" w:hAnsi="Times New Roman"/>
                <w:sz w:val="18"/>
                <w:szCs w:val="18"/>
                <w:shd w:fill="auto" w:val="clear"/>
              </w:rPr>
            </w:pPr>
            <w:r>
              <w:rPr>
                <w:sz w:val="18"/>
                <w:szCs w:val="18"/>
                <w:shd w:fill="auto" w:val="clear"/>
              </w:rPr>
            </w:r>
          </w:p>
        </w:tc>
        <w:tc>
          <w:tcPr>
            <w:tcW w:w="3483" w:type="dxa"/>
            <w:gridSpan w:val="2"/>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 </w:t>
            </w:r>
          </w:p>
        </w:tc>
        <w:tc>
          <w:tcPr>
            <w:tcW w:w="4910" w:type="dxa"/>
            <w:gridSpan w:val="7"/>
            <w:tcBorders>
              <w:top w:val="single" w:sz="4" w:space="0" w:color="000000"/>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(должность, подпись, расшифровка)</w:t>
            </w:r>
          </w:p>
        </w:tc>
        <w:tc>
          <w:tcPr>
            <w:tcW w:w="1072" w:type="dxa"/>
            <w:gridSpan w:val="2"/>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 </w:t>
            </w:r>
          </w:p>
        </w:tc>
        <w:tc>
          <w:tcPr>
            <w:tcW w:w="1528" w:type="dxa"/>
            <w:gridSpan w:val="6"/>
            <w:tcBorders/>
          </w:tcPr>
          <w:p>
            <w:pPr>
              <w:pStyle w:val="Normal"/>
              <w:widowControl w:val="false"/>
              <w:spacing w:lineRule="auto" w:line="240" w:before="0" w:after="0"/>
              <w:rPr>
                <w:rFonts w:ascii="Times New Roman" w:hAnsi="Times New Roman"/>
                <w:i/>
                <w:i/>
                <w:iCs/>
                <w:sz w:val="18"/>
                <w:szCs w:val="18"/>
                <w:shd w:fill="auto" w:val="clear"/>
              </w:rPr>
            </w:pPr>
            <w:r>
              <w:rPr>
                <w:i/>
                <w:iCs/>
                <w:sz w:val="18"/>
                <w:szCs w:val="18"/>
                <w:shd w:fill="auto" w:val="clear"/>
              </w:rPr>
              <w:t> </w:t>
            </w:r>
          </w:p>
        </w:tc>
        <w:tc>
          <w:tcPr>
            <w:tcW w:w="1224" w:type="dxa"/>
            <w:gridSpan w:val="3"/>
            <w:tcBorders/>
          </w:tcPr>
          <w:p>
            <w:pPr>
              <w:pStyle w:val="Normal"/>
              <w:widowControl w:val="false"/>
              <w:rPr>
                <w:shd w:fill="auto" w:val="clear"/>
              </w:rPr>
            </w:pPr>
            <w:r>
              <w:rPr>
                <w:shd w:fill="auto" w:val="clear"/>
              </w:rPr>
            </w:r>
          </w:p>
        </w:tc>
      </w:tr>
    </w:tbl>
    <w:p>
      <w:pPr>
        <w:pStyle w:val="ConsPlusNormal"/>
        <w:jc w:val="center"/>
        <w:rPr/>
      </w:pPr>
      <w:r>
        <w:rPr>
          <w:rStyle w:val="Style15"/>
          <w:rFonts w:ascii="Times New Roman" w:hAnsi="Times New Roman"/>
        </w:rPr>
        <w:t xml:space="preserve">                                                                            </w:t>
      </w:r>
      <w:r>
        <w:rPr/>
        <w:object>
          <v:shapetype id="_x0000_tole_rId37" coordsize="21600,21600" o:spt="ole_rId3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7" type="_x0000_tole_rId37" style="width:79.4pt;height:50.45pt;mso-wrap-distance-right:0pt" filled="f" o:ole="">
            <v:imagedata r:id="rId38" o:title=""/>
          </v:shape>
          <o:OLEObject Type="Embed" ProgID="Excel.Sheet.12" ShapeID="ole_rId37" DrawAspect="Icon" ObjectID="_753725833" r:id="rId37"/>
        </w:object>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pStyle w:val="ConsPlusNormal"/>
        <w:jc w:val="center"/>
        <w:rPr>
          <w:rStyle w:val="Style15"/>
        </w:rPr>
      </w:pPr>
      <w:r>
        <w:rPr/>
      </w:r>
    </w:p>
    <w:p>
      <w:pPr>
        <w:sectPr>
          <w:headerReference w:type="default" r:id="rId39"/>
          <w:headerReference w:type="first" r:id="rId40"/>
          <w:footerReference w:type="default" r:id="rId41"/>
          <w:type w:val="nextPage"/>
          <w:pgSz w:orient="landscape" w:w="16838" w:h="11906"/>
          <w:pgMar w:left="425" w:right="567" w:gutter="0" w:header="0" w:top="720" w:footer="709" w:bottom="766"/>
          <w:pgNumType w:fmt="decimal"/>
          <w:formProt w:val="false"/>
          <w:textDirection w:val="lrTb"/>
          <w:docGrid w:type="default" w:linePitch="600" w:charSpace="24576"/>
        </w:sectPr>
        <w:pStyle w:val="ConsPlusNormal"/>
        <w:jc w:val="center"/>
        <w:rPr>
          <w:rStyle w:val="Style15"/>
        </w:rPr>
      </w:pPr>
      <w:r>
        <w:rPr/>
      </w:r>
      <w:r>
        <w:br w:type="page"/>
      </w:r>
    </w:p>
    <w:p>
      <w:pPr>
        <w:pStyle w:val="Normal"/>
        <w:tabs>
          <w:tab w:val="clear" w:pos="708"/>
        </w:tabs>
        <w:ind w:left="357" w:right="0" w:firstLine="720"/>
        <w:rPr>
          <w:rFonts w:ascii="Times New Roman" w:hAnsi="Times New Roman"/>
          <w:b/>
          <w:shd w:fill="auto" w:val="clear"/>
        </w:rPr>
      </w:pPr>
      <w:r>
        <w:rPr>
          <w:b/>
          <w:shd w:fill="auto" w:val="clear"/>
        </w:rPr>
      </w:r>
    </w:p>
    <w:p>
      <w:pPr>
        <w:pStyle w:val="Normal"/>
        <w:tabs>
          <w:tab w:val="clear" w:pos="708"/>
        </w:tabs>
        <w:ind w:left="426" w:right="0" w:hanging="426"/>
        <w:rPr/>
      </w:pPr>
      <w:r>
        <w:rPr>
          <w:rStyle w:val="Style15"/>
          <w:b/>
          <w:sz w:val="20"/>
          <w:szCs w:val="20"/>
          <w:shd w:fill="auto" w:val="clear"/>
        </w:rPr>
        <w:t>ОБРАЗЕЦ</w:t>
      </w:r>
    </w:p>
    <w:p>
      <w:pPr>
        <w:pStyle w:val="Normal"/>
        <w:tabs>
          <w:tab w:val="clear" w:pos="708"/>
        </w:tabs>
        <w:ind w:left="5811" w:right="0" w:firstLine="1"/>
        <w:rPr/>
      </w:pPr>
      <w:r>
        <w:rPr>
          <w:rStyle w:val="Style15"/>
          <w:sz w:val="20"/>
          <w:szCs w:val="20"/>
          <w:shd w:fill="auto" w:val="clear"/>
        </w:rPr>
        <w:t>Приложение №1.3</w:t>
      </w:r>
    </w:p>
    <w:p>
      <w:pPr>
        <w:pStyle w:val="ConsPlusNormal"/>
        <w:tabs>
          <w:tab w:val="clear" w:pos="708"/>
        </w:tabs>
        <w:ind w:left="5811" w:right="0" w:firstLine="1"/>
        <w:rPr/>
      </w:pPr>
      <w:r>
        <w:rPr>
          <w:rStyle w:val="Style15"/>
          <w:rFonts w:ascii="Times New Roman" w:hAnsi="Times New Roman"/>
          <w:shd w:fill="auto" w:val="clear"/>
        </w:rPr>
        <w:t>к Требованиям к оформлению и составлению сметной документации на выполнение работ по программе ремонтов, реконструкциии техниче</w:t>
        <w:softHyphen/>
        <w:t>скому перевооружению</w:t>
      </w:r>
    </w:p>
    <w:p>
      <w:pPr>
        <w:pStyle w:val="ConsPlusNormal"/>
        <w:tabs>
          <w:tab w:val="clear" w:pos="708"/>
        </w:tabs>
        <w:ind w:left="5811" w:right="0" w:hanging="0"/>
        <w:jc w:val="right"/>
        <w:rPr>
          <w:rFonts w:ascii="Times New Roman" w:hAnsi="Times New Roman"/>
          <w:shd w:fill="auto" w:val="clear"/>
        </w:rPr>
      </w:pPr>
      <w:r>
        <w:rPr>
          <w:rFonts w:ascii="Times New Roman" w:hAnsi="Times New Roman"/>
          <w:shd w:fill="auto" w:val="clear"/>
        </w:rPr>
      </w:r>
    </w:p>
    <w:p>
      <w:pPr>
        <w:pStyle w:val="ConsPlusNormal"/>
        <w:tabs>
          <w:tab w:val="clear" w:pos="708"/>
        </w:tabs>
        <w:ind w:left="5811" w:right="0" w:firstLine="1"/>
        <w:rPr/>
      </w:pPr>
      <w:r>
        <w:rPr>
          <w:rStyle w:val="Style15"/>
          <w:rFonts w:ascii="Times New Roman" w:hAnsi="Times New Roman"/>
          <w:shd w:fill="auto" w:val="clear"/>
        </w:rPr>
        <w:t>Приложение №___</w:t>
      </w:r>
    </w:p>
    <w:p>
      <w:pPr>
        <w:pStyle w:val="ConsPlusNormal"/>
        <w:tabs>
          <w:tab w:val="clear" w:pos="708"/>
        </w:tabs>
        <w:ind w:left="5811" w:right="0" w:firstLine="1"/>
        <w:rPr/>
      </w:pPr>
      <w:r>
        <w:rPr>
          <w:rStyle w:val="Style15"/>
          <w:rFonts w:ascii="Times New Roman" w:hAnsi="Times New Roman"/>
          <w:shd w:fill="auto" w:val="clear"/>
        </w:rPr>
        <w:t>к дополнительному соглашению от ___ № ___</w:t>
      </w:r>
    </w:p>
    <w:p>
      <w:pPr>
        <w:pStyle w:val="ConsPlusNormal"/>
        <w:tabs>
          <w:tab w:val="clear" w:pos="708"/>
        </w:tabs>
        <w:ind w:left="5811" w:right="0" w:firstLine="1"/>
        <w:rPr/>
      </w:pPr>
      <w:r>
        <w:rPr>
          <w:rStyle w:val="Style15"/>
          <w:rFonts w:ascii="Times New Roman" w:hAnsi="Times New Roman"/>
          <w:shd w:fill="auto" w:val="clear"/>
        </w:rPr>
        <w:t>к договору от_______№_____</w:t>
      </w:r>
    </w:p>
    <w:p>
      <w:pPr>
        <w:pStyle w:val="ConsPlusNormal"/>
        <w:jc w:val="center"/>
        <w:rPr>
          <w:rFonts w:ascii="Times New Roman" w:hAnsi="Times New Roman"/>
          <w:shd w:fill="auto" w:val="clear"/>
        </w:rPr>
      </w:pPr>
      <w:r>
        <w:rPr>
          <w:rFonts w:ascii="Times New Roman" w:hAnsi="Times New Roman"/>
          <w:shd w:fill="auto" w:val="clear"/>
        </w:rPr>
      </w:r>
    </w:p>
    <w:p>
      <w:pPr>
        <w:pStyle w:val="Normal"/>
        <w:widowControl w:val="false"/>
        <w:jc w:val="center"/>
        <w:rPr/>
      </w:pPr>
      <w:r>
        <w:rPr>
          <w:rStyle w:val="Style15"/>
          <w:b/>
          <w:sz w:val="20"/>
          <w:szCs w:val="20"/>
          <w:shd w:fill="auto" w:val="clear"/>
        </w:rPr>
        <w:t>Сопоставительная ведомость изменения сметной стоимости</w:t>
      </w:r>
    </w:p>
    <w:p>
      <w:pPr>
        <w:pStyle w:val="Normal"/>
        <w:widowControl w:val="false"/>
        <w:jc w:val="both"/>
        <w:rPr>
          <w:rFonts w:ascii="Times New Roman" w:hAnsi="Times New Roman"/>
          <w:b/>
          <w:sz w:val="20"/>
          <w:szCs w:val="20"/>
          <w:shd w:fill="auto" w:val="clear"/>
        </w:rPr>
      </w:pPr>
      <w:r>
        <w:rPr>
          <w:b/>
          <w:sz w:val="20"/>
          <w:szCs w:val="20"/>
          <w:shd w:fill="auto" w:val="clear"/>
        </w:rPr>
      </w:r>
    </w:p>
    <w:tbl>
      <w:tblPr>
        <w:tblW w:w="9020" w:type="dxa"/>
        <w:jc w:val="left"/>
        <w:tblInd w:w="488" w:type="dxa"/>
        <w:tblLayout w:type="fixed"/>
        <w:tblCellMar>
          <w:top w:w="102" w:type="dxa"/>
          <w:left w:w="62" w:type="dxa"/>
          <w:bottom w:w="102" w:type="dxa"/>
          <w:right w:w="62" w:type="dxa"/>
        </w:tblCellMar>
      </w:tblPr>
      <w:tblGrid>
        <w:gridCol w:w="423"/>
        <w:gridCol w:w="847"/>
        <w:gridCol w:w="855"/>
        <w:gridCol w:w="1276"/>
        <w:gridCol w:w="1275"/>
        <w:gridCol w:w="1702"/>
        <w:gridCol w:w="1161"/>
        <w:gridCol w:w="1480"/>
      </w:tblGrid>
      <w:tr>
        <w:trPr>
          <w:trHeight w:val="433" w:hRule="atLeast"/>
        </w:trPr>
        <w:tc>
          <w:tcPr>
            <w:tcW w:w="42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 xml:space="preserve">№ </w:t>
            </w:r>
            <w:r>
              <w:rPr>
                <w:rStyle w:val="Style15"/>
                <w:sz w:val="18"/>
                <w:szCs w:val="18"/>
                <w:shd w:fill="auto" w:val="clear"/>
              </w:rPr>
              <w:t>п/п</w:t>
            </w:r>
          </w:p>
        </w:tc>
        <w:tc>
          <w:tcPr>
            <w:tcW w:w="2978"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Данные сметного расчета (сметы)</w:t>
            </w:r>
          </w:p>
        </w:tc>
        <w:tc>
          <w:tcPr>
            <w:tcW w:w="297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Сметная стоимость, тыс. руб.</w:t>
            </w:r>
          </w:p>
        </w:tc>
        <w:tc>
          <w:tcPr>
            <w:tcW w:w="116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Разница в сметной стои</w:t>
              <w:softHyphen/>
              <w:t>мости, руб.</w:t>
            </w:r>
          </w:p>
        </w:tc>
        <w:tc>
          <w:tcPr>
            <w:tcW w:w="148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Обоснование из</w:t>
              <w:softHyphen/>
              <w:t>менений сметной стоимости</w:t>
            </w:r>
          </w:p>
        </w:tc>
      </w:tr>
      <w:tr>
        <w:trPr/>
        <w:tc>
          <w:tcPr>
            <w:tcW w:w="42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8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шифр</w:t>
            </w:r>
          </w:p>
        </w:tc>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наименование</w:t>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 xml:space="preserve">№ </w:t>
            </w:r>
            <w:r>
              <w:rPr>
                <w:rStyle w:val="Style15"/>
                <w:sz w:val="18"/>
                <w:szCs w:val="18"/>
                <w:shd w:fill="auto" w:val="clear"/>
              </w:rPr>
              <w:t>позиции сметного рас</w:t>
              <w:softHyphen/>
              <w:t>чета (сметы) в ССР</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подлежащая включению</w:t>
            </w:r>
          </w:p>
        </w:tc>
        <w:tc>
          <w:tcPr>
            <w:tcW w:w="17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подлежащая исклю</w:t>
              <w:softHyphen/>
              <w:t>чению</w:t>
            </w:r>
          </w:p>
        </w:tc>
        <w:tc>
          <w:tcPr>
            <w:tcW w:w="116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48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r>
      <w:tr>
        <w:trPr/>
        <w:tc>
          <w:tcPr>
            <w:tcW w:w="42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1</w:t>
            </w:r>
          </w:p>
        </w:tc>
        <w:tc>
          <w:tcPr>
            <w:tcW w:w="8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2</w:t>
            </w:r>
          </w:p>
        </w:tc>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3</w:t>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4</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5</w:t>
            </w:r>
          </w:p>
        </w:tc>
        <w:tc>
          <w:tcPr>
            <w:tcW w:w="17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6</w:t>
            </w:r>
          </w:p>
        </w:tc>
        <w:tc>
          <w:tcPr>
            <w:tcW w:w="11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7</w:t>
            </w:r>
          </w:p>
        </w:tc>
        <w:tc>
          <w:tcPr>
            <w:tcW w:w="14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Style w:val="Style15"/>
                <w:sz w:val="18"/>
                <w:szCs w:val="18"/>
                <w:shd w:fill="auto" w:val="clear"/>
              </w:rPr>
              <w:t>8</w:t>
            </w:r>
          </w:p>
        </w:tc>
      </w:tr>
      <w:tr>
        <w:trPr/>
        <w:tc>
          <w:tcPr>
            <w:tcW w:w="423"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c>
          <w:tcPr>
            <w:tcW w:w="847"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c>
          <w:tcPr>
            <w:tcW w:w="85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c>
          <w:tcPr>
            <w:tcW w:w="12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c>
          <w:tcPr>
            <w:tcW w:w="1702"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c>
          <w:tcPr>
            <w:tcW w:w="1161"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c>
          <w:tcPr>
            <w:tcW w:w="1480"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Times New Roman" w:hAnsi="Times New Roman"/>
                <w:sz w:val="18"/>
                <w:szCs w:val="18"/>
                <w:shd w:fill="auto" w:val="clear"/>
              </w:rPr>
            </w:pPr>
            <w:r>
              <w:rPr>
                <w:sz w:val="18"/>
                <w:szCs w:val="18"/>
                <w:shd w:fill="auto" w:val="clear"/>
              </w:rPr>
            </w:r>
          </w:p>
        </w:tc>
      </w:tr>
    </w:tbl>
    <w:p>
      <w:pPr>
        <w:pStyle w:val="Normal"/>
        <w:widowControl w:val="false"/>
        <w:jc w:val="both"/>
        <w:rPr>
          <w:rFonts w:ascii="Times New Roman" w:hAnsi="Times New Roman"/>
          <w:sz w:val="20"/>
          <w:szCs w:val="20"/>
          <w:shd w:fill="auto" w:val="clear"/>
        </w:rPr>
      </w:pPr>
      <w:r>
        <w:rPr>
          <w:sz w:val="20"/>
          <w:szCs w:val="20"/>
          <w:shd w:fill="auto" w:val="clear"/>
        </w:rPr>
      </w:r>
    </w:p>
    <w:p>
      <w:pPr>
        <w:pStyle w:val="Normal"/>
        <w:tabs>
          <w:tab w:val="clear" w:pos="708"/>
        </w:tabs>
        <w:ind w:left="357" w:right="0" w:firstLine="720"/>
        <w:jc w:val="right"/>
        <w:rPr>
          <w:rFonts w:ascii="Times New Roman" w:hAnsi="Times New Roman"/>
          <w:sz w:val="20"/>
          <w:szCs w:val="20"/>
          <w:shd w:fill="auto" w:val="clear"/>
        </w:rPr>
      </w:pPr>
      <w:r>
        <w:rPr>
          <w:sz w:val="20"/>
          <w:szCs w:val="20"/>
          <w:shd w:fill="auto" w:val="clear"/>
        </w:rPr>
      </w:r>
      <w:r>
        <w:br w:type="page"/>
      </w:r>
    </w:p>
    <w:p>
      <w:pPr>
        <w:pStyle w:val="Normal"/>
        <w:tabs>
          <w:tab w:val="clear" w:pos="708"/>
        </w:tabs>
        <w:ind w:left="6663" w:right="0" w:hanging="0"/>
        <w:rPr/>
      </w:pPr>
      <w:r>
        <w:rPr>
          <w:rStyle w:val="Style15"/>
          <w:sz w:val="20"/>
          <w:szCs w:val="20"/>
          <w:shd w:fill="auto" w:val="clear"/>
        </w:rPr>
        <w:t>Приложение №1.4</w:t>
      </w:r>
    </w:p>
    <w:p>
      <w:pPr>
        <w:pStyle w:val="ConsPlusNormal"/>
        <w:tabs>
          <w:tab w:val="clear" w:pos="708"/>
        </w:tabs>
        <w:ind w:left="6663" w:right="0" w:hanging="0"/>
        <w:rPr/>
      </w:pPr>
      <w:r>
        <w:rPr>
          <w:rStyle w:val="Style15"/>
          <w:rFonts w:ascii="Times New Roman" w:hAnsi="Times New Roman"/>
          <w:shd w:fill="auto" w:val="clear"/>
        </w:rPr>
        <w:t>Требованиям к оформлению и состав</w:t>
        <w:softHyphen/>
        <w:t>лению сметной документации на вы</w:t>
        <w:softHyphen/>
        <w:t>полнение работ по программе ре</w:t>
        <w:softHyphen/>
        <w:t>монтов, реконструкции техническому перевооружению</w:t>
      </w:r>
    </w:p>
    <w:p>
      <w:pPr>
        <w:pStyle w:val="ConsPlusNormal"/>
        <w:tabs>
          <w:tab w:val="clear" w:pos="708"/>
        </w:tabs>
        <w:ind w:left="6663" w:right="0" w:firstLine="1"/>
        <w:rPr>
          <w:rFonts w:ascii="Times New Roman" w:hAnsi="Times New Roman"/>
          <w:shd w:fill="auto" w:val="clear"/>
        </w:rPr>
      </w:pPr>
      <w:r>
        <w:rPr>
          <w:rFonts w:ascii="Times New Roman" w:hAnsi="Times New Roman"/>
          <w:shd w:fill="auto" w:val="clear"/>
        </w:rPr>
      </w:r>
    </w:p>
    <w:p>
      <w:pPr>
        <w:pStyle w:val="ConsPlusNormal"/>
        <w:tabs>
          <w:tab w:val="clear" w:pos="708"/>
        </w:tabs>
        <w:ind w:left="6663" w:right="0" w:firstLine="1"/>
        <w:rPr/>
      </w:pPr>
      <w:r>
        <w:rPr>
          <w:rStyle w:val="Style15"/>
          <w:rFonts w:ascii="Times New Roman" w:hAnsi="Times New Roman"/>
          <w:shd w:fill="auto" w:val="clear"/>
        </w:rPr>
        <w:t>Приложение №___</w:t>
      </w:r>
    </w:p>
    <w:p>
      <w:pPr>
        <w:pStyle w:val="ConsPlusNormal"/>
        <w:tabs>
          <w:tab w:val="clear" w:pos="708"/>
        </w:tabs>
        <w:ind w:left="6663" w:right="0" w:firstLine="1"/>
        <w:rPr/>
      </w:pPr>
      <w:r>
        <w:rPr>
          <w:rStyle w:val="Style15"/>
          <w:rFonts w:ascii="Times New Roman" w:hAnsi="Times New Roman"/>
          <w:shd w:fill="auto" w:val="clear"/>
        </w:rPr>
        <w:t>к дополнительному соглашению от ___ № ___ к договору от_______№_____</w:t>
      </w:r>
    </w:p>
    <w:p>
      <w:pPr>
        <w:pStyle w:val="Normal"/>
        <w:jc w:val="both"/>
        <w:rPr>
          <w:rFonts w:ascii="Times New Roman" w:hAnsi="Times New Roman"/>
          <w:shd w:fill="auto" w:val="clear"/>
        </w:rPr>
      </w:pPr>
      <w:r>
        <w:rPr>
          <w:shd w:fill="auto" w:val="clear"/>
        </w:rPr>
      </w:r>
    </w:p>
    <w:p>
      <w:pPr>
        <w:pStyle w:val="Normal"/>
        <w:jc w:val="both"/>
        <w:rPr>
          <w:rFonts w:ascii="Times New Roman" w:hAnsi="Times New Roman"/>
          <w:shd w:fill="auto" w:val="clear"/>
        </w:rPr>
      </w:pPr>
      <w:r>
        <w:rPr>
          <w:shd w:fill="auto" w:val="clear"/>
        </w:rPr>
      </w:r>
    </w:p>
    <w:p>
      <w:pPr>
        <w:pStyle w:val="Normal"/>
        <w:jc w:val="both"/>
        <w:rPr>
          <w:rFonts w:ascii="Times New Roman" w:hAnsi="Times New Roman"/>
          <w:shd w:fill="auto" w:val="clear"/>
        </w:rPr>
      </w:pPr>
      <w:r>
        <w:rPr>
          <w:shd w:fill="auto" w:val="clear"/>
        </w:rPr>
      </w:r>
    </w:p>
    <w:p>
      <w:pPr>
        <w:pStyle w:val="Normal"/>
        <w:jc w:val="both"/>
        <w:rPr>
          <w:rFonts w:ascii="Times New Roman" w:hAnsi="Times New Roman"/>
          <w:shd w:fill="auto" w:val="clear"/>
        </w:rPr>
      </w:pPr>
      <w:r>
        <w:rPr>
          <w:shd w:fill="auto" w:val="clear"/>
        </w:rPr>
      </w:r>
    </w:p>
    <w:p>
      <w:pPr>
        <w:pStyle w:val="Normal"/>
        <w:jc w:val="both"/>
        <w:rPr>
          <w:rFonts w:ascii="Times New Roman" w:hAnsi="Times New Roman"/>
          <w:shd w:fill="auto" w:val="clear"/>
        </w:rPr>
      </w:pPr>
      <w:r>
        <w:rPr>
          <w:shd w:fill="auto" w:val="clear"/>
        </w:rPr>
      </w:r>
    </w:p>
    <w:p>
      <w:pPr>
        <w:pStyle w:val="ConsPlusNormal"/>
        <w:jc w:val="center"/>
        <w:rPr/>
      </w:pPr>
      <w:r>
        <w:rPr>
          <w:rStyle w:val="Style15"/>
          <w:rFonts w:cs="Times New Roman" w:ascii="Times New Roman" w:hAnsi="Times New Roman"/>
          <w:b/>
          <w:shd w:fill="auto" w:val="clear"/>
        </w:rPr>
        <w:t>Сопоставительная ведомость объемов работ</w:t>
      </w:r>
    </w:p>
    <w:p>
      <w:pPr>
        <w:pStyle w:val="ConsPlusNormal"/>
        <w:jc w:val="both"/>
        <w:rPr>
          <w:b/>
          <w:shd w:fill="auto" w:val="clear"/>
        </w:rPr>
      </w:pPr>
      <w:r>
        <w:rPr>
          <w:b/>
          <w:shd w:fill="auto" w:val="clear"/>
        </w:rPr>
      </w:r>
    </w:p>
    <w:tbl>
      <w:tblPr>
        <w:tblW w:w="10100" w:type="dxa"/>
        <w:jc w:val="left"/>
        <w:tblInd w:w="204" w:type="dxa"/>
        <w:tblLayout w:type="fixed"/>
        <w:tblCellMar>
          <w:top w:w="102" w:type="dxa"/>
          <w:left w:w="62" w:type="dxa"/>
          <w:bottom w:w="102" w:type="dxa"/>
          <w:right w:w="62" w:type="dxa"/>
        </w:tblCellMar>
      </w:tblPr>
      <w:tblGrid>
        <w:gridCol w:w="425"/>
        <w:gridCol w:w="709"/>
        <w:gridCol w:w="850"/>
        <w:gridCol w:w="795"/>
        <w:gridCol w:w="740"/>
        <w:gridCol w:w="1020"/>
        <w:gridCol w:w="621"/>
        <w:gridCol w:w="620"/>
        <w:gridCol w:w="679"/>
        <w:gridCol w:w="630"/>
        <w:gridCol w:w="800"/>
        <w:gridCol w:w="1070"/>
        <w:gridCol w:w="1140"/>
      </w:tblGrid>
      <w:tr>
        <w:trPr>
          <w:trHeight w:val="880" w:hRule="atLeast"/>
        </w:trPr>
        <w:tc>
          <w:tcPr>
            <w:tcW w:w="425"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tabs>
                <w:tab w:val="clear" w:pos="708"/>
              </w:tabs>
              <w:ind w:left="-62" w:right="0" w:hanging="0"/>
              <w:jc w:val="center"/>
              <w:rPr/>
            </w:pPr>
            <w:r>
              <w:rPr>
                <w:rStyle w:val="Style15"/>
                <w:rFonts w:cs="Times New Roman" w:ascii="Times New Roman" w:hAnsi="Times New Roman"/>
                <w:sz w:val="18"/>
                <w:szCs w:val="18"/>
                <w:shd w:fill="auto" w:val="clear"/>
              </w:rPr>
              <w:t xml:space="preserve">№№ </w:t>
            </w:r>
            <w:r>
              <w:rPr>
                <w:rStyle w:val="Style15"/>
                <w:rFonts w:cs="Times New Roman" w:ascii="Times New Roman" w:hAnsi="Times New Roman"/>
                <w:sz w:val="18"/>
                <w:szCs w:val="18"/>
                <w:shd w:fill="auto" w:val="clear"/>
              </w:rPr>
              <w:t>пп</w:t>
            </w:r>
          </w:p>
        </w:tc>
        <w:tc>
          <w:tcPr>
            <w:tcW w:w="3094" w:type="dxa"/>
            <w:gridSpan w:val="4"/>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jc w:val="center"/>
              <w:rPr/>
            </w:pPr>
            <w:r>
              <w:rPr>
                <w:rStyle w:val="Style15"/>
                <w:rFonts w:cs="Times New Roman" w:ascii="Times New Roman" w:hAnsi="Times New Roman"/>
                <w:sz w:val="18"/>
                <w:szCs w:val="18"/>
                <w:shd w:fill="auto" w:val="clear"/>
              </w:rPr>
              <w:t>Данные сметного расчета (сметы)</w:t>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jc w:val="center"/>
              <w:rPr/>
            </w:pPr>
            <w:r>
              <w:rPr>
                <w:rStyle w:val="Style15"/>
                <w:rFonts w:cs="Times New Roman" w:ascii="Times New Roman" w:hAnsi="Times New Roman"/>
                <w:sz w:val="18"/>
                <w:szCs w:val="18"/>
                <w:shd w:fill="auto" w:val="clear"/>
              </w:rPr>
              <w:t>Наименование работ и затрат</w:t>
            </w:r>
          </w:p>
        </w:tc>
        <w:tc>
          <w:tcPr>
            <w:tcW w:w="621"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63"/>
              <w:jc w:val="center"/>
              <w:rPr/>
            </w:pPr>
            <w:r>
              <w:rPr>
                <w:rStyle w:val="Style15"/>
                <w:rFonts w:cs="Times New Roman" w:ascii="Times New Roman" w:hAnsi="Times New Roman"/>
                <w:sz w:val="18"/>
                <w:szCs w:val="18"/>
                <w:shd w:fill="auto" w:val="clear"/>
              </w:rPr>
              <w:t>Ед. изм.</w:t>
            </w:r>
          </w:p>
        </w:tc>
        <w:tc>
          <w:tcPr>
            <w:tcW w:w="1299" w:type="dxa"/>
            <w:gridSpan w:val="2"/>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jc w:val="center"/>
              <w:rPr/>
            </w:pPr>
            <w:r>
              <w:rPr>
                <w:rStyle w:val="Style15"/>
                <w:rFonts w:cs="Times New Roman" w:ascii="Times New Roman" w:hAnsi="Times New Roman"/>
                <w:sz w:val="18"/>
                <w:szCs w:val="18"/>
                <w:shd w:fill="auto" w:val="clear"/>
              </w:rPr>
              <w:t>Объем работ в сметной доку</w:t>
              <w:softHyphen/>
              <w:t>ментации</w:t>
            </w:r>
          </w:p>
        </w:tc>
        <w:tc>
          <w:tcPr>
            <w:tcW w:w="1430" w:type="dxa"/>
            <w:gridSpan w:val="2"/>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jc w:val="center"/>
              <w:rPr/>
            </w:pPr>
            <w:r>
              <w:rPr>
                <w:rStyle w:val="Style15"/>
                <w:rFonts w:cs="Times New Roman" w:ascii="Times New Roman" w:hAnsi="Times New Roman"/>
                <w:sz w:val="18"/>
                <w:szCs w:val="18"/>
                <w:shd w:fill="auto" w:val="clear"/>
              </w:rPr>
              <w:t>Изменение объемов работ</w:t>
            </w:r>
          </w:p>
        </w:tc>
        <w:tc>
          <w:tcPr>
            <w:tcW w:w="1070"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jc w:val="center"/>
              <w:rPr/>
            </w:pPr>
            <w:r>
              <w:rPr>
                <w:rStyle w:val="Style15"/>
                <w:rFonts w:cs="Times New Roman" w:ascii="Times New Roman" w:hAnsi="Times New Roman"/>
                <w:sz w:val="18"/>
                <w:szCs w:val="18"/>
                <w:shd w:fill="auto" w:val="clear"/>
              </w:rPr>
              <w:t>Обоснование измене</w:t>
              <w:softHyphen/>
              <w:t>ний</w:t>
            </w:r>
          </w:p>
        </w:tc>
        <w:tc>
          <w:tcPr>
            <w:tcW w:w="1140" w:type="dxa"/>
            <w:tcBorders>
              <w:top w:val="single" w:sz="4" w:space="0" w:color="000000"/>
              <w:left w:val="single" w:sz="4" w:space="0" w:color="000000"/>
              <w:bottom w:val="single" w:sz="4" w:space="0" w:color="000000"/>
              <w:right w:val="single" w:sz="4" w:space="0" w:color="000000"/>
            </w:tcBorders>
          </w:tcPr>
          <w:p>
            <w:pPr>
              <w:pStyle w:val="ConsPlusNormal"/>
              <w:widowControl w:val="false"/>
              <w:tabs>
                <w:tab w:val="clear" w:pos="708"/>
              </w:tabs>
              <w:ind w:left="1360" w:right="0" w:hanging="1416"/>
              <w:jc w:val="center"/>
              <w:rPr/>
            </w:pPr>
            <w:r>
              <w:rPr>
                <w:rStyle w:val="Style15"/>
                <w:rFonts w:cs="Times New Roman" w:ascii="Times New Roman" w:hAnsi="Times New Roman"/>
                <w:sz w:val="18"/>
                <w:szCs w:val="18"/>
                <w:shd w:fill="auto" w:val="clear"/>
              </w:rPr>
              <w:t>Примечание</w:t>
            </w:r>
          </w:p>
        </w:tc>
      </w:tr>
      <w:tr>
        <w:trPr>
          <w:trHeight w:val="62" w:hRule="atLeast"/>
        </w:trPr>
        <w:tc>
          <w:tcPr>
            <w:tcW w:w="42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709"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tabs>
                <w:tab w:val="clear" w:pos="708"/>
              </w:tabs>
              <w:suppressAutoHyphens w:val="true"/>
              <w:ind w:left="57" w:right="0" w:hanging="0"/>
              <w:jc w:val="center"/>
              <w:rPr/>
            </w:pPr>
            <w:r>
              <w:rPr>
                <w:rStyle w:val="Style15"/>
                <w:rFonts w:cs="Times New Roman" w:ascii="Times New Roman" w:hAnsi="Times New Roman"/>
                <w:sz w:val="18"/>
                <w:szCs w:val="18"/>
                <w:shd w:fill="auto" w:val="clear"/>
              </w:rPr>
              <w:t>шифр</w:t>
            </w:r>
          </w:p>
        </w:tc>
        <w:tc>
          <w:tcPr>
            <w:tcW w:w="850" w:type="dxa"/>
            <w:vMerge w:val="restart"/>
            <w:tcBorders>
              <w:top w:val="single" w:sz="4" w:space="0" w:color="000000"/>
              <w:left w:val="single" w:sz="4" w:space="0" w:color="000000"/>
              <w:bottom w:val="single" w:sz="4" w:space="0" w:color="000000"/>
              <w:right w:val="single" w:sz="4" w:space="0" w:color="000000"/>
            </w:tcBorders>
          </w:tcPr>
          <w:p>
            <w:pPr>
              <w:pStyle w:val="ConsPlusNormal"/>
              <w:widowControl w:val="false"/>
              <w:tabs>
                <w:tab w:val="clear" w:pos="708"/>
              </w:tabs>
              <w:ind w:left="-64" w:right="0" w:hanging="0"/>
              <w:jc w:val="center"/>
              <w:rPr/>
            </w:pPr>
            <w:r>
              <w:rPr>
                <w:rStyle w:val="Style15"/>
                <w:rFonts w:cs="Times New Roman" w:ascii="Times New Roman" w:hAnsi="Times New Roman"/>
                <w:sz w:val="18"/>
                <w:szCs w:val="18"/>
                <w:shd w:fill="auto" w:val="clear"/>
              </w:rPr>
              <w:t>Наименование</w:t>
            </w:r>
          </w:p>
        </w:tc>
        <w:tc>
          <w:tcPr>
            <w:tcW w:w="1535" w:type="dxa"/>
            <w:gridSpan w:val="2"/>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jc w:val="center"/>
              <w:rPr/>
            </w:pPr>
            <w:r>
              <w:rPr>
                <w:rStyle w:val="Style15"/>
                <w:rFonts w:cs="Times New Roman" w:ascii="Times New Roman" w:hAnsi="Times New Roman"/>
                <w:sz w:val="18"/>
                <w:szCs w:val="18"/>
                <w:shd w:fill="auto" w:val="clear"/>
              </w:rPr>
              <w:t xml:space="preserve">№ </w:t>
            </w:r>
            <w:r>
              <w:rPr>
                <w:rStyle w:val="Style15"/>
                <w:rFonts w:cs="Times New Roman" w:ascii="Times New Roman" w:hAnsi="Times New Roman"/>
                <w:sz w:val="18"/>
                <w:szCs w:val="18"/>
                <w:shd w:fill="auto" w:val="clear"/>
              </w:rPr>
              <w:t>позиции в сметном расчете</w:t>
            </w:r>
          </w:p>
        </w:tc>
        <w:tc>
          <w:tcPr>
            <w:tcW w:w="10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shd w:fill="auto" w:val="clear"/>
              </w:rPr>
            </w:pPr>
            <w:r>
              <w:rPr>
                <w:sz w:val="18"/>
                <w:szCs w:val="18"/>
                <w:shd w:fill="auto" w:val="clear"/>
              </w:rPr>
            </w:r>
          </w:p>
        </w:tc>
        <w:tc>
          <w:tcPr>
            <w:tcW w:w="62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shd w:fill="auto" w:val="clear"/>
              </w:rPr>
            </w:pPr>
            <w:r>
              <w:rPr>
                <w:sz w:val="18"/>
                <w:szCs w:val="18"/>
                <w:shd w:fill="auto" w:val="clear"/>
              </w:rPr>
            </w:r>
          </w:p>
        </w:tc>
        <w:tc>
          <w:tcPr>
            <w:tcW w:w="1299"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430"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07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shd w:fill="auto" w:val="clear"/>
              </w:rPr>
            </w:pPr>
            <w:r>
              <w:rPr>
                <w:sz w:val="18"/>
                <w:szCs w:val="18"/>
                <w:shd w:fill="auto" w:val="clear"/>
              </w:rPr>
            </w:r>
          </w:p>
        </w:tc>
        <w:tc>
          <w:tcPr>
            <w:tcW w:w="11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shd w:fill="auto" w:val="clear"/>
              </w:rPr>
            </w:pPr>
            <w:r>
              <w:rPr>
                <w:sz w:val="18"/>
                <w:szCs w:val="18"/>
                <w:shd w:fill="auto" w:val="clear"/>
              </w:rPr>
            </w:r>
          </w:p>
        </w:tc>
      </w:tr>
      <w:tr>
        <w:trPr>
          <w:trHeight w:val="1308" w:hRule="atLeast"/>
        </w:trPr>
        <w:tc>
          <w:tcPr>
            <w:tcW w:w="42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70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85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rPr/>
            </w:pPr>
            <w:r>
              <w:rPr>
                <w:rStyle w:val="Style15"/>
                <w:rFonts w:cs="Times New Roman" w:ascii="Times New Roman" w:hAnsi="Times New Roman"/>
                <w:sz w:val="18"/>
                <w:szCs w:val="18"/>
                <w:shd w:fill="auto" w:val="clear"/>
              </w:rPr>
              <w:t>до изме</w:t>
              <w:softHyphen/>
              <w:t>нений</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rPr/>
            </w:pPr>
            <w:r>
              <w:rPr>
                <w:rStyle w:val="Style15"/>
                <w:rFonts w:cs="Times New Roman" w:ascii="Times New Roman" w:hAnsi="Times New Roman"/>
                <w:sz w:val="18"/>
                <w:szCs w:val="18"/>
                <w:shd w:fill="auto" w:val="clear"/>
              </w:rPr>
              <w:t>с уче</w:t>
              <w:softHyphen/>
              <w:t>том изменен</w:t>
              <w:softHyphen/>
              <w:t>ий</w:t>
            </w:r>
          </w:p>
        </w:tc>
        <w:tc>
          <w:tcPr>
            <w:tcW w:w="10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621"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620"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firstLine="79"/>
              <w:rPr/>
            </w:pPr>
            <w:r>
              <w:rPr>
                <w:rStyle w:val="Style15"/>
                <w:rFonts w:cs="Times New Roman" w:ascii="Times New Roman" w:hAnsi="Times New Roman"/>
                <w:sz w:val="18"/>
                <w:szCs w:val="18"/>
                <w:shd w:fill="auto" w:val="clear"/>
              </w:rPr>
              <w:t>до изме</w:t>
              <w:softHyphen/>
              <w:t>нений</w:t>
            </w:r>
          </w:p>
        </w:tc>
        <w:tc>
          <w:tcPr>
            <w:tcW w:w="679"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rPr/>
            </w:pPr>
            <w:r>
              <w:rPr>
                <w:rStyle w:val="Style15"/>
                <w:rFonts w:cs="Times New Roman" w:ascii="Times New Roman" w:hAnsi="Times New Roman"/>
                <w:sz w:val="18"/>
                <w:szCs w:val="18"/>
                <w:shd w:fill="auto" w:val="clear"/>
              </w:rPr>
              <w:t>с уче</w:t>
              <w:softHyphen/>
              <w:t>том изменен</w:t>
              <w:softHyphen/>
              <w:t>ий</w:t>
            </w:r>
          </w:p>
        </w:tc>
        <w:tc>
          <w:tcPr>
            <w:tcW w:w="630" w:type="dxa"/>
            <w:tcBorders>
              <w:top w:val="single" w:sz="4" w:space="0" w:color="000000"/>
              <w:left w:val="single" w:sz="4" w:space="0" w:color="000000"/>
              <w:bottom w:val="single" w:sz="4" w:space="0" w:color="000000"/>
              <w:right w:val="single" w:sz="4" w:space="0" w:color="000000"/>
            </w:tcBorders>
          </w:tcPr>
          <w:p>
            <w:pPr>
              <w:pStyle w:val="ConsPlusNormal"/>
              <w:widowControl w:val="false"/>
              <w:tabs>
                <w:tab w:val="clear" w:pos="708"/>
              </w:tabs>
              <w:suppressAutoHyphens w:val="true"/>
              <w:ind w:left="0" w:right="0" w:hanging="0"/>
              <w:jc w:val="center"/>
              <w:rPr/>
            </w:pPr>
            <w:r>
              <w:rPr>
                <w:rStyle w:val="Style15"/>
                <w:rFonts w:cs="Times New Roman" w:ascii="Times New Roman" w:hAnsi="Times New Roman"/>
                <w:sz w:val="18"/>
                <w:szCs w:val="18"/>
                <w:shd w:fill="auto" w:val="clear"/>
              </w:rPr>
              <w:t>увели</w:t>
            </w:r>
          </w:p>
          <w:p>
            <w:pPr>
              <w:pStyle w:val="ConsPlusNormal"/>
              <w:widowControl w:val="false"/>
              <w:tabs>
                <w:tab w:val="clear" w:pos="708"/>
              </w:tabs>
              <w:suppressAutoHyphens w:val="true"/>
              <w:ind w:left="0" w:right="0" w:hanging="0"/>
              <w:jc w:val="center"/>
              <w:rPr/>
            </w:pPr>
            <w:r>
              <w:rPr>
                <w:rStyle w:val="Style15"/>
                <w:rFonts w:cs="Times New Roman" w:ascii="Times New Roman" w:hAnsi="Times New Roman"/>
                <w:sz w:val="18"/>
                <w:szCs w:val="18"/>
                <w:shd w:fill="auto" w:val="clear"/>
              </w:rPr>
              <w:t>чение</w:t>
            </w:r>
          </w:p>
        </w:tc>
        <w:tc>
          <w:tcPr>
            <w:tcW w:w="800" w:type="dxa"/>
            <w:tcBorders>
              <w:top w:val="single" w:sz="4" w:space="0" w:color="000000"/>
              <w:left w:val="single" w:sz="4" w:space="0" w:color="000000"/>
              <w:bottom w:val="single" w:sz="4" w:space="0" w:color="000000"/>
              <w:right w:val="single" w:sz="4" w:space="0" w:color="000000"/>
            </w:tcBorders>
          </w:tcPr>
          <w:p>
            <w:pPr>
              <w:pStyle w:val="ConsPlusNormal"/>
              <w:widowControl w:val="false"/>
              <w:ind w:left="0" w:right="0" w:hanging="0"/>
              <w:jc w:val="center"/>
              <w:rPr/>
            </w:pPr>
            <w:r>
              <w:rPr>
                <w:rStyle w:val="Style15"/>
                <w:rFonts w:cs="Times New Roman" w:ascii="Times New Roman" w:hAnsi="Times New Roman"/>
                <w:sz w:val="18"/>
                <w:szCs w:val="18"/>
                <w:shd w:fill="auto" w:val="clear"/>
              </w:rPr>
              <w:t>снижение</w:t>
            </w:r>
          </w:p>
        </w:tc>
        <w:tc>
          <w:tcPr>
            <w:tcW w:w="107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1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r>
      <w:tr>
        <w:trPr>
          <w:trHeight w:val="232" w:hRule="atLeast"/>
        </w:trPr>
        <w:tc>
          <w:tcPr>
            <w:tcW w:w="425"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709"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74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102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621"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62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679"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63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80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107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c>
          <w:tcPr>
            <w:tcW w:w="1140" w:type="dxa"/>
            <w:tcBorders>
              <w:top w:val="single" w:sz="4" w:space="0" w:color="000000"/>
              <w:left w:val="single" w:sz="4" w:space="0" w:color="000000"/>
              <w:bottom w:val="single" w:sz="4" w:space="0" w:color="000000"/>
              <w:right w:val="single" w:sz="4" w:space="0" w:color="000000"/>
            </w:tcBorders>
          </w:tcPr>
          <w:p>
            <w:pPr>
              <w:pStyle w:val="ConsPlusNormal"/>
              <w:widowControl w:val="false"/>
              <w:rPr>
                <w:rFonts w:ascii="Times New Roman" w:hAnsi="Times New Roman" w:cs="Times New Roman"/>
                <w:sz w:val="18"/>
                <w:szCs w:val="18"/>
                <w:shd w:fill="auto" w:val="clear"/>
              </w:rPr>
            </w:pPr>
            <w:r>
              <w:rPr>
                <w:rFonts w:cs="Times New Roman" w:ascii="Times New Roman" w:hAnsi="Times New Roman"/>
                <w:sz w:val="18"/>
                <w:szCs w:val="18"/>
                <w:shd w:fill="auto" w:val="clear"/>
              </w:rPr>
            </w:r>
          </w:p>
        </w:tc>
      </w:tr>
    </w:tbl>
    <w:p>
      <w:pPr>
        <w:sectPr>
          <w:headerReference w:type="default" r:id="rId42"/>
          <w:headerReference w:type="first" r:id="rId43"/>
          <w:footerReference w:type="default" r:id="rId44"/>
          <w:footerReference w:type="first" r:id="rId45"/>
          <w:type w:val="nextPage"/>
          <w:pgSz w:w="11906" w:h="16838"/>
          <w:pgMar w:left="1134" w:right="851" w:gutter="0" w:header="680" w:top="1134" w:footer="0" w:bottom="992"/>
          <w:pgNumType w:fmt="decimal"/>
          <w:formProt w:val="false"/>
          <w:textDirection w:val="lrTb"/>
          <w:docGrid w:type="default" w:linePitch="360" w:charSpace="0"/>
        </w:sectPr>
      </w:pPr>
    </w:p>
    <w:p>
      <w:pPr>
        <w:pStyle w:val="Normal"/>
        <w:spacing w:lineRule="auto" w:line="240" w:before="0" w:after="0"/>
        <w:ind w:left="5811" w:right="0" w:firstLine="720"/>
        <w:jc w:val="right"/>
        <w:rPr>
          <w:rFonts w:ascii="Times New Roman" w:hAnsi="Times New Roman"/>
          <w:color w:val="000000"/>
          <w:sz w:val="20"/>
          <w:szCs w:val="20"/>
          <w:shd w:fill="auto" w:val="clear"/>
        </w:rPr>
      </w:pPr>
      <w:r>
        <w:rPr>
          <w:color w:val="000000"/>
          <w:sz w:val="20"/>
          <w:szCs w:val="20"/>
          <w:shd w:fill="auto" w:val="clear"/>
        </w:rPr>
        <w:t xml:space="preserve">Приложение№1.5 </w:t>
      </w:r>
    </w:p>
    <w:p>
      <w:pPr>
        <w:pStyle w:val="Normal"/>
        <w:spacing w:lineRule="auto" w:line="240" w:before="0" w:after="0"/>
        <w:ind w:left="5811" w:right="0" w:firstLine="720"/>
        <w:jc w:val="right"/>
        <w:rPr>
          <w:rFonts w:ascii="Times New Roman" w:hAnsi="Times New Roman"/>
          <w:color w:val="000000"/>
          <w:sz w:val="20"/>
          <w:szCs w:val="20"/>
          <w:shd w:fill="auto" w:val="clear"/>
        </w:rPr>
      </w:pPr>
      <w:r>
        <w:rPr>
          <w:color w:val="000000"/>
          <w:sz w:val="20"/>
          <w:szCs w:val="20"/>
          <w:shd w:fill="auto" w:val="clear"/>
        </w:rPr>
        <w:t xml:space="preserve">                                                                                                                                                                                                </w:t>
      </w:r>
    </w:p>
    <w:p>
      <w:pPr>
        <w:pStyle w:val="ConsPlusNormal"/>
        <w:ind w:left="5811" w:right="0" w:firstLine="720"/>
        <w:jc w:val="right"/>
        <w:rPr>
          <w:rFonts w:ascii="Times New Roman" w:hAnsi="Times New Roman"/>
          <w:shd w:fill="auto" w:val="clear"/>
        </w:rPr>
      </w:pPr>
      <w:r>
        <w:rPr>
          <w:rFonts w:ascii="Times New Roman" w:hAnsi="Times New Roman"/>
          <w:shd w:fill="auto" w:val="clear"/>
        </w:rPr>
        <w:tab/>
        <w:t>к Требованиям к оформлению и составлению</w:t>
      </w:r>
    </w:p>
    <w:p>
      <w:pPr>
        <w:pStyle w:val="ConsPlusNormal"/>
        <w:ind w:left="5811" w:right="0" w:firstLine="720"/>
        <w:jc w:val="right"/>
        <w:rPr>
          <w:rFonts w:ascii="Times New Roman" w:hAnsi="Times New Roman"/>
          <w:shd w:fill="auto" w:val="clear"/>
        </w:rPr>
      </w:pPr>
      <w:r>
        <w:rPr>
          <w:rFonts w:ascii="Times New Roman" w:hAnsi="Times New Roman"/>
          <w:shd w:fill="auto" w:val="clear"/>
        </w:rPr>
        <w:t xml:space="preserve">сметной документации на выполнение работ </w:t>
      </w:r>
    </w:p>
    <w:p>
      <w:pPr>
        <w:pStyle w:val="ConsPlusNormal"/>
        <w:ind w:left="5811" w:right="0" w:firstLine="720"/>
        <w:jc w:val="right"/>
        <w:rPr>
          <w:rFonts w:ascii="Times New Roman" w:hAnsi="Times New Roman"/>
          <w:shd w:fill="auto" w:val="clear"/>
        </w:rPr>
      </w:pPr>
      <w:r>
        <w:rPr>
          <w:rFonts w:ascii="Times New Roman" w:hAnsi="Times New Roman"/>
          <w:shd w:fill="auto" w:val="clear"/>
        </w:rPr>
        <w:t xml:space="preserve"> </w:t>
      </w:r>
      <w:r>
        <w:rPr>
          <w:rFonts w:ascii="Times New Roman" w:hAnsi="Times New Roman"/>
          <w:shd w:fill="auto" w:val="clear"/>
        </w:rPr>
        <w:t>по программе эксплуатации</w:t>
      </w:r>
    </w:p>
    <w:p>
      <w:pPr>
        <w:pStyle w:val="Normal"/>
        <w:spacing w:lineRule="auto" w:line="240" w:before="0" w:after="0"/>
        <w:rPr>
          <w:rFonts w:ascii="Times New Roman" w:hAnsi="Times New Roman"/>
          <w:b/>
          <w:color w:val="000000"/>
          <w:sz w:val="20"/>
          <w:szCs w:val="20"/>
          <w:shd w:fill="auto" w:val="clear"/>
        </w:rPr>
      </w:pPr>
      <w:r>
        <w:rPr>
          <w:b/>
          <w:color w:val="000000"/>
          <w:sz w:val="20"/>
          <w:szCs w:val="20"/>
          <w:shd w:fill="auto" w:val="clear"/>
        </w:rPr>
        <w:t>ОБРАЗЕЦ (БИМ)</w:t>
      </w:r>
    </w:p>
    <w:p>
      <w:pPr>
        <w:pStyle w:val="Normal"/>
        <w:spacing w:lineRule="auto" w:line="240" w:before="0" w:after="0"/>
        <w:rPr>
          <w:rFonts w:ascii="Times New Roman" w:hAnsi="Times New Roman"/>
          <w:color w:val="000000"/>
          <w:sz w:val="20"/>
          <w:szCs w:val="20"/>
          <w:shd w:fill="auto" w:val="clear"/>
        </w:rPr>
      </w:pPr>
      <w:r>
        <w:rPr>
          <w:color w:val="000000"/>
          <w:sz w:val="20"/>
          <w:szCs w:val="20"/>
          <w:shd w:fill="auto" w:val="clear"/>
        </w:rPr>
      </w:r>
    </w:p>
    <w:tbl>
      <w:tblPr>
        <w:tblW w:w="5000" w:type="pct"/>
        <w:jc w:val="left"/>
        <w:tblInd w:w="0" w:type="dxa"/>
        <w:tblLayout w:type="fixed"/>
        <w:tblCellMar>
          <w:top w:w="0" w:type="dxa"/>
          <w:left w:w="108" w:type="dxa"/>
          <w:bottom w:w="0" w:type="dxa"/>
          <w:right w:w="108" w:type="dxa"/>
        </w:tblCellMar>
      </w:tblPr>
      <w:tblGrid>
        <w:gridCol w:w="1043"/>
        <w:gridCol w:w="1212"/>
        <w:gridCol w:w="635"/>
        <w:gridCol w:w="2591"/>
        <w:gridCol w:w="779"/>
        <w:gridCol w:w="1013"/>
        <w:gridCol w:w="612"/>
        <w:gridCol w:w="957"/>
        <w:gridCol w:w="998"/>
        <w:gridCol w:w="612"/>
        <w:gridCol w:w="959"/>
        <w:gridCol w:w="466"/>
        <w:gridCol w:w="631"/>
        <w:gridCol w:w="2061"/>
      </w:tblGrid>
      <w:tr>
        <w:trPr>
          <w:trHeight w:val="285" w:hRule="atLeast"/>
        </w:trPr>
        <w:tc>
          <w:tcPr>
            <w:tcW w:w="2890" w:type="dxa"/>
            <w:gridSpan w:val="3"/>
            <w:tcBorders/>
          </w:tcPr>
          <w:p>
            <w:pPr>
              <w:pStyle w:val="Normal"/>
              <w:widowControl w:val="false"/>
              <w:spacing w:lineRule="auto" w:line="240" w:before="0" w:after="0"/>
              <w:jc w:val="center"/>
              <w:rPr>
                <w:rFonts w:ascii="Arial" w:hAnsi="Arial" w:cs="Arial"/>
                <w:b/>
                <w:bCs/>
                <w:color w:val="000000"/>
                <w:sz w:val="16"/>
                <w:szCs w:val="16"/>
                <w:shd w:fill="auto" w:val="clear"/>
              </w:rPr>
            </w:pPr>
            <w:r>
              <w:rPr>
                <w:rFonts w:cs="Arial" w:ascii="Arial" w:hAnsi="Arial"/>
                <w:b/>
                <w:bCs/>
                <w:color w:val="000000"/>
                <w:sz w:val="16"/>
                <w:szCs w:val="16"/>
                <w:shd w:fill="auto" w:val="clear"/>
              </w:rPr>
              <w:t>СОГЛАСОВАНО:</w:t>
            </w:r>
          </w:p>
        </w:tc>
        <w:tc>
          <w:tcPr>
            <w:tcW w:w="2591" w:type="dxa"/>
            <w:tcBorders/>
          </w:tcPr>
          <w:p>
            <w:pPr>
              <w:pStyle w:val="Normal"/>
              <w:widowControl w:val="false"/>
              <w:spacing w:lineRule="auto" w:line="240" w:before="0" w:after="0"/>
              <w:jc w:val="center"/>
              <w:rPr>
                <w:rFonts w:ascii="Arial" w:hAnsi="Arial" w:cs="Arial"/>
                <w:b/>
                <w:bCs/>
                <w:color w:val="000000"/>
                <w:sz w:val="16"/>
                <w:szCs w:val="16"/>
                <w:shd w:fill="auto" w:val="clear"/>
              </w:rPr>
            </w:pPr>
            <w:r>
              <w:rPr>
                <w:rFonts w:cs="Arial" w:ascii="Arial" w:hAnsi="Arial"/>
                <w:b/>
                <w:bCs/>
                <w:color w:val="000000"/>
                <w:sz w:val="16"/>
                <w:szCs w:val="16"/>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117" w:type="dxa"/>
            <w:gridSpan w:val="4"/>
            <w:tcBorders/>
          </w:tcPr>
          <w:p>
            <w:pPr>
              <w:pStyle w:val="Normal"/>
              <w:widowControl w:val="false"/>
              <w:spacing w:lineRule="auto" w:line="240" w:before="0" w:after="0"/>
              <w:jc w:val="center"/>
              <w:rPr>
                <w:rFonts w:ascii="Arial" w:hAnsi="Arial" w:cs="Arial"/>
                <w:b/>
                <w:bCs/>
                <w:color w:val="000000"/>
                <w:sz w:val="16"/>
                <w:szCs w:val="16"/>
                <w:shd w:fill="auto" w:val="clear"/>
              </w:rPr>
            </w:pPr>
            <w:r>
              <w:rPr>
                <w:rFonts w:cs="Arial" w:ascii="Arial" w:hAnsi="Arial"/>
                <w:b/>
                <w:bCs/>
                <w:color w:val="000000"/>
                <w:sz w:val="16"/>
                <w:szCs w:val="16"/>
                <w:shd w:fill="auto" w:val="clear"/>
              </w:rPr>
              <w:t>УТВЕРЖДАЮ:</w:t>
            </w:r>
          </w:p>
        </w:tc>
      </w:tr>
      <w:tr>
        <w:trPr>
          <w:trHeight w:val="225" w:hRule="exact"/>
        </w:trPr>
        <w:tc>
          <w:tcPr>
            <w:tcW w:w="5481" w:type="dxa"/>
            <w:gridSpan w:val="4"/>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729" w:type="dxa"/>
            <w:gridSpan w:val="5"/>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rHeight w:val="345" w:hRule="atLeast"/>
        </w:trPr>
        <w:tc>
          <w:tcPr>
            <w:tcW w:w="1043"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1212"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5" w:type="dxa"/>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466"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1"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206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t> </w:t>
            </w:r>
          </w:p>
        </w:tc>
      </w:tr>
      <w:tr>
        <w:trPr>
          <w:trHeight w:val="330" w:hRule="atLeast"/>
        </w:trPr>
        <w:tc>
          <w:tcPr>
            <w:tcW w:w="2255" w:type="dxa"/>
            <w:gridSpan w:val="2"/>
            <w:tcBorders/>
            <w:vAlign w:val="bottom"/>
          </w:tcPr>
          <w:p>
            <w:pPr>
              <w:pStyle w:val="Normal"/>
              <w:widowControl w:val="false"/>
              <w:spacing w:lineRule="auto" w:line="240" w:before="0" w:after="0"/>
              <w:rPr>
                <w:shd w:fill="auto" w:val="clear"/>
              </w:rPr>
            </w:pPr>
            <w:r>
              <w:rPr>
                <w:rFonts w:cs="Arial" w:ascii="Arial" w:hAnsi="Arial"/>
                <w:color w:val="000000"/>
                <w:sz w:val="16"/>
                <w:szCs w:val="16"/>
                <w:shd w:fill="auto" w:val="clear"/>
              </w:rPr>
              <w:t>"_____" _____________202</w:t>
            </w:r>
            <w:r>
              <w:rPr>
                <w:rFonts w:cs="Arial" w:ascii="Arial" w:hAnsi="Arial"/>
                <w:color w:val="000000"/>
                <w:sz w:val="16"/>
                <w:szCs w:val="16"/>
                <w:shd w:fill="auto" w:val="clear"/>
                <w:lang w:val="en-US"/>
              </w:rPr>
              <w:t>5</w:t>
            </w:r>
            <w:r>
              <w:rPr>
                <w:rFonts w:cs="Arial" w:ascii="Arial" w:hAnsi="Arial"/>
                <w:color w:val="000000"/>
                <w:sz w:val="16"/>
                <w:szCs w:val="16"/>
                <w:shd w:fill="auto" w:val="clear"/>
              </w:rPr>
              <w:t xml:space="preserve"> г</w:t>
            </w:r>
          </w:p>
        </w:tc>
        <w:tc>
          <w:tcPr>
            <w:tcW w:w="635"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rPr>
                <w:shd w:fill="auto" w:val="clear"/>
              </w:rPr>
            </w:pPr>
            <w:r>
              <w:rPr>
                <w:rFonts w:cs="Arial" w:ascii="Arial" w:hAnsi="Arial"/>
                <w:color w:val="000000"/>
                <w:sz w:val="16"/>
                <w:szCs w:val="16"/>
                <w:shd w:fill="auto" w:val="clear"/>
              </w:rPr>
              <w:t>"_____" ________202</w:t>
            </w:r>
            <w:r>
              <w:rPr>
                <w:rFonts w:cs="Arial" w:ascii="Arial" w:hAnsi="Arial"/>
                <w:color w:val="000000"/>
                <w:sz w:val="16"/>
                <w:szCs w:val="16"/>
                <w:shd w:fill="auto" w:val="clear"/>
                <w:lang w:val="en-US"/>
              </w:rPr>
              <w:t>5</w:t>
            </w:r>
            <w:r>
              <w:rPr>
                <w:rFonts w:cs="Arial" w:ascii="Arial" w:hAnsi="Arial"/>
                <w:color w:val="000000"/>
                <w:sz w:val="16"/>
                <w:szCs w:val="16"/>
                <w:shd w:fill="auto" w:val="clear"/>
              </w:rPr>
              <w:t xml:space="preserve"> г</w:t>
            </w:r>
          </w:p>
        </w:tc>
      </w:tr>
      <w:tr>
        <w:trPr>
          <w:trHeight w:val="225" w:hRule="atLeast"/>
        </w:trPr>
        <w:tc>
          <w:tcPr>
            <w:tcW w:w="2890" w:type="dxa"/>
            <w:gridSpan w:val="3"/>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xml:space="preserve">Наименование редакции сметных нормативов  </w:t>
            </w:r>
          </w:p>
        </w:tc>
        <w:tc>
          <w:tcPr>
            <w:tcW w:w="11679" w:type="dxa"/>
            <w:gridSpan w:val="11"/>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r>
      <w:tr>
        <w:trPr>
          <w:trHeight w:val="300" w:hRule="atLeast"/>
        </w:trPr>
        <w:tc>
          <w:tcPr>
            <w:tcW w:w="2890" w:type="dxa"/>
            <w:gridSpan w:val="3"/>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Наименование программного про</w:t>
              <w:softHyphen/>
              <w:t>дукта</w:t>
            </w:r>
          </w:p>
        </w:tc>
        <w:tc>
          <w:tcPr>
            <w:tcW w:w="3370" w:type="dxa"/>
            <w:gridSpan w:val="2"/>
            <w:tcBorders>
              <w:bottom w:val="single" w:sz="4" w:space="0" w:color="000000"/>
            </w:tcBorders>
            <w:vAlign w:val="bottom"/>
          </w:tcPr>
          <w:p>
            <w:pPr>
              <w:pStyle w:val="Normal"/>
              <w:widowControl w:val="false"/>
              <w:spacing w:lineRule="auto" w:line="240" w:before="0" w:after="0"/>
              <w:rPr>
                <w:shd w:fill="auto" w:val="clear"/>
              </w:rPr>
            </w:pPr>
            <w:r>
              <w:rPr>
                <w:rFonts w:cs="Arial" w:ascii="Arial" w:hAnsi="Arial"/>
                <w:color w:val="000000"/>
                <w:sz w:val="16"/>
                <w:szCs w:val="16"/>
                <w:shd w:fill="auto" w:val="clear"/>
              </w:rPr>
              <w:t>ПК "ГРАНД-Смета 202</w:t>
            </w:r>
            <w:r>
              <w:rPr>
                <w:rFonts w:cs="Arial" w:ascii="Arial" w:hAnsi="Arial"/>
                <w:color w:val="000000"/>
                <w:sz w:val="16"/>
                <w:szCs w:val="16"/>
                <w:shd w:fill="auto" w:val="clear"/>
                <w:lang w:val="en-US"/>
              </w:rPr>
              <w:t>5</w:t>
            </w:r>
            <w:r>
              <w:rPr>
                <w:rFonts w:cs="Arial" w:ascii="Arial" w:hAnsi="Arial"/>
                <w:color w:val="000000"/>
                <w:sz w:val="16"/>
                <w:szCs w:val="16"/>
                <w:shd w:fill="auto" w:val="clear"/>
              </w:rPr>
              <w:t>"</w:t>
            </w:r>
          </w:p>
        </w:tc>
        <w:tc>
          <w:tcPr>
            <w:tcW w:w="1013"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12"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957"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998"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12"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959"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466"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1"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2061"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r>
      <w:tr>
        <w:trPr>
          <w:trHeight w:val="165" w:hRule="exact"/>
        </w:trPr>
        <w:tc>
          <w:tcPr>
            <w:tcW w:w="104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12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5"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59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rHeight w:val="225" w:hRule="atLeast"/>
        </w:trPr>
        <w:tc>
          <w:tcPr>
            <w:tcW w:w="14569" w:type="dxa"/>
            <w:gridSpan w:val="14"/>
            <w:tcBorders>
              <w:top w:val="single" w:sz="4" w:space="0" w:color="000000"/>
            </w:tcBorders>
          </w:tcPr>
          <w:p>
            <w:pPr>
              <w:pStyle w:val="Normal"/>
              <w:widowControl w:val="false"/>
              <w:spacing w:lineRule="auto" w:line="240" w:before="0" w:after="0"/>
              <w:jc w:val="center"/>
              <w:rPr>
                <w:rFonts w:ascii="Arial" w:hAnsi="Arial" w:cs="Arial"/>
                <w:i/>
                <w:i/>
                <w:iCs/>
                <w:color w:val="000000"/>
                <w:sz w:val="16"/>
                <w:szCs w:val="16"/>
                <w:shd w:fill="auto" w:val="clear"/>
              </w:rPr>
            </w:pPr>
            <w:r>
              <w:rPr>
                <w:rFonts w:cs="Arial" w:ascii="Arial" w:hAnsi="Arial"/>
                <w:i/>
                <w:iCs/>
                <w:color w:val="000000"/>
                <w:sz w:val="16"/>
                <w:szCs w:val="16"/>
                <w:shd w:fill="auto" w:val="clear"/>
              </w:rPr>
              <w:t>(наименование стройки)</w:t>
            </w:r>
          </w:p>
        </w:tc>
      </w:tr>
      <w:tr>
        <w:trPr>
          <w:trHeight w:val="225" w:hRule="exact"/>
        </w:trPr>
        <w:tc>
          <w:tcPr>
            <w:tcW w:w="14569" w:type="dxa"/>
            <w:gridSpan w:val="14"/>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r>
      <w:tr>
        <w:trPr>
          <w:trHeight w:val="225" w:hRule="atLeast"/>
        </w:trPr>
        <w:tc>
          <w:tcPr>
            <w:tcW w:w="14569" w:type="dxa"/>
            <w:gridSpan w:val="14"/>
            <w:tcBorders>
              <w:top w:val="single" w:sz="4" w:space="0" w:color="000000"/>
            </w:tcBorders>
          </w:tcPr>
          <w:p>
            <w:pPr>
              <w:pStyle w:val="Normal"/>
              <w:widowControl w:val="false"/>
              <w:spacing w:lineRule="auto" w:line="240" w:before="0" w:after="0"/>
              <w:jc w:val="center"/>
              <w:rPr>
                <w:rFonts w:ascii="Arial" w:hAnsi="Arial" w:cs="Arial"/>
                <w:i/>
                <w:i/>
                <w:iCs/>
                <w:color w:val="000000"/>
                <w:sz w:val="16"/>
                <w:szCs w:val="16"/>
                <w:shd w:fill="auto" w:val="clear"/>
              </w:rPr>
            </w:pPr>
            <w:r>
              <w:rPr>
                <w:rFonts w:cs="Arial" w:ascii="Arial" w:hAnsi="Arial"/>
                <w:i/>
                <w:iCs/>
                <w:color w:val="000000"/>
                <w:sz w:val="16"/>
                <w:szCs w:val="16"/>
                <w:shd w:fill="auto" w:val="clear"/>
              </w:rPr>
              <w:t>(наименование объекта капитального строительства)</w:t>
            </w:r>
          </w:p>
        </w:tc>
      </w:tr>
      <w:tr>
        <w:trPr>
          <w:trHeight w:val="480" w:hRule="atLeast"/>
        </w:trPr>
        <w:tc>
          <w:tcPr>
            <w:tcW w:w="14569" w:type="dxa"/>
            <w:gridSpan w:val="14"/>
            <w:tcBorders/>
            <w:vAlign w:val="bottom"/>
          </w:tcPr>
          <w:p>
            <w:pPr>
              <w:pStyle w:val="Normal"/>
              <w:widowControl w:val="false"/>
              <w:spacing w:lineRule="auto" w:line="240" w:before="0" w:after="0"/>
              <w:jc w:val="center"/>
              <w:rPr>
                <w:rFonts w:ascii="Arial" w:hAnsi="Arial" w:cs="Arial"/>
                <w:b/>
                <w:bCs/>
                <w:color w:val="000000"/>
                <w:sz w:val="24"/>
                <w:szCs w:val="24"/>
                <w:shd w:fill="auto" w:val="clear"/>
              </w:rPr>
            </w:pPr>
            <w:r>
              <w:rPr>
                <w:rFonts w:cs="Arial" w:ascii="Arial" w:hAnsi="Arial"/>
                <w:b/>
                <w:bCs/>
                <w:color w:val="000000"/>
                <w:sz w:val="24"/>
                <w:szCs w:val="24"/>
                <w:shd w:fill="auto" w:val="clear"/>
              </w:rPr>
              <w:t xml:space="preserve">ЛОКАЛЬНЫЙ СМЕТНЫЙ РАСЧЕТ (СМЕТА) № </w:t>
            </w:r>
          </w:p>
        </w:tc>
      </w:tr>
      <w:tr>
        <w:trPr>
          <w:trHeight w:val="165" w:hRule="exact"/>
        </w:trPr>
        <w:tc>
          <w:tcPr>
            <w:tcW w:w="1043" w:type="dxa"/>
            <w:tcBorders/>
            <w:vAlign w:val="bottom"/>
          </w:tcPr>
          <w:p>
            <w:pPr>
              <w:pStyle w:val="Normal"/>
              <w:widowControl w:val="false"/>
              <w:spacing w:lineRule="auto" w:line="240" w:before="0" w:after="0"/>
              <w:jc w:val="center"/>
              <w:rPr>
                <w:rFonts w:ascii="Arial" w:hAnsi="Arial" w:cs="Arial"/>
                <w:b/>
                <w:bCs/>
                <w:color w:val="000000"/>
                <w:sz w:val="28"/>
                <w:szCs w:val="28"/>
                <w:shd w:fill="auto" w:val="clear"/>
              </w:rPr>
            </w:pPr>
            <w:r>
              <w:rPr>
                <w:rFonts w:cs="Arial" w:ascii="Arial" w:hAnsi="Arial"/>
                <w:b/>
                <w:bCs/>
                <w:color w:val="000000"/>
                <w:sz w:val="28"/>
                <w:szCs w:val="28"/>
                <w:shd w:fill="auto" w:val="clear"/>
              </w:rPr>
            </w:r>
          </w:p>
        </w:tc>
        <w:tc>
          <w:tcPr>
            <w:tcW w:w="1212"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635"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259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466"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63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r>
      <w:tr>
        <w:trPr>
          <w:trHeight w:val="225" w:hRule="atLeast"/>
        </w:trPr>
        <w:tc>
          <w:tcPr>
            <w:tcW w:w="14569" w:type="dxa"/>
            <w:gridSpan w:val="14"/>
            <w:tcBorders>
              <w:bottom w:val="single" w:sz="4" w:space="0" w:color="000000"/>
            </w:tcBorders>
            <w:vAlign w:val="bottom"/>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r>
          </w:p>
        </w:tc>
      </w:tr>
      <w:tr>
        <w:trPr>
          <w:trHeight w:val="270" w:hRule="atLeast"/>
        </w:trPr>
        <w:tc>
          <w:tcPr>
            <w:tcW w:w="14569" w:type="dxa"/>
            <w:gridSpan w:val="14"/>
            <w:tcBorders>
              <w:top w:val="single" w:sz="4" w:space="0" w:color="000000"/>
            </w:tcBorders>
          </w:tcPr>
          <w:p>
            <w:pPr>
              <w:pStyle w:val="Normal"/>
              <w:widowControl w:val="false"/>
              <w:spacing w:lineRule="auto" w:line="240" w:before="0" w:after="0"/>
              <w:jc w:val="center"/>
              <w:rPr>
                <w:rFonts w:ascii="Arial" w:hAnsi="Arial" w:cs="Arial"/>
                <w:i/>
                <w:i/>
                <w:iCs/>
                <w:color w:val="000000"/>
                <w:sz w:val="16"/>
                <w:szCs w:val="16"/>
                <w:shd w:fill="auto" w:val="clear"/>
              </w:rPr>
            </w:pPr>
            <w:r>
              <w:rPr>
                <w:rFonts w:cs="Arial" w:ascii="Arial" w:hAnsi="Arial"/>
                <w:i/>
                <w:iCs/>
                <w:color w:val="000000"/>
                <w:sz w:val="16"/>
                <w:szCs w:val="16"/>
                <w:shd w:fill="auto" w:val="clear"/>
              </w:rPr>
              <w:t>(наименование конструктивного решения)</w:t>
            </w:r>
          </w:p>
        </w:tc>
      </w:tr>
      <w:tr>
        <w:trPr>
          <w:trHeight w:val="300" w:hRule="atLeast"/>
        </w:trPr>
        <w:tc>
          <w:tcPr>
            <w:tcW w:w="104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xml:space="preserve">Составлен </w:t>
            </w:r>
          </w:p>
        </w:tc>
        <w:tc>
          <w:tcPr>
            <w:tcW w:w="1212" w:type="dxa"/>
            <w:tcBorders>
              <w:bottom w:val="single" w:sz="4" w:space="0" w:color="000000"/>
            </w:tcBorders>
            <w:vAlign w:val="bottom"/>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базисно-индексным</w:t>
            </w:r>
          </w:p>
        </w:tc>
        <w:tc>
          <w:tcPr>
            <w:tcW w:w="635"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методом</w:t>
            </w:r>
          </w:p>
        </w:tc>
        <w:tc>
          <w:tcPr>
            <w:tcW w:w="2591"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rHeight w:val="360" w:hRule="atLeast"/>
        </w:trPr>
        <w:tc>
          <w:tcPr>
            <w:tcW w:w="104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Основание</w:t>
            </w:r>
          </w:p>
        </w:tc>
        <w:tc>
          <w:tcPr>
            <w:tcW w:w="6230" w:type="dxa"/>
            <w:gridSpan w:val="5"/>
            <w:tcBorders>
              <w:bottom w:val="single" w:sz="4" w:space="0" w:color="000000"/>
            </w:tcBorders>
            <w:vAlign w:val="bottom"/>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r>
          </w:p>
        </w:tc>
        <w:tc>
          <w:tcPr>
            <w:tcW w:w="612" w:type="dxa"/>
            <w:tcBorders/>
            <w:vAlign w:val="bottom"/>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rHeight w:val="225" w:hRule="atLeast"/>
        </w:trPr>
        <w:tc>
          <w:tcPr>
            <w:tcW w:w="104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230" w:type="dxa"/>
            <w:gridSpan w:val="5"/>
            <w:tcBorders>
              <w:top w:val="single" w:sz="4" w:space="0" w:color="000000"/>
            </w:tcBorders>
            <w:vAlign w:val="bottom"/>
          </w:tcPr>
          <w:p>
            <w:pPr>
              <w:pStyle w:val="Normal"/>
              <w:widowControl w:val="false"/>
              <w:spacing w:lineRule="auto" w:line="240" w:before="0" w:after="0"/>
              <w:jc w:val="center"/>
              <w:rPr>
                <w:rFonts w:ascii="Arial" w:hAnsi="Arial" w:cs="Arial"/>
                <w:i/>
                <w:i/>
                <w:iCs/>
                <w:color w:val="000000"/>
                <w:sz w:val="16"/>
                <w:szCs w:val="16"/>
                <w:shd w:fill="auto" w:val="clear"/>
              </w:rPr>
            </w:pPr>
            <w:r>
              <w:rPr>
                <w:rFonts w:cs="Arial" w:ascii="Arial" w:hAnsi="Arial"/>
                <w:i/>
                <w:iCs/>
                <w:color w:val="000000"/>
                <w:sz w:val="16"/>
                <w:szCs w:val="16"/>
                <w:shd w:fill="auto" w:val="clear"/>
              </w:rPr>
              <w:t>(проектная и (или) иная техническая документация)</w:t>
            </w:r>
          </w:p>
        </w:tc>
        <w:tc>
          <w:tcPr>
            <w:tcW w:w="612" w:type="dxa"/>
            <w:tcBorders/>
            <w:vAlign w:val="bottom"/>
          </w:tcPr>
          <w:p>
            <w:pPr>
              <w:pStyle w:val="Normal"/>
              <w:widowControl w:val="false"/>
              <w:spacing w:lineRule="auto" w:line="240" w:before="0" w:after="0"/>
              <w:jc w:val="center"/>
              <w:rPr>
                <w:rFonts w:ascii="Arial" w:hAnsi="Arial" w:cs="Arial"/>
                <w:i/>
                <w:i/>
                <w:iCs/>
                <w:color w:val="000000"/>
                <w:sz w:val="16"/>
                <w:szCs w:val="16"/>
                <w:shd w:fill="auto" w:val="clear"/>
              </w:rPr>
            </w:pPr>
            <w:r>
              <w:rPr>
                <w:rFonts w:cs="Arial" w:ascii="Arial" w:hAnsi="Arial"/>
                <w:i/>
                <w:iCs/>
                <w:color w:val="000000"/>
                <w:sz w:val="16"/>
                <w:szCs w:val="16"/>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r>
      <w:tr>
        <w:trPr>
          <w:trHeight w:val="225" w:hRule="atLeast"/>
        </w:trPr>
        <w:tc>
          <w:tcPr>
            <w:tcW w:w="2890" w:type="dxa"/>
            <w:gridSpan w:val="3"/>
            <w:tcBorders/>
            <w:vAlign w:val="bottom"/>
          </w:tcPr>
          <w:p>
            <w:pPr>
              <w:pStyle w:val="Normal"/>
              <w:widowControl w:val="false"/>
              <w:spacing w:lineRule="auto" w:line="240" w:before="0" w:after="0"/>
              <w:rPr>
                <w:rFonts w:ascii="Arial" w:hAnsi="Arial" w:cs="Arial"/>
                <w:b/>
                <w:bCs/>
                <w:color w:val="000000"/>
                <w:sz w:val="16"/>
                <w:szCs w:val="16"/>
                <w:shd w:fill="auto" w:val="clear"/>
              </w:rPr>
            </w:pPr>
            <w:r>
              <w:rPr>
                <w:rFonts w:cs="Arial" w:ascii="Arial" w:hAnsi="Arial"/>
                <w:b/>
                <w:bCs/>
                <w:color w:val="000000"/>
                <w:sz w:val="16"/>
                <w:szCs w:val="16"/>
                <w:shd w:fill="auto" w:val="clear"/>
              </w:rPr>
              <w:t>Составлен(а) в текущем (базис</w:t>
              <w:softHyphen/>
              <w:t xml:space="preserve">ном) уровне цен </w:t>
            </w:r>
          </w:p>
        </w:tc>
        <w:tc>
          <w:tcPr>
            <w:tcW w:w="2591"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lang w:val="en-US"/>
              </w:rPr>
            </w:pPr>
            <w:r>
              <w:rPr>
                <w:rFonts w:cs="Arial" w:ascii="Arial" w:hAnsi="Arial"/>
                <w:color w:val="000000"/>
                <w:sz w:val="16"/>
                <w:szCs w:val="16"/>
                <w:shd w:fill="auto" w:val="clear"/>
                <w:lang w:val="en-US"/>
              </w:rPr>
              <w:t>4 кв.2025г.</w:t>
            </w:r>
          </w:p>
        </w:tc>
        <w:tc>
          <w:tcPr>
            <w:tcW w:w="779"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466"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63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r>
      <w:tr>
        <w:trPr>
          <w:trHeight w:val="255" w:hRule="atLeast"/>
        </w:trPr>
        <w:tc>
          <w:tcPr>
            <w:tcW w:w="2255" w:type="dxa"/>
            <w:gridSpan w:val="2"/>
            <w:tcBorders/>
            <w:vAlign w:val="bottom"/>
          </w:tcPr>
          <w:p>
            <w:pPr>
              <w:pStyle w:val="Normal"/>
              <w:widowControl w:val="false"/>
              <w:spacing w:lineRule="auto" w:line="240" w:before="0" w:after="0"/>
              <w:rPr>
                <w:rFonts w:ascii="Arial" w:hAnsi="Arial" w:cs="Arial"/>
                <w:b/>
                <w:bCs/>
                <w:color w:val="000000"/>
                <w:sz w:val="16"/>
                <w:szCs w:val="16"/>
                <w:shd w:fill="auto" w:val="clear"/>
              </w:rPr>
            </w:pPr>
            <w:r>
              <w:rPr>
                <w:rFonts w:cs="Arial" w:ascii="Arial" w:hAnsi="Arial"/>
                <w:b/>
                <w:bCs/>
                <w:color w:val="000000"/>
                <w:sz w:val="16"/>
                <w:szCs w:val="16"/>
                <w:shd w:fill="auto" w:val="clear"/>
              </w:rPr>
              <w:t xml:space="preserve">Сметная стоимость </w:t>
            </w:r>
          </w:p>
        </w:tc>
        <w:tc>
          <w:tcPr>
            <w:tcW w:w="635"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779"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тыс.руб.</w:t>
            </w:r>
          </w:p>
        </w:tc>
        <w:tc>
          <w:tcPr>
            <w:tcW w:w="101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rHeight w:val="255" w:hRule="atLeast"/>
        </w:trPr>
        <w:tc>
          <w:tcPr>
            <w:tcW w:w="104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12"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в том числе:</w:t>
            </w:r>
          </w:p>
        </w:tc>
        <w:tc>
          <w:tcPr>
            <w:tcW w:w="635"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rHeight w:val="255" w:hRule="atLeast"/>
        </w:trPr>
        <w:tc>
          <w:tcPr>
            <w:tcW w:w="104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12"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строительных работ</w:t>
            </w:r>
          </w:p>
        </w:tc>
        <w:tc>
          <w:tcPr>
            <w:tcW w:w="635"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779"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тыс.руб.</w:t>
            </w:r>
          </w:p>
        </w:tc>
        <w:tc>
          <w:tcPr>
            <w:tcW w:w="101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3179" w:type="dxa"/>
            <w:gridSpan w:val="4"/>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Средства на оплату труда рабочих</w:t>
            </w:r>
          </w:p>
        </w:tc>
        <w:tc>
          <w:tcPr>
            <w:tcW w:w="959"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466"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63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061"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тыс.руб.</w:t>
            </w:r>
          </w:p>
        </w:tc>
      </w:tr>
      <w:tr>
        <w:trPr>
          <w:trHeight w:val="255" w:hRule="atLeast"/>
        </w:trPr>
        <w:tc>
          <w:tcPr>
            <w:tcW w:w="104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1212"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монтажных работ</w:t>
            </w:r>
          </w:p>
        </w:tc>
        <w:tc>
          <w:tcPr>
            <w:tcW w:w="635"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779"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тыс.руб.</w:t>
            </w:r>
          </w:p>
        </w:tc>
        <w:tc>
          <w:tcPr>
            <w:tcW w:w="101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3179" w:type="dxa"/>
            <w:gridSpan w:val="4"/>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Нормативные затраты труда рабочих</w:t>
            </w:r>
          </w:p>
        </w:tc>
        <w:tc>
          <w:tcPr>
            <w:tcW w:w="959"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466"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061"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чел.час.</w:t>
            </w:r>
          </w:p>
        </w:tc>
      </w:tr>
      <w:tr>
        <w:trPr>
          <w:trHeight w:val="255" w:hRule="atLeast"/>
        </w:trPr>
        <w:tc>
          <w:tcPr>
            <w:tcW w:w="104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1212"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оборудования</w:t>
            </w:r>
          </w:p>
        </w:tc>
        <w:tc>
          <w:tcPr>
            <w:tcW w:w="635"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779"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тыс.руб.</w:t>
            </w:r>
          </w:p>
        </w:tc>
        <w:tc>
          <w:tcPr>
            <w:tcW w:w="101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3179" w:type="dxa"/>
            <w:gridSpan w:val="4"/>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Нормативные затраты труда машини</w:t>
              <w:softHyphen/>
              <w:t>стов</w:t>
            </w:r>
          </w:p>
        </w:tc>
        <w:tc>
          <w:tcPr>
            <w:tcW w:w="959"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466"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t> </w:t>
            </w:r>
          </w:p>
        </w:tc>
        <w:tc>
          <w:tcPr>
            <w:tcW w:w="2061"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чел.час.</w:t>
            </w:r>
          </w:p>
        </w:tc>
      </w:tr>
      <w:tr>
        <w:trPr>
          <w:trHeight w:val="255" w:hRule="atLeast"/>
        </w:trPr>
        <w:tc>
          <w:tcPr>
            <w:tcW w:w="104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1212"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прочих за</w:t>
              <w:softHyphen/>
              <w:t>трат</w:t>
            </w:r>
          </w:p>
        </w:tc>
        <w:tc>
          <w:tcPr>
            <w:tcW w:w="635"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779"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тыс.руб.</w:t>
            </w:r>
          </w:p>
        </w:tc>
        <w:tc>
          <w:tcPr>
            <w:tcW w:w="101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4138" w:type="dxa"/>
            <w:gridSpan w:val="5"/>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xml:space="preserve">Расчетный измеритель конструктивного решения  </w:t>
            </w:r>
          </w:p>
        </w:tc>
        <w:tc>
          <w:tcPr>
            <w:tcW w:w="1097" w:type="dxa"/>
            <w:gridSpan w:val="2"/>
            <w:tcBorders>
              <w:top w:val="single" w:sz="4" w:space="0" w:color="000000"/>
              <w:bottom w:val="single" w:sz="4" w:space="0" w:color="000000"/>
            </w:tcBorders>
            <w:vAlign w:val="bottom"/>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 </w:t>
            </w:r>
          </w:p>
        </w:tc>
        <w:tc>
          <w:tcPr>
            <w:tcW w:w="2061" w:type="dxa"/>
            <w:tcBorders/>
            <w:vAlign w:val="bottom"/>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r>
          </w:p>
        </w:tc>
      </w:tr>
      <w:tr>
        <w:trPr>
          <w:trHeight w:val="195" w:hRule="exact"/>
        </w:trPr>
        <w:tc>
          <w:tcPr>
            <w:tcW w:w="1043" w:type="dxa"/>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5"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59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rHeight w:val="720" w:hRule="atLeast"/>
        </w:trPr>
        <w:tc>
          <w:tcPr>
            <w:tcW w:w="104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 xml:space="preserve">№ </w:t>
            </w:r>
            <w:r>
              <w:rPr>
                <w:rFonts w:cs="Arial" w:ascii="Arial" w:hAnsi="Arial"/>
                <w:color w:val="000000"/>
                <w:sz w:val="16"/>
                <w:szCs w:val="16"/>
                <w:shd w:fill="auto" w:val="clear"/>
              </w:rPr>
              <w:t>п/п</w:t>
            </w:r>
          </w:p>
        </w:tc>
        <w:tc>
          <w:tcPr>
            <w:tcW w:w="12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Обоснование</w:t>
            </w:r>
          </w:p>
        </w:tc>
        <w:tc>
          <w:tcPr>
            <w:tcW w:w="4005"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Наименование работ и затрат</w:t>
            </w:r>
          </w:p>
        </w:tc>
        <w:tc>
          <w:tcPr>
            <w:tcW w:w="10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Единица измере</w:t>
              <w:softHyphen/>
              <w:t>ния</w:t>
            </w:r>
          </w:p>
        </w:tc>
        <w:tc>
          <w:tcPr>
            <w:tcW w:w="2567"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Количество</w:t>
            </w:r>
          </w:p>
        </w:tc>
        <w:tc>
          <w:tcPr>
            <w:tcW w:w="2037"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Сметная стоимость в базисном уровне цен (в текущем уровне цен (гр. 8) для ресурсов, отсут</w:t>
              <w:softHyphen/>
              <w:t>ствующих в СНБ), руб.</w:t>
            </w:r>
          </w:p>
        </w:tc>
        <w:tc>
          <w:tcPr>
            <w:tcW w:w="63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Индексы</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Сметная стоимость в текущем уровне цен, руб.</w:t>
            </w:r>
          </w:p>
        </w:tc>
      </w:tr>
      <w:tr>
        <w:trPr>
          <w:trHeight w:val="735" w:hRule="atLeast"/>
        </w:trPr>
        <w:tc>
          <w:tcPr>
            <w:tcW w:w="104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400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0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567"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037"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63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0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r>
      <w:tr>
        <w:trPr>
          <w:trHeight w:val="900" w:hRule="atLeast"/>
        </w:trPr>
        <w:tc>
          <w:tcPr>
            <w:tcW w:w="104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400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0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612"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на еди</w:t>
              <w:softHyphen/>
              <w:t>ницу</w:t>
            </w:r>
          </w:p>
        </w:tc>
        <w:tc>
          <w:tcPr>
            <w:tcW w:w="957"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коэффициенты</w:t>
            </w:r>
          </w:p>
        </w:tc>
        <w:tc>
          <w:tcPr>
            <w:tcW w:w="998"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всего с учетом коэффицие</w:t>
              <w:softHyphen/>
              <w:t>нтов</w:t>
            </w:r>
          </w:p>
        </w:tc>
        <w:tc>
          <w:tcPr>
            <w:tcW w:w="612"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на еди</w:t>
              <w:softHyphen/>
              <w:t>ницу</w:t>
            </w:r>
          </w:p>
        </w:tc>
        <w:tc>
          <w:tcPr>
            <w:tcW w:w="959"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коэффициенты</w:t>
            </w:r>
          </w:p>
        </w:tc>
        <w:tc>
          <w:tcPr>
            <w:tcW w:w="466"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всего</w:t>
            </w:r>
          </w:p>
        </w:tc>
        <w:tc>
          <w:tcPr>
            <w:tcW w:w="63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0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r>
      <w:tr>
        <w:trPr>
          <w:trHeight w:val="225" w:hRule="atLeast"/>
        </w:trPr>
        <w:tc>
          <w:tcPr>
            <w:tcW w:w="1043"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w:t>
            </w:r>
          </w:p>
        </w:tc>
        <w:tc>
          <w:tcPr>
            <w:tcW w:w="1212"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2</w:t>
            </w:r>
          </w:p>
        </w:tc>
        <w:tc>
          <w:tcPr>
            <w:tcW w:w="4005" w:type="dxa"/>
            <w:gridSpan w:val="3"/>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3</w:t>
            </w:r>
          </w:p>
        </w:tc>
        <w:tc>
          <w:tcPr>
            <w:tcW w:w="1013"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4</w:t>
            </w:r>
          </w:p>
        </w:tc>
        <w:tc>
          <w:tcPr>
            <w:tcW w:w="612"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5</w:t>
            </w:r>
          </w:p>
        </w:tc>
        <w:tc>
          <w:tcPr>
            <w:tcW w:w="957"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6</w:t>
            </w:r>
          </w:p>
        </w:tc>
        <w:tc>
          <w:tcPr>
            <w:tcW w:w="998"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7</w:t>
            </w:r>
          </w:p>
        </w:tc>
        <w:tc>
          <w:tcPr>
            <w:tcW w:w="612"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8</w:t>
            </w:r>
          </w:p>
        </w:tc>
        <w:tc>
          <w:tcPr>
            <w:tcW w:w="959"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9</w:t>
            </w:r>
          </w:p>
        </w:tc>
        <w:tc>
          <w:tcPr>
            <w:tcW w:w="466"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10</w:t>
            </w:r>
          </w:p>
        </w:tc>
        <w:tc>
          <w:tcPr>
            <w:tcW w:w="631"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11</w:t>
            </w:r>
          </w:p>
        </w:tc>
        <w:tc>
          <w:tcPr>
            <w:tcW w:w="2061"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12</w:t>
            </w:r>
          </w:p>
        </w:tc>
      </w:tr>
    </w:tbl>
    <w:p>
      <w:pPr>
        <w:pStyle w:val="Normal"/>
        <w:spacing w:lineRule="auto" w:line="240" w:before="0" w:after="0"/>
        <w:rPr>
          <w:rFonts w:ascii="Times New Roman" w:hAnsi="Times New Roman"/>
          <w:b/>
          <w:color w:val="000000"/>
          <w:sz w:val="20"/>
          <w:szCs w:val="20"/>
          <w:shd w:fill="auto" w:val="clear"/>
        </w:rPr>
      </w:pPr>
      <w:r>
        <w:rPr>
          <w:b/>
          <w:color w:val="000000"/>
          <w:sz w:val="20"/>
          <w:szCs w:val="20"/>
          <w:shd w:fill="auto" w:val="clea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p>
    <w:p>
      <w:pPr>
        <w:pStyle w:val="Normal"/>
        <w:ind w:left="5670" w:right="0" w:hanging="0"/>
        <w:jc w:val="right"/>
        <w:rPr>
          <w:rFonts w:ascii="Times New Roman" w:hAnsi="Times New Roman"/>
        </w:rPr>
      </w:pPr>
      <w:r>
        <w:rPr/>
      </w:r>
      <w:r>
        <w:br w:type="page"/>
      </w:r>
    </w:p>
    <w:p>
      <w:pPr>
        <w:pStyle w:val="Normal"/>
        <w:spacing w:lineRule="auto" w:line="240" w:before="0" w:after="0"/>
        <w:rPr>
          <w:shd w:fill="auto" w:val="clear"/>
        </w:rPr>
      </w:pPr>
      <w:r>
        <w:rPr>
          <w:b/>
          <w:color w:val="000000"/>
          <w:sz w:val="20"/>
          <w:szCs w:val="20"/>
          <w:shd w:fill="auto" w:val="clear"/>
        </w:rPr>
        <w:t>ОБРАЗЕЦ (</w:t>
      </w:r>
      <w:r>
        <w:rPr>
          <w:b/>
          <w:color w:val="000000"/>
          <w:sz w:val="20"/>
          <w:szCs w:val="20"/>
          <w:shd w:fill="auto" w:val="clear"/>
          <w:lang w:val="en-US"/>
        </w:rPr>
        <w:t>Р</w:t>
      </w:r>
      <w:r>
        <w:rPr>
          <w:b/>
          <w:color w:val="000000"/>
          <w:sz w:val="20"/>
          <w:szCs w:val="20"/>
          <w:shd w:fill="auto" w:val="clear"/>
        </w:rPr>
        <w:t>ИМ)</w:t>
      </w:r>
    </w:p>
    <w:tbl>
      <w:tblPr>
        <w:tblW w:w="5000" w:type="pct"/>
        <w:jc w:val="left"/>
        <w:tblInd w:w="0" w:type="dxa"/>
        <w:tblLayout w:type="fixed"/>
        <w:tblCellMar>
          <w:top w:w="0" w:type="dxa"/>
          <w:left w:w="108" w:type="dxa"/>
          <w:bottom w:w="0" w:type="dxa"/>
          <w:right w:w="108" w:type="dxa"/>
        </w:tblCellMar>
      </w:tblPr>
      <w:tblGrid>
        <w:gridCol w:w="1043"/>
        <w:gridCol w:w="1212"/>
        <w:gridCol w:w="635"/>
        <w:gridCol w:w="2591"/>
        <w:gridCol w:w="779"/>
        <w:gridCol w:w="1013"/>
        <w:gridCol w:w="612"/>
        <w:gridCol w:w="957"/>
        <w:gridCol w:w="998"/>
        <w:gridCol w:w="612"/>
        <w:gridCol w:w="959"/>
        <w:gridCol w:w="466"/>
        <w:gridCol w:w="631"/>
        <w:gridCol w:w="2061"/>
      </w:tblGrid>
      <w:tr>
        <w:trPr/>
        <w:tc>
          <w:tcPr>
            <w:tcW w:w="2890" w:type="dxa"/>
            <w:gridSpan w:val="3"/>
            <w:tcBorders/>
          </w:tcPr>
          <w:p>
            <w:pPr>
              <w:pStyle w:val="Normal"/>
              <w:widowControl w:val="false"/>
              <w:spacing w:lineRule="auto" w:line="240" w:before="0" w:after="0"/>
              <w:jc w:val="center"/>
              <w:rPr>
                <w:rFonts w:ascii="Arial" w:hAnsi="Arial" w:cs="Arial"/>
                <w:b/>
                <w:bCs/>
                <w:color w:val="000000"/>
                <w:sz w:val="16"/>
                <w:szCs w:val="16"/>
                <w:shd w:fill="auto" w:val="clear"/>
              </w:rPr>
            </w:pPr>
            <w:r>
              <w:rPr>
                <w:rFonts w:cs="Arial" w:ascii="Arial" w:hAnsi="Arial"/>
                <w:b/>
                <w:bCs/>
                <w:color w:val="000000"/>
                <w:sz w:val="16"/>
                <w:szCs w:val="16"/>
                <w:shd w:fill="auto" w:val="clear"/>
              </w:rPr>
              <w:t>СОГЛАСОВАНО:</w:t>
            </w:r>
          </w:p>
        </w:tc>
        <w:tc>
          <w:tcPr>
            <w:tcW w:w="2591" w:type="dxa"/>
            <w:tcBorders/>
          </w:tcPr>
          <w:p>
            <w:pPr>
              <w:pStyle w:val="Normal"/>
              <w:widowControl w:val="false"/>
              <w:spacing w:lineRule="auto" w:line="240" w:before="0" w:after="0"/>
              <w:jc w:val="center"/>
              <w:rPr>
                <w:rFonts w:ascii="Arial" w:hAnsi="Arial" w:cs="Arial"/>
                <w:b/>
                <w:bCs/>
                <w:color w:val="000000"/>
                <w:sz w:val="16"/>
                <w:szCs w:val="16"/>
                <w:shd w:fill="auto" w:val="clear"/>
              </w:rPr>
            </w:pPr>
            <w:r>
              <w:rPr>
                <w:rFonts w:cs="Arial" w:ascii="Arial" w:hAnsi="Arial"/>
                <w:b/>
                <w:bCs/>
                <w:color w:val="000000"/>
                <w:sz w:val="16"/>
                <w:szCs w:val="16"/>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117" w:type="dxa"/>
            <w:gridSpan w:val="4"/>
            <w:tcBorders/>
          </w:tcPr>
          <w:p>
            <w:pPr>
              <w:pStyle w:val="Normal"/>
              <w:widowControl w:val="false"/>
              <w:spacing w:lineRule="auto" w:line="240" w:before="0" w:after="0"/>
              <w:jc w:val="center"/>
              <w:rPr>
                <w:rFonts w:ascii="Arial" w:hAnsi="Arial" w:cs="Arial"/>
                <w:b/>
                <w:bCs/>
                <w:color w:val="000000"/>
                <w:sz w:val="16"/>
                <w:szCs w:val="16"/>
                <w:shd w:fill="auto" w:val="clear"/>
              </w:rPr>
            </w:pPr>
            <w:r>
              <w:rPr>
                <w:rFonts w:cs="Arial" w:ascii="Arial" w:hAnsi="Arial"/>
                <w:b/>
                <w:bCs/>
                <w:color w:val="000000"/>
                <w:sz w:val="16"/>
                <w:szCs w:val="16"/>
                <w:shd w:fill="auto" w:val="clear"/>
              </w:rPr>
              <w:t>УТВЕРЖДАЮ:</w:t>
            </w:r>
          </w:p>
        </w:tc>
      </w:tr>
      <w:tr>
        <w:trPr/>
        <w:tc>
          <w:tcPr>
            <w:tcW w:w="1043"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1212"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5" w:type="dxa"/>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466"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1"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2061" w:type="dxa"/>
            <w:tcBorders>
              <w:bottom w:val="single" w:sz="4" w:space="0" w:color="000000"/>
            </w:tcBorders>
            <w:vAlign w:val="bottom"/>
          </w:tcPr>
          <w:p>
            <w:pPr>
              <w:pStyle w:val="Normal"/>
              <w:widowControl w:val="false"/>
              <w:spacing w:lineRule="auto" w:line="240" w:before="0" w:after="0"/>
              <w:jc w:val="right"/>
              <w:rPr>
                <w:rFonts w:ascii="Arial" w:hAnsi="Arial" w:cs="Arial"/>
                <w:color w:val="000000"/>
                <w:sz w:val="16"/>
                <w:szCs w:val="16"/>
                <w:shd w:fill="auto" w:val="clear"/>
              </w:rPr>
            </w:pPr>
            <w:r>
              <w:rPr>
                <w:rFonts w:cs="Arial" w:ascii="Arial" w:hAnsi="Arial"/>
                <w:color w:val="000000"/>
                <w:sz w:val="16"/>
                <w:szCs w:val="16"/>
                <w:shd w:fill="auto" w:val="clear"/>
              </w:rPr>
              <w:t> </w:t>
            </w:r>
          </w:p>
        </w:tc>
      </w:tr>
      <w:tr>
        <w:trPr/>
        <w:tc>
          <w:tcPr>
            <w:tcW w:w="2255" w:type="dxa"/>
            <w:gridSpan w:val="2"/>
            <w:tcBorders/>
            <w:vAlign w:val="bottom"/>
          </w:tcPr>
          <w:p>
            <w:pPr>
              <w:pStyle w:val="Normal"/>
              <w:widowControl w:val="false"/>
              <w:spacing w:lineRule="auto" w:line="240" w:before="0" w:after="0"/>
              <w:rPr>
                <w:shd w:fill="auto" w:val="clear"/>
              </w:rPr>
            </w:pPr>
            <w:r>
              <w:rPr>
                <w:rFonts w:cs="Arial" w:ascii="Arial" w:hAnsi="Arial"/>
                <w:color w:val="000000"/>
                <w:sz w:val="16"/>
                <w:szCs w:val="16"/>
                <w:shd w:fill="auto" w:val="clear"/>
              </w:rPr>
              <w:t>"_____" _____________202</w:t>
            </w:r>
            <w:r>
              <w:rPr>
                <w:rFonts w:cs="Arial" w:ascii="Arial" w:hAnsi="Arial"/>
                <w:color w:val="000000"/>
                <w:sz w:val="16"/>
                <w:szCs w:val="16"/>
                <w:shd w:fill="auto" w:val="clear"/>
                <w:lang w:val="en-US"/>
              </w:rPr>
              <w:t xml:space="preserve"> </w:t>
            </w:r>
            <w:r>
              <w:rPr>
                <w:rFonts w:cs="Arial" w:ascii="Arial" w:hAnsi="Arial"/>
                <w:color w:val="000000"/>
                <w:sz w:val="16"/>
                <w:szCs w:val="16"/>
                <w:shd w:fill="auto" w:val="clear"/>
              </w:rPr>
              <w:t xml:space="preserve"> г</w:t>
            </w:r>
          </w:p>
        </w:tc>
        <w:tc>
          <w:tcPr>
            <w:tcW w:w="635" w:type="dxa"/>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259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vAlign w:val="bottom"/>
          </w:tcPr>
          <w:p>
            <w:pPr>
              <w:pStyle w:val="Normal"/>
              <w:widowControl w:val="false"/>
              <w:spacing w:lineRule="auto" w:line="240" w:before="0" w:after="0"/>
              <w:rPr>
                <w:shd w:fill="auto" w:val="clear"/>
              </w:rPr>
            </w:pPr>
            <w:r>
              <w:rPr>
                <w:rFonts w:cs="Arial" w:ascii="Arial" w:hAnsi="Arial"/>
                <w:color w:val="000000"/>
                <w:sz w:val="16"/>
                <w:szCs w:val="16"/>
                <w:shd w:fill="auto" w:val="clear"/>
              </w:rPr>
              <w:t>"_____" ________202</w:t>
            </w:r>
            <w:r>
              <w:rPr>
                <w:rFonts w:cs="Arial" w:ascii="Arial" w:hAnsi="Arial"/>
                <w:color w:val="000000"/>
                <w:sz w:val="16"/>
                <w:szCs w:val="16"/>
                <w:shd w:fill="auto" w:val="clear"/>
                <w:lang w:val="en-US"/>
              </w:rPr>
              <w:t xml:space="preserve"> </w:t>
            </w:r>
            <w:r>
              <w:rPr>
                <w:rFonts w:cs="Arial" w:ascii="Arial" w:hAnsi="Arial"/>
                <w:color w:val="000000"/>
                <w:sz w:val="16"/>
                <w:szCs w:val="16"/>
                <w:shd w:fill="auto" w:val="clear"/>
              </w:rPr>
              <w:t xml:space="preserve"> г</w:t>
            </w:r>
          </w:p>
        </w:tc>
      </w:tr>
      <w:tr>
        <w:trPr/>
        <w:tc>
          <w:tcPr>
            <w:tcW w:w="2890" w:type="dxa"/>
            <w:gridSpan w:val="3"/>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xml:space="preserve">Наименование редакции сметных нормативов  </w:t>
            </w:r>
          </w:p>
        </w:tc>
        <w:tc>
          <w:tcPr>
            <w:tcW w:w="11679" w:type="dxa"/>
            <w:gridSpan w:val="11"/>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r>
      <w:tr>
        <w:trPr/>
        <w:tc>
          <w:tcPr>
            <w:tcW w:w="2890" w:type="dxa"/>
            <w:gridSpan w:val="3"/>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Наименование программного про</w:t>
              <w:softHyphen/>
              <w:t>дукта</w:t>
            </w:r>
          </w:p>
        </w:tc>
        <w:tc>
          <w:tcPr>
            <w:tcW w:w="3370" w:type="dxa"/>
            <w:gridSpan w:val="2"/>
            <w:tcBorders>
              <w:bottom w:val="single" w:sz="4" w:space="0" w:color="000000"/>
            </w:tcBorders>
            <w:vAlign w:val="bottom"/>
          </w:tcPr>
          <w:p>
            <w:pPr>
              <w:pStyle w:val="Normal"/>
              <w:widowControl w:val="false"/>
              <w:spacing w:lineRule="auto" w:line="240" w:before="0" w:after="0"/>
              <w:rPr>
                <w:shd w:fill="auto" w:val="clear"/>
              </w:rPr>
            </w:pPr>
            <w:r>
              <w:rPr>
                <w:rFonts w:cs="Arial" w:ascii="Arial" w:hAnsi="Arial"/>
                <w:color w:val="000000"/>
                <w:sz w:val="16"/>
                <w:szCs w:val="16"/>
                <w:shd w:fill="auto" w:val="clear"/>
              </w:rPr>
              <w:t>ПК "ГРАНД-Смета 202</w:t>
            </w:r>
            <w:r>
              <w:rPr>
                <w:rFonts w:cs="Arial" w:ascii="Arial" w:hAnsi="Arial"/>
                <w:color w:val="000000"/>
                <w:sz w:val="16"/>
                <w:szCs w:val="16"/>
                <w:shd w:fill="auto" w:val="clear"/>
                <w:lang w:val="en-US"/>
              </w:rPr>
              <w:t>5</w:t>
            </w:r>
            <w:r>
              <w:rPr>
                <w:rFonts w:cs="Arial" w:ascii="Arial" w:hAnsi="Arial"/>
                <w:color w:val="000000"/>
                <w:sz w:val="16"/>
                <w:szCs w:val="16"/>
                <w:shd w:fill="auto" w:val="clear"/>
              </w:rPr>
              <w:t>"</w:t>
            </w:r>
          </w:p>
        </w:tc>
        <w:tc>
          <w:tcPr>
            <w:tcW w:w="1013"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12"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957"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998"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12"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959"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466"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31"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2061" w:type="dxa"/>
            <w:tcBorders>
              <w:bottom w:val="single" w:sz="4" w:space="0" w:color="000000"/>
            </w:tcBorders>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r>
      <w:tr>
        <w:trPr/>
        <w:tc>
          <w:tcPr>
            <w:tcW w:w="1043"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1212"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5"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591"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7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13"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7"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98"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12"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959"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66"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3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061" w:type="dxa"/>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c>
          <w:tcPr>
            <w:tcW w:w="14569" w:type="dxa"/>
            <w:gridSpan w:val="14"/>
            <w:tcBorders>
              <w:top w:val="single" w:sz="4" w:space="0" w:color="000000"/>
            </w:tcBorders>
          </w:tcPr>
          <w:p>
            <w:pPr>
              <w:pStyle w:val="Normal"/>
              <w:widowControl w:val="false"/>
              <w:spacing w:lineRule="auto" w:line="240" w:before="0" w:after="0"/>
              <w:jc w:val="center"/>
              <w:rPr>
                <w:rFonts w:ascii="Arial" w:hAnsi="Arial" w:cs="Arial"/>
                <w:i/>
                <w:i/>
                <w:iCs/>
                <w:color w:val="000000"/>
                <w:sz w:val="16"/>
                <w:szCs w:val="16"/>
                <w:shd w:fill="auto" w:val="clear"/>
              </w:rPr>
            </w:pPr>
            <w:r>
              <w:rPr>
                <w:rFonts w:cs="Arial" w:ascii="Arial" w:hAnsi="Arial"/>
                <w:i/>
                <w:iCs/>
                <w:color w:val="000000"/>
                <w:sz w:val="16"/>
                <w:szCs w:val="16"/>
                <w:shd w:fill="auto" w:val="clear"/>
              </w:rPr>
              <w:t>(наименование стройки)</w:t>
            </w:r>
          </w:p>
        </w:tc>
      </w:tr>
      <w:tr>
        <w:trPr/>
        <w:tc>
          <w:tcPr>
            <w:tcW w:w="14569" w:type="dxa"/>
            <w:gridSpan w:val="14"/>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r>
      <w:tr>
        <w:trPr/>
        <w:tc>
          <w:tcPr>
            <w:tcW w:w="14569" w:type="dxa"/>
            <w:gridSpan w:val="14"/>
            <w:tcBorders>
              <w:top w:val="single" w:sz="4" w:space="0" w:color="000000"/>
            </w:tcBorders>
          </w:tcPr>
          <w:p>
            <w:pPr>
              <w:pStyle w:val="Normal"/>
              <w:widowControl w:val="false"/>
              <w:spacing w:lineRule="auto" w:line="240" w:before="0" w:after="0"/>
              <w:jc w:val="center"/>
              <w:rPr>
                <w:rFonts w:ascii="Arial" w:hAnsi="Arial" w:cs="Arial"/>
                <w:i/>
                <w:i/>
                <w:iCs/>
                <w:color w:val="000000"/>
                <w:sz w:val="16"/>
                <w:szCs w:val="16"/>
                <w:shd w:fill="auto" w:val="clear"/>
              </w:rPr>
            </w:pPr>
            <w:r>
              <w:rPr>
                <w:rFonts w:cs="Arial" w:ascii="Arial" w:hAnsi="Arial"/>
                <w:i/>
                <w:iCs/>
                <w:color w:val="000000"/>
                <w:sz w:val="16"/>
                <w:szCs w:val="16"/>
                <w:shd w:fill="auto" w:val="clear"/>
              </w:rPr>
              <w:t>(наименование объекта капитального строительства)</w:t>
            </w:r>
          </w:p>
        </w:tc>
      </w:tr>
      <w:tr>
        <w:trPr/>
        <w:tc>
          <w:tcPr>
            <w:tcW w:w="14569" w:type="dxa"/>
            <w:gridSpan w:val="14"/>
            <w:tcBorders/>
            <w:vAlign w:val="bottom"/>
          </w:tcPr>
          <w:p>
            <w:pPr>
              <w:pStyle w:val="Normal"/>
              <w:widowControl w:val="false"/>
              <w:spacing w:lineRule="auto" w:line="240" w:before="0" w:after="0"/>
              <w:jc w:val="center"/>
              <w:rPr>
                <w:rFonts w:ascii="Arial" w:hAnsi="Arial" w:cs="Arial"/>
                <w:b/>
                <w:bCs/>
                <w:color w:val="000000"/>
                <w:sz w:val="24"/>
                <w:szCs w:val="24"/>
                <w:shd w:fill="auto" w:val="clear"/>
              </w:rPr>
            </w:pPr>
            <w:r>
              <w:rPr>
                <w:rFonts w:cs="Arial" w:ascii="Arial" w:hAnsi="Arial"/>
                <w:b/>
                <w:bCs/>
                <w:color w:val="000000"/>
                <w:sz w:val="24"/>
                <w:szCs w:val="24"/>
                <w:shd w:fill="auto" w:val="clear"/>
              </w:rPr>
              <w:t xml:space="preserve">ЛОКАЛЬНЫЙ СМЕТНЫЙ РАСЧЕТ (СМЕТА) № </w:t>
            </w:r>
          </w:p>
        </w:tc>
      </w:tr>
    </w:tbl>
    <w:p>
      <w:pPr>
        <w:pStyle w:val="Normal"/>
        <w:spacing w:lineRule="auto" w:line="240" w:before="0" w:after="0"/>
        <w:ind w:left="6373" w:right="0" w:firstLine="720"/>
        <w:jc w:val="right"/>
        <w:rPr>
          <w:rFonts w:ascii="Times New Roman" w:hAnsi="Times New Roman"/>
          <w:color w:val="000000"/>
          <w:sz w:val="20"/>
          <w:szCs w:val="20"/>
          <w:shd w:fill="auto" w:val="clear"/>
        </w:rPr>
      </w:pPr>
      <w:r>
        <w:rPr>
          <w:color w:val="000000"/>
          <w:sz w:val="20"/>
          <w:szCs w:val="20"/>
          <w:shd w:fill="auto" w:val="clear"/>
        </w:rPr>
      </w:r>
    </w:p>
    <w:tbl>
      <w:tblPr>
        <w:tblW w:w="16000" w:type="dxa"/>
        <w:jc w:val="left"/>
        <w:tblInd w:w="0" w:type="dxa"/>
        <w:tblLayout w:type="fixed"/>
        <w:tblCellMar>
          <w:top w:w="0" w:type="dxa"/>
          <w:left w:w="108" w:type="dxa"/>
          <w:bottom w:w="0" w:type="dxa"/>
          <w:right w:w="108" w:type="dxa"/>
        </w:tblCellMar>
      </w:tblPr>
      <w:tblGrid>
        <w:gridCol w:w="1020"/>
        <w:gridCol w:w="1560"/>
        <w:gridCol w:w="658"/>
        <w:gridCol w:w="694"/>
        <w:gridCol w:w="1189"/>
        <w:gridCol w:w="248"/>
        <w:gridCol w:w="891"/>
        <w:gridCol w:w="120"/>
        <w:gridCol w:w="141"/>
        <w:gridCol w:w="671"/>
        <w:gridCol w:w="332"/>
        <w:gridCol w:w="804"/>
        <w:gridCol w:w="196"/>
        <w:gridCol w:w="1394"/>
        <w:gridCol w:w="77"/>
        <w:gridCol w:w="968"/>
        <w:gridCol w:w="109"/>
        <w:gridCol w:w="499"/>
        <w:gridCol w:w="104"/>
        <w:gridCol w:w="747"/>
        <w:gridCol w:w="342"/>
        <w:gridCol w:w="24"/>
        <w:gridCol w:w="124"/>
        <w:gridCol w:w="830"/>
        <w:gridCol w:w="360"/>
        <w:gridCol w:w="843"/>
        <w:gridCol w:w="48"/>
        <w:gridCol w:w="1003"/>
      </w:tblGrid>
      <w:tr>
        <w:trPr/>
        <w:tc>
          <w:tcPr>
            <w:tcW w:w="14993" w:type="dxa"/>
            <w:gridSpan w:val="27"/>
            <w:tcBorders>
              <w:bottom w:val="single" w:sz="4" w:space="0" w:color="000000"/>
            </w:tcBorders>
            <w:vAlign w:val="bottom"/>
          </w:tcPr>
          <w:p>
            <w:pPr>
              <w:pStyle w:val="Normal"/>
              <w:widowControl w:val="false"/>
              <w:spacing w:lineRule="auto" w:line="240" w:before="0" w:after="0"/>
              <w:jc w:val="center"/>
              <w:rPr>
                <w:rFonts w:ascii="Arial" w:hAnsi="Arial" w:cs="Arial"/>
                <w:sz w:val="16"/>
                <w:szCs w:val="16"/>
                <w:shd w:fill="auto" w:val="clear"/>
              </w:rPr>
            </w:pPr>
            <w:r>
              <w:rPr>
                <w:rFonts w:cs="Arial" w:ascii="Arial" w:hAnsi="Arial"/>
                <w:sz w:val="16"/>
                <w:szCs w:val="16"/>
                <w:shd w:fill="auto" w:val="clear"/>
              </w:rPr>
              <w:t>Волжская ГЭС. ОРУ 220 кВ. Релейная защита и автоматика.Демонтажные работы</w:t>
            </w:r>
          </w:p>
        </w:tc>
        <w:tc>
          <w:tcPr>
            <w:tcW w:w="1003" w:type="dxa"/>
            <w:tcBorders/>
          </w:tcPr>
          <w:p>
            <w:pPr>
              <w:pStyle w:val="Normal"/>
              <w:widowControl w:val="false"/>
              <w:rPr>
                <w:shd w:fill="auto" w:val="clear"/>
              </w:rPr>
            </w:pPr>
            <w:r>
              <w:rPr>
                <w:shd w:fill="auto" w:val="clear"/>
              </w:rPr>
            </w:r>
          </w:p>
        </w:tc>
      </w:tr>
      <w:tr>
        <w:trPr/>
        <w:tc>
          <w:tcPr>
            <w:tcW w:w="14993" w:type="dxa"/>
            <w:gridSpan w:val="27"/>
            <w:tcBorders>
              <w:top w:val="single" w:sz="4" w:space="0" w:color="000000"/>
            </w:tcBorders>
          </w:tcPr>
          <w:p>
            <w:pPr>
              <w:pStyle w:val="Normal"/>
              <w:widowControl w:val="false"/>
              <w:spacing w:lineRule="auto" w:line="240" w:before="0" w:after="0"/>
              <w:jc w:val="center"/>
              <w:rPr>
                <w:rFonts w:ascii="Arial" w:hAnsi="Arial" w:cs="Arial"/>
                <w:i/>
                <w:i/>
                <w:iCs/>
                <w:sz w:val="16"/>
                <w:szCs w:val="16"/>
                <w:shd w:fill="auto" w:val="clear"/>
              </w:rPr>
            </w:pPr>
            <w:r>
              <w:rPr>
                <w:rFonts w:cs="Arial" w:ascii="Arial" w:hAnsi="Arial"/>
                <w:i/>
                <w:iCs/>
                <w:sz w:val="16"/>
                <w:szCs w:val="16"/>
                <w:shd w:fill="auto" w:val="clear"/>
              </w:rPr>
              <w:t xml:space="preserve"> </w:t>
            </w:r>
            <w:r>
              <w:rPr>
                <w:rFonts w:cs="Arial" w:ascii="Arial" w:hAnsi="Arial"/>
                <w:i/>
                <w:iCs/>
                <w:sz w:val="16"/>
                <w:szCs w:val="16"/>
                <w:shd w:fill="auto" w:val="clear"/>
              </w:rPr>
              <w:t>(наименование работ и затрат)</w:t>
            </w:r>
          </w:p>
        </w:tc>
        <w:tc>
          <w:tcPr>
            <w:tcW w:w="1003" w:type="dxa"/>
            <w:tcBorders/>
          </w:tcPr>
          <w:p>
            <w:pPr>
              <w:pStyle w:val="Normal"/>
              <w:widowControl w:val="false"/>
              <w:rPr>
                <w:shd w:fill="auto" w:val="clear"/>
              </w:rPr>
            </w:pPr>
            <w:r>
              <w:rPr>
                <w:shd w:fill="auto" w:val="clear"/>
              </w:rPr>
            </w:r>
          </w:p>
        </w:tc>
      </w:tr>
      <w:tr>
        <w:trPr/>
        <w:tc>
          <w:tcPr>
            <w:tcW w:w="1020"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 xml:space="preserve">Составлен </w:t>
            </w:r>
          </w:p>
        </w:tc>
        <w:tc>
          <w:tcPr>
            <w:tcW w:w="1560" w:type="dxa"/>
            <w:tcBorders>
              <w:bottom w:val="single" w:sz="4" w:space="0" w:color="000000"/>
            </w:tcBorders>
            <w:vAlign w:val="bottom"/>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ресурсно-индексным</w:t>
            </w:r>
          </w:p>
        </w:tc>
        <w:tc>
          <w:tcPr>
            <w:tcW w:w="658"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методом</w:t>
            </w:r>
          </w:p>
        </w:tc>
        <w:tc>
          <w:tcPr>
            <w:tcW w:w="694" w:type="dxa"/>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r>
          </w:p>
        </w:tc>
        <w:tc>
          <w:tcPr>
            <w:tcW w:w="118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139"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41" w:type="dxa"/>
            <w:gridSpan w:val="5"/>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3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51"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c>
          <w:tcPr>
            <w:tcW w:w="1020"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Основание</w:t>
            </w:r>
          </w:p>
        </w:tc>
        <w:tc>
          <w:tcPr>
            <w:tcW w:w="5240" w:type="dxa"/>
            <w:gridSpan w:val="6"/>
            <w:tcBorders>
              <w:bottom w:val="single" w:sz="4" w:space="0" w:color="000000"/>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ЭТЛ-13622-ЛС.1.ВОР</w:t>
            </w:r>
          </w:p>
        </w:tc>
        <w:tc>
          <w:tcPr>
            <w:tcW w:w="261" w:type="dxa"/>
            <w:gridSpan w:val="2"/>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41" w:type="dxa"/>
            <w:gridSpan w:val="5"/>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3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51"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c>
          <w:tcPr>
            <w:tcW w:w="102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5240" w:type="dxa"/>
            <w:gridSpan w:val="6"/>
            <w:tcBorders>
              <w:top w:val="single" w:sz="4" w:space="0" w:color="000000"/>
            </w:tcBorders>
            <w:vAlign w:val="bottom"/>
          </w:tcPr>
          <w:p>
            <w:pPr>
              <w:pStyle w:val="Normal"/>
              <w:widowControl w:val="false"/>
              <w:spacing w:lineRule="auto" w:line="240" w:before="0" w:after="0"/>
              <w:jc w:val="center"/>
              <w:rPr>
                <w:rFonts w:ascii="Arial" w:hAnsi="Arial" w:cs="Arial"/>
                <w:i/>
                <w:i/>
                <w:iCs/>
                <w:sz w:val="16"/>
                <w:szCs w:val="16"/>
                <w:shd w:fill="auto" w:val="clear"/>
              </w:rPr>
            </w:pPr>
            <w:r>
              <w:rPr>
                <w:rFonts w:cs="Arial" w:ascii="Arial" w:hAnsi="Arial"/>
                <w:i/>
                <w:iCs/>
                <w:sz w:val="16"/>
                <w:szCs w:val="16"/>
                <w:shd w:fill="auto" w:val="clear"/>
              </w:rPr>
              <w:t>(проектная и (или) иная техническая документация)</w:t>
            </w:r>
          </w:p>
        </w:tc>
        <w:tc>
          <w:tcPr>
            <w:tcW w:w="261" w:type="dxa"/>
            <w:gridSpan w:val="2"/>
            <w:tcBorders/>
            <w:vAlign w:val="bottom"/>
          </w:tcPr>
          <w:p>
            <w:pPr>
              <w:pStyle w:val="Normal"/>
              <w:widowControl w:val="false"/>
              <w:spacing w:lineRule="auto" w:line="240" w:before="0" w:after="0"/>
              <w:jc w:val="center"/>
              <w:rPr>
                <w:rFonts w:ascii="Arial" w:hAnsi="Arial" w:cs="Arial"/>
                <w:i/>
                <w:i/>
                <w:iCs/>
                <w:sz w:val="16"/>
                <w:szCs w:val="16"/>
                <w:shd w:fill="auto" w:val="clear"/>
              </w:rPr>
            </w:pPr>
            <w:r>
              <w:rPr>
                <w:rFonts w:cs="Arial" w:ascii="Arial" w:hAnsi="Arial"/>
                <w:i/>
                <w:iCs/>
                <w:sz w:val="16"/>
                <w:szCs w:val="16"/>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41" w:type="dxa"/>
            <w:gridSpan w:val="5"/>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3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51" w:type="dxa"/>
            <w:gridSpan w:val="3"/>
            <w:tcBorders/>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r>
      <w:tr>
        <w:trPr/>
        <w:tc>
          <w:tcPr>
            <w:tcW w:w="102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56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5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9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189"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139" w:type="dxa"/>
            <w:gridSpan w:val="2"/>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261" w:type="dxa"/>
            <w:gridSpan w:val="2"/>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341" w:type="dxa"/>
            <w:gridSpan w:val="5"/>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830"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251" w:type="dxa"/>
            <w:gridSpan w:val="3"/>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c>
          <w:tcPr>
            <w:tcW w:w="5369" w:type="dxa"/>
            <w:gridSpan w:val="6"/>
            <w:tcBorders/>
            <w:vAlign w:val="bottom"/>
          </w:tcPr>
          <w:p>
            <w:pPr>
              <w:pStyle w:val="Normal"/>
              <w:widowControl w:val="false"/>
              <w:spacing w:lineRule="auto" w:line="240" w:before="0" w:after="0"/>
              <w:rPr>
                <w:rFonts w:ascii="Arial" w:hAnsi="Arial" w:cs="Arial"/>
                <w:b/>
                <w:bCs/>
                <w:sz w:val="16"/>
                <w:szCs w:val="16"/>
                <w:shd w:fill="auto" w:val="clear"/>
              </w:rPr>
            </w:pPr>
            <w:r>
              <w:rPr>
                <w:rFonts w:cs="Arial" w:ascii="Arial" w:hAnsi="Arial"/>
                <w:b/>
                <w:bCs/>
                <w:sz w:val="16"/>
                <w:szCs w:val="16"/>
                <w:shd w:fill="auto" w:val="clear"/>
              </w:rPr>
              <w:t xml:space="preserve">Составлен(а) в текущем уровне цен ,    4 кв. 2025г  </w:t>
            </w:r>
          </w:p>
        </w:tc>
        <w:tc>
          <w:tcPr>
            <w:tcW w:w="1011" w:type="dxa"/>
            <w:gridSpan w:val="2"/>
            <w:tcBorders/>
            <w:vAlign w:val="bottom"/>
          </w:tcPr>
          <w:p>
            <w:pPr>
              <w:pStyle w:val="Normal"/>
              <w:widowControl w:val="false"/>
              <w:spacing w:lineRule="auto" w:line="240" w:before="0" w:after="0"/>
              <w:rPr>
                <w:rFonts w:ascii="Arial" w:hAnsi="Arial" w:cs="Arial"/>
                <w:b/>
                <w:bCs/>
                <w:sz w:val="16"/>
                <w:szCs w:val="16"/>
                <w:shd w:fill="auto" w:val="clear"/>
              </w:rPr>
            </w:pPr>
            <w:r>
              <w:rPr>
                <w:rFonts w:cs="Arial" w:ascii="Arial" w:hAnsi="Arial"/>
                <w:b/>
                <w:bCs/>
                <w:sz w:val="16"/>
                <w:szCs w:val="16"/>
                <w:shd w:fill="auto" w:val="clear"/>
              </w:rPr>
            </w:r>
          </w:p>
        </w:tc>
        <w:tc>
          <w:tcPr>
            <w:tcW w:w="812"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32"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9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45"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712"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113"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14"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4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8" w:type="dxa"/>
            <w:tcBorders/>
          </w:tcPr>
          <w:p>
            <w:pPr>
              <w:pStyle w:val="Normal"/>
              <w:widowControl w:val="false"/>
              <w:rPr>
                <w:shd w:fill="auto" w:val="clear"/>
              </w:rPr>
            </w:pPr>
            <w:r>
              <w:rPr>
                <w:shd w:fill="auto" w:val="clear"/>
              </w:rPr>
            </w:r>
          </w:p>
        </w:tc>
        <w:tc>
          <w:tcPr>
            <w:tcW w:w="1003" w:type="dxa"/>
            <w:tcBorders/>
          </w:tcPr>
          <w:p>
            <w:pPr>
              <w:pStyle w:val="Normal"/>
              <w:widowControl w:val="false"/>
              <w:rPr>
                <w:shd w:fill="auto" w:val="clear"/>
              </w:rPr>
            </w:pPr>
            <w:r>
              <w:rPr>
                <w:shd w:fill="auto" w:val="clear"/>
              </w:rPr>
            </w:r>
          </w:p>
        </w:tc>
      </w:tr>
      <w:tr>
        <w:trPr/>
        <w:tc>
          <w:tcPr>
            <w:tcW w:w="102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56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58" w:type="dxa"/>
            <w:tcBorders>
              <w:top w:val="single" w:sz="4" w:space="0" w:color="000000"/>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 </w:t>
            </w:r>
          </w:p>
        </w:tc>
        <w:tc>
          <w:tcPr>
            <w:tcW w:w="694" w:type="dxa"/>
            <w:tcBorders>
              <w:top w:val="single" w:sz="4" w:space="0" w:color="000000"/>
            </w:tcBorders>
            <w:vAlign w:val="bottom"/>
          </w:tcPr>
          <w:p>
            <w:pPr>
              <w:pStyle w:val="Normal"/>
              <w:widowControl w:val="false"/>
              <w:spacing w:lineRule="auto" w:line="240" w:before="0" w:after="0"/>
              <w:jc w:val="center"/>
              <w:rPr>
                <w:rFonts w:ascii="Arial" w:hAnsi="Arial" w:cs="Arial"/>
                <w:sz w:val="16"/>
                <w:szCs w:val="16"/>
                <w:shd w:fill="auto" w:val="clear"/>
              </w:rPr>
            </w:pPr>
            <w:r>
              <w:rPr>
                <w:rFonts w:cs="Arial" w:ascii="Arial" w:hAnsi="Arial"/>
                <w:sz w:val="16"/>
                <w:szCs w:val="16"/>
                <w:shd w:fill="auto" w:val="clear"/>
              </w:rPr>
              <w:t> </w:t>
            </w:r>
          </w:p>
        </w:tc>
        <w:tc>
          <w:tcPr>
            <w:tcW w:w="1189" w:type="dxa"/>
            <w:tcBorders>
              <w:top w:val="single" w:sz="4" w:space="0" w:color="000000"/>
            </w:tcBorders>
            <w:vAlign w:val="bottom"/>
          </w:tcPr>
          <w:p>
            <w:pPr>
              <w:pStyle w:val="Normal"/>
              <w:widowControl w:val="false"/>
              <w:spacing w:lineRule="auto" w:line="240" w:before="0" w:after="0"/>
              <w:jc w:val="center"/>
              <w:rPr>
                <w:rFonts w:ascii="Arial" w:hAnsi="Arial" w:cs="Arial"/>
                <w:sz w:val="16"/>
                <w:szCs w:val="16"/>
                <w:shd w:fill="auto" w:val="clear"/>
              </w:rPr>
            </w:pPr>
            <w:r>
              <w:rPr>
                <w:rFonts w:cs="Arial" w:ascii="Arial" w:hAnsi="Arial"/>
                <w:sz w:val="16"/>
                <w:szCs w:val="16"/>
                <w:shd w:fill="auto" w:val="clear"/>
              </w:rPr>
              <w:t> </w:t>
            </w:r>
          </w:p>
        </w:tc>
        <w:tc>
          <w:tcPr>
            <w:tcW w:w="1139" w:type="dxa"/>
            <w:gridSpan w:val="2"/>
            <w:tcBorders>
              <w:top w:val="single" w:sz="4" w:space="0" w:color="000000"/>
            </w:tcBorders>
            <w:vAlign w:val="bottom"/>
          </w:tcPr>
          <w:p>
            <w:pPr>
              <w:pStyle w:val="Normal"/>
              <w:widowControl w:val="false"/>
              <w:spacing w:lineRule="auto" w:line="240" w:before="0" w:after="0"/>
              <w:jc w:val="center"/>
              <w:rPr>
                <w:rFonts w:ascii="Arial" w:hAnsi="Arial" w:cs="Arial"/>
                <w:sz w:val="16"/>
                <w:szCs w:val="16"/>
                <w:shd w:fill="auto" w:val="clear"/>
              </w:rPr>
            </w:pPr>
            <w:r>
              <w:rPr>
                <w:rFonts w:cs="Arial" w:ascii="Arial" w:hAnsi="Arial"/>
                <w:sz w:val="16"/>
                <w:szCs w:val="16"/>
                <w:shd w:fill="auto" w:val="clear"/>
              </w:rPr>
              <w:t> </w:t>
            </w:r>
          </w:p>
        </w:tc>
        <w:tc>
          <w:tcPr>
            <w:tcW w:w="261" w:type="dxa"/>
            <w:gridSpan w:val="2"/>
            <w:tcBorders/>
            <w:vAlign w:val="bottom"/>
          </w:tcPr>
          <w:p>
            <w:pPr>
              <w:pStyle w:val="Normal"/>
              <w:widowControl w:val="false"/>
              <w:spacing w:lineRule="auto" w:line="240" w:before="0" w:after="0"/>
              <w:jc w:val="center"/>
              <w:rPr>
                <w:rFonts w:ascii="Arial" w:hAnsi="Arial" w:cs="Arial"/>
                <w:sz w:val="16"/>
                <w:szCs w:val="16"/>
                <w:shd w:fill="auto" w:val="clear"/>
              </w:rPr>
            </w:pPr>
            <w:r>
              <w:rPr>
                <w:rFonts w:cs="Arial" w:ascii="Arial" w:hAnsi="Arial"/>
                <w:sz w:val="16"/>
                <w:szCs w:val="16"/>
                <w:shd w:fill="auto" w:val="clear"/>
              </w:rPr>
            </w:r>
          </w:p>
        </w:tc>
        <w:tc>
          <w:tcPr>
            <w:tcW w:w="1003" w:type="dxa"/>
            <w:gridSpan w:val="2"/>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341" w:type="dxa"/>
            <w:gridSpan w:val="5"/>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830"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251" w:type="dxa"/>
            <w:gridSpan w:val="3"/>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r>
      <w:tr>
        <w:trPr/>
        <w:tc>
          <w:tcPr>
            <w:tcW w:w="2580" w:type="dxa"/>
            <w:gridSpan w:val="2"/>
            <w:tcBorders/>
            <w:vAlign w:val="bottom"/>
          </w:tcPr>
          <w:p>
            <w:pPr>
              <w:pStyle w:val="Normal"/>
              <w:widowControl w:val="false"/>
              <w:spacing w:lineRule="auto" w:line="240" w:before="0" w:after="0"/>
              <w:rPr>
                <w:rFonts w:ascii="Arial" w:hAnsi="Arial" w:cs="Arial"/>
                <w:b/>
                <w:bCs/>
                <w:sz w:val="16"/>
                <w:szCs w:val="16"/>
                <w:shd w:fill="auto" w:val="clear"/>
              </w:rPr>
            </w:pPr>
            <w:r>
              <w:rPr>
                <w:rFonts w:cs="Arial" w:ascii="Arial" w:hAnsi="Arial"/>
                <w:b/>
                <w:bCs/>
                <w:sz w:val="16"/>
                <w:szCs w:val="16"/>
                <w:shd w:fill="auto" w:val="clear"/>
              </w:rPr>
              <w:t xml:space="preserve">Сметная стоимость </w:t>
            </w:r>
          </w:p>
        </w:tc>
        <w:tc>
          <w:tcPr>
            <w:tcW w:w="658"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94" w:type="dxa"/>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lang w:val="en-US"/>
              </w:rPr>
            </w:pPr>
            <w:r>
              <w:rPr>
                <w:rFonts w:cs="Arial" w:ascii="Arial" w:hAnsi="Arial"/>
                <w:sz w:val="16"/>
                <w:szCs w:val="16"/>
                <w:shd w:fill="auto" w:val="clear"/>
                <w:lang w:val="en-US"/>
              </w:rPr>
              <w:t>0.00</w:t>
            </w:r>
          </w:p>
        </w:tc>
        <w:tc>
          <w:tcPr>
            <w:tcW w:w="1189" w:type="dxa"/>
            <w:tcBorders/>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тыс.руб.</w:t>
            </w:r>
          </w:p>
        </w:tc>
        <w:tc>
          <w:tcPr>
            <w:tcW w:w="1139" w:type="dxa"/>
            <w:gridSpan w:val="2"/>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5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20" w:type="dxa"/>
            <w:gridSpan w:val="4"/>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51" w:type="dxa"/>
            <w:gridSpan w:val="3"/>
            <w:tcBorders/>
            <w:vAlign w:val="center"/>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c>
          <w:tcPr>
            <w:tcW w:w="102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560" w:type="dxa"/>
            <w:tcBorders/>
            <w:vAlign w:val="bottom"/>
          </w:tcPr>
          <w:p>
            <w:pPr>
              <w:pStyle w:val="Normal"/>
              <w:widowControl w:val="false"/>
              <w:spacing w:lineRule="auto" w:line="240" w:before="0" w:after="0"/>
              <w:rPr>
                <w:rFonts w:ascii="Arial" w:hAnsi="Arial" w:cs="Arial"/>
                <w:i/>
                <w:i/>
                <w:iCs/>
                <w:sz w:val="16"/>
                <w:szCs w:val="16"/>
                <w:shd w:fill="auto" w:val="clear"/>
              </w:rPr>
            </w:pPr>
            <w:r>
              <w:rPr>
                <w:rFonts w:cs="Arial" w:ascii="Arial" w:hAnsi="Arial"/>
                <w:i/>
                <w:iCs/>
                <w:sz w:val="16"/>
                <w:szCs w:val="16"/>
                <w:shd w:fill="auto" w:val="clear"/>
              </w:rPr>
              <w:t>в том числе:</w:t>
            </w:r>
          </w:p>
        </w:tc>
        <w:tc>
          <w:tcPr>
            <w:tcW w:w="658" w:type="dxa"/>
            <w:tcBorders/>
            <w:vAlign w:val="bottom"/>
          </w:tcPr>
          <w:p>
            <w:pPr>
              <w:pStyle w:val="Normal"/>
              <w:widowControl w:val="false"/>
              <w:spacing w:lineRule="auto" w:line="240" w:before="0" w:after="0"/>
              <w:rPr>
                <w:rFonts w:ascii="Arial" w:hAnsi="Arial" w:cs="Arial"/>
                <w:i/>
                <w:i/>
                <w:iCs/>
                <w:sz w:val="16"/>
                <w:szCs w:val="16"/>
                <w:shd w:fill="auto" w:val="clear"/>
              </w:rPr>
            </w:pPr>
            <w:r>
              <w:rPr>
                <w:rFonts w:cs="Arial" w:ascii="Arial" w:hAnsi="Arial"/>
                <w:i/>
                <w:iCs/>
                <w:sz w:val="16"/>
                <w:szCs w:val="16"/>
                <w:shd w:fill="auto" w:val="clear"/>
              </w:rPr>
            </w:r>
          </w:p>
        </w:tc>
        <w:tc>
          <w:tcPr>
            <w:tcW w:w="69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189" w:type="dxa"/>
            <w:tcBorders/>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c>
          <w:tcPr>
            <w:tcW w:w="1139"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41" w:type="dxa"/>
            <w:gridSpan w:val="5"/>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3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51"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r>
      <w:tr>
        <w:trPr/>
        <w:tc>
          <w:tcPr>
            <w:tcW w:w="102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560" w:type="dxa"/>
            <w:tcBorders/>
            <w:vAlign w:val="bottom"/>
          </w:tcPr>
          <w:p>
            <w:pPr>
              <w:pStyle w:val="Normal"/>
              <w:widowControl w:val="false"/>
              <w:spacing w:lineRule="auto" w:line="240" w:before="0" w:after="0"/>
              <w:rPr>
                <w:rFonts w:ascii="Arial" w:hAnsi="Arial" w:cs="Arial"/>
                <w:b/>
                <w:bCs/>
                <w:sz w:val="16"/>
                <w:szCs w:val="16"/>
                <w:shd w:fill="auto" w:val="clear"/>
              </w:rPr>
            </w:pPr>
            <w:r>
              <w:rPr>
                <w:rFonts w:cs="Arial" w:ascii="Arial" w:hAnsi="Arial"/>
                <w:b/>
                <w:bCs/>
                <w:sz w:val="16"/>
                <w:szCs w:val="16"/>
                <w:shd w:fill="auto" w:val="clear"/>
              </w:rPr>
              <w:t>строительных работ</w:t>
            </w:r>
          </w:p>
        </w:tc>
        <w:tc>
          <w:tcPr>
            <w:tcW w:w="658"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94" w:type="dxa"/>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rPr>
            </w:pPr>
            <w:r>
              <w:rPr>
                <w:rFonts w:cs="Arial" w:ascii="Arial" w:hAnsi="Arial"/>
                <w:sz w:val="16"/>
                <w:szCs w:val="16"/>
                <w:shd w:fill="auto" w:val="clear"/>
              </w:rPr>
              <w:t>0,00</w:t>
            </w:r>
          </w:p>
        </w:tc>
        <w:tc>
          <w:tcPr>
            <w:tcW w:w="1189" w:type="dxa"/>
            <w:tcBorders/>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тыс.руб.</w:t>
            </w:r>
          </w:p>
        </w:tc>
        <w:tc>
          <w:tcPr>
            <w:tcW w:w="1139" w:type="dxa"/>
            <w:gridSpan w:val="2"/>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3243" w:type="dxa"/>
            <w:gridSpan w:val="6"/>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Средства на оплату труда рабочих</w:t>
            </w:r>
          </w:p>
        </w:tc>
        <w:tc>
          <w:tcPr>
            <w:tcW w:w="1341" w:type="dxa"/>
            <w:gridSpan w:val="5"/>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830" w:type="dxa"/>
            <w:tcBorders>
              <w:bottom w:val="single" w:sz="4" w:space="0" w:color="000000"/>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 </w:t>
            </w:r>
          </w:p>
        </w:tc>
        <w:tc>
          <w:tcPr>
            <w:tcW w:w="1251" w:type="dxa"/>
            <w:gridSpan w:val="3"/>
            <w:tcBorders>
              <w:bottom w:val="single" w:sz="4" w:space="0" w:color="000000"/>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1003" w:type="dxa"/>
            <w:tcBorders/>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тыс.руб.</w:t>
            </w:r>
          </w:p>
        </w:tc>
      </w:tr>
      <w:tr>
        <w:trPr/>
        <w:tc>
          <w:tcPr>
            <w:tcW w:w="1020"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1560" w:type="dxa"/>
            <w:tcBorders/>
            <w:vAlign w:val="bottom"/>
          </w:tcPr>
          <w:p>
            <w:pPr>
              <w:pStyle w:val="Normal"/>
              <w:widowControl w:val="false"/>
              <w:spacing w:lineRule="auto" w:line="240" w:before="0" w:after="0"/>
              <w:rPr>
                <w:rFonts w:ascii="Arial" w:hAnsi="Arial" w:cs="Arial"/>
                <w:b/>
                <w:bCs/>
                <w:sz w:val="16"/>
                <w:szCs w:val="16"/>
                <w:shd w:fill="auto" w:val="clear"/>
              </w:rPr>
            </w:pPr>
            <w:r>
              <w:rPr>
                <w:rFonts w:cs="Arial" w:ascii="Arial" w:hAnsi="Arial"/>
                <w:b/>
                <w:bCs/>
                <w:sz w:val="16"/>
                <w:szCs w:val="16"/>
                <w:shd w:fill="auto" w:val="clear"/>
              </w:rPr>
              <w:t>монтажных ра</w:t>
              <w:softHyphen/>
              <w:t>бот</w:t>
            </w:r>
          </w:p>
        </w:tc>
        <w:tc>
          <w:tcPr>
            <w:tcW w:w="658"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94" w:type="dxa"/>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lang w:val="en-US"/>
              </w:rPr>
            </w:pPr>
            <w:r>
              <w:rPr>
                <w:rFonts w:cs="Arial" w:ascii="Arial" w:hAnsi="Arial"/>
                <w:sz w:val="16"/>
                <w:szCs w:val="16"/>
                <w:shd w:fill="auto" w:val="clear"/>
                <w:lang w:val="en-US"/>
              </w:rPr>
              <w:t>0.00</w:t>
            </w:r>
          </w:p>
        </w:tc>
        <w:tc>
          <w:tcPr>
            <w:tcW w:w="1189" w:type="dxa"/>
            <w:tcBorders/>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тыс.руб.</w:t>
            </w:r>
          </w:p>
        </w:tc>
        <w:tc>
          <w:tcPr>
            <w:tcW w:w="1139" w:type="dxa"/>
            <w:gridSpan w:val="2"/>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3243" w:type="dxa"/>
            <w:gridSpan w:val="6"/>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Средства на оплату труда машинистов</w:t>
            </w:r>
          </w:p>
        </w:tc>
        <w:tc>
          <w:tcPr>
            <w:tcW w:w="1341" w:type="dxa"/>
            <w:gridSpan w:val="5"/>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830" w:type="dxa"/>
            <w:tcBorders>
              <w:bottom w:val="single" w:sz="4" w:space="0" w:color="000000"/>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 </w:t>
            </w:r>
          </w:p>
        </w:tc>
        <w:tc>
          <w:tcPr>
            <w:tcW w:w="1251" w:type="dxa"/>
            <w:gridSpan w:val="3"/>
            <w:tcBorders>
              <w:bottom w:val="single" w:sz="4" w:space="0" w:color="000000"/>
            </w:tcBorders>
            <w:vAlign w:val="bottom"/>
          </w:tcPr>
          <w:p>
            <w:pPr>
              <w:pStyle w:val="Normal"/>
              <w:widowControl w:val="false"/>
              <w:spacing w:lineRule="auto" w:line="240" w:before="0" w:after="0"/>
              <w:jc w:val="center"/>
              <w:rPr>
                <w:rFonts w:ascii="Arial" w:hAnsi="Arial" w:cs="Arial"/>
                <w:sz w:val="16"/>
                <w:szCs w:val="16"/>
                <w:shd w:fill="auto" w:val="clear"/>
              </w:rPr>
            </w:pPr>
            <w:r>
              <w:rPr>
                <w:rFonts w:cs="Arial" w:ascii="Arial" w:hAnsi="Arial"/>
                <w:sz w:val="16"/>
                <w:szCs w:val="16"/>
                <w:shd w:fill="auto" w:val="clear"/>
              </w:rPr>
            </w:r>
          </w:p>
        </w:tc>
        <w:tc>
          <w:tcPr>
            <w:tcW w:w="1003" w:type="dxa"/>
            <w:tcBorders/>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тыс.руб.</w:t>
            </w:r>
          </w:p>
        </w:tc>
      </w:tr>
      <w:tr>
        <w:trPr/>
        <w:tc>
          <w:tcPr>
            <w:tcW w:w="1020"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1560" w:type="dxa"/>
            <w:tcBorders/>
            <w:vAlign w:val="bottom"/>
          </w:tcPr>
          <w:p>
            <w:pPr>
              <w:pStyle w:val="Normal"/>
              <w:widowControl w:val="false"/>
              <w:spacing w:lineRule="auto" w:line="240" w:before="0" w:after="0"/>
              <w:rPr>
                <w:rFonts w:ascii="Arial" w:hAnsi="Arial" w:cs="Arial"/>
                <w:b/>
                <w:bCs/>
                <w:sz w:val="16"/>
                <w:szCs w:val="16"/>
                <w:shd w:fill="auto" w:val="clear"/>
              </w:rPr>
            </w:pPr>
            <w:r>
              <w:rPr>
                <w:rFonts w:cs="Arial" w:ascii="Arial" w:hAnsi="Arial"/>
                <w:b/>
                <w:bCs/>
                <w:sz w:val="16"/>
                <w:szCs w:val="16"/>
                <w:shd w:fill="auto" w:val="clear"/>
              </w:rPr>
              <w:t>оборудования</w:t>
            </w:r>
          </w:p>
        </w:tc>
        <w:tc>
          <w:tcPr>
            <w:tcW w:w="658" w:type="dxa"/>
            <w:tcBorders>
              <w:bottom w:val="single" w:sz="4" w:space="0" w:color="000000"/>
            </w:tcBorders>
            <w:vAlign w:val="bottom"/>
          </w:tcPr>
          <w:p>
            <w:pPr>
              <w:pStyle w:val="Normal"/>
              <w:widowControl w:val="false"/>
              <w:spacing w:lineRule="auto" w:line="240" w:before="0" w:after="0"/>
              <w:rPr>
                <w:shd w:fill="auto" w:val="clear"/>
              </w:rPr>
            </w:pPr>
            <w:r>
              <w:rPr>
                <w:shd w:fill="auto" w:val="clear"/>
              </w:rPr>
            </w:r>
          </w:p>
        </w:tc>
        <w:tc>
          <w:tcPr>
            <w:tcW w:w="694" w:type="dxa"/>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rPr>
            </w:pPr>
            <w:r>
              <w:rPr>
                <w:rFonts w:cs="Arial" w:ascii="Arial" w:hAnsi="Arial"/>
                <w:sz w:val="16"/>
                <w:szCs w:val="16"/>
                <w:shd w:fill="auto" w:val="clear"/>
              </w:rPr>
              <w:t>0,00</w:t>
            </w:r>
          </w:p>
        </w:tc>
        <w:tc>
          <w:tcPr>
            <w:tcW w:w="1189" w:type="dxa"/>
            <w:tcBorders/>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тыс.руб.</w:t>
            </w:r>
          </w:p>
        </w:tc>
        <w:tc>
          <w:tcPr>
            <w:tcW w:w="1139" w:type="dxa"/>
            <w:gridSpan w:val="2"/>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3243" w:type="dxa"/>
            <w:gridSpan w:val="6"/>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Нормативные затраты труда рабочих</w:t>
            </w:r>
          </w:p>
        </w:tc>
        <w:tc>
          <w:tcPr>
            <w:tcW w:w="1341" w:type="dxa"/>
            <w:gridSpan w:val="5"/>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830" w:type="dxa"/>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rPr>
            </w:pPr>
            <w:r>
              <w:rPr>
                <w:rFonts w:cs="Arial" w:ascii="Arial" w:hAnsi="Arial"/>
                <w:sz w:val="16"/>
                <w:szCs w:val="16"/>
                <w:shd w:fill="auto" w:val="clear"/>
              </w:rPr>
              <w:t> </w:t>
            </w:r>
          </w:p>
        </w:tc>
        <w:tc>
          <w:tcPr>
            <w:tcW w:w="1251" w:type="dxa"/>
            <w:gridSpan w:val="3"/>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rPr>
            </w:pPr>
            <w:r>
              <w:rPr>
                <w:rFonts w:cs="Arial" w:ascii="Arial" w:hAnsi="Arial"/>
                <w:sz w:val="16"/>
                <w:szCs w:val="16"/>
                <w:shd w:fill="auto" w:val="clear"/>
              </w:rPr>
            </w:r>
          </w:p>
        </w:tc>
        <w:tc>
          <w:tcPr>
            <w:tcW w:w="1003"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чел.-ч.</w:t>
            </w:r>
          </w:p>
        </w:tc>
      </w:tr>
      <w:tr>
        <w:trPr/>
        <w:tc>
          <w:tcPr>
            <w:tcW w:w="1020"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1560" w:type="dxa"/>
            <w:tcBorders/>
            <w:vAlign w:val="bottom"/>
          </w:tcPr>
          <w:p>
            <w:pPr>
              <w:pStyle w:val="Normal"/>
              <w:widowControl w:val="false"/>
              <w:spacing w:lineRule="auto" w:line="240" w:before="0" w:after="0"/>
              <w:rPr>
                <w:shd w:fill="auto" w:val="clear"/>
              </w:rPr>
            </w:pPr>
            <w:r>
              <w:rPr>
                <w:rFonts w:cs="Arial" w:ascii="Arial" w:hAnsi="Arial"/>
                <w:b/>
                <w:bCs/>
                <w:sz w:val="16"/>
                <w:szCs w:val="16"/>
                <w:shd w:fill="auto" w:val="clear"/>
              </w:rPr>
              <w:t>прочих затрат</w:t>
            </w:r>
          </w:p>
        </w:tc>
        <w:tc>
          <w:tcPr>
            <w:tcW w:w="658" w:type="dxa"/>
            <w:tcBorders>
              <w:bottom w:val="single" w:sz="4" w:space="0" w:color="000000"/>
            </w:tcBorders>
            <w:vAlign w:val="bottom"/>
          </w:tcPr>
          <w:p>
            <w:pPr>
              <w:pStyle w:val="Normal"/>
              <w:widowControl w:val="false"/>
              <w:spacing w:lineRule="auto" w:line="240" w:before="0" w:after="0"/>
              <w:rPr>
                <w:rFonts w:ascii="Arial" w:hAnsi="Arial" w:cs="Arial"/>
                <w:color w:val="000000"/>
                <w:sz w:val="16"/>
                <w:szCs w:val="16"/>
                <w:shd w:fill="auto" w:val="clear"/>
              </w:rPr>
            </w:pPr>
            <w:r>
              <w:rPr>
                <w:rFonts w:cs="Arial" w:ascii="Arial" w:hAnsi="Arial"/>
                <w:color w:val="000000"/>
                <w:sz w:val="16"/>
                <w:szCs w:val="16"/>
                <w:shd w:fill="auto" w:val="clear"/>
              </w:rPr>
              <w:t> </w:t>
            </w:r>
          </w:p>
        </w:tc>
        <w:tc>
          <w:tcPr>
            <w:tcW w:w="694" w:type="dxa"/>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rPr>
            </w:pPr>
            <w:r>
              <w:rPr>
                <w:rFonts w:cs="Arial" w:ascii="Arial" w:hAnsi="Arial"/>
                <w:sz w:val="16"/>
                <w:szCs w:val="16"/>
                <w:shd w:fill="auto" w:val="clear"/>
              </w:rPr>
              <w:t>0,00</w:t>
            </w:r>
          </w:p>
        </w:tc>
        <w:tc>
          <w:tcPr>
            <w:tcW w:w="1189" w:type="dxa"/>
            <w:tcBorders/>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тыс.руб.</w:t>
            </w:r>
          </w:p>
        </w:tc>
        <w:tc>
          <w:tcPr>
            <w:tcW w:w="1139" w:type="dxa"/>
            <w:gridSpan w:val="2"/>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584" w:type="dxa"/>
            <w:gridSpan w:val="11"/>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Нормативные затраты труда машинистов</w:t>
            </w:r>
          </w:p>
        </w:tc>
        <w:tc>
          <w:tcPr>
            <w:tcW w:w="830" w:type="dxa"/>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rPr>
            </w:pPr>
            <w:r>
              <w:rPr>
                <w:rFonts w:cs="Arial" w:ascii="Arial" w:hAnsi="Arial"/>
                <w:sz w:val="16"/>
                <w:szCs w:val="16"/>
                <w:shd w:fill="auto" w:val="clear"/>
              </w:rPr>
              <w:t> </w:t>
            </w:r>
          </w:p>
        </w:tc>
        <w:tc>
          <w:tcPr>
            <w:tcW w:w="1251" w:type="dxa"/>
            <w:gridSpan w:val="3"/>
            <w:tcBorders>
              <w:bottom w:val="single" w:sz="4" w:space="0" w:color="000000"/>
            </w:tcBorders>
            <w:vAlign w:val="bottom"/>
          </w:tcPr>
          <w:p>
            <w:pPr>
              <w:pStyle w:val="Normal"/>
              <w:widowControl w:val="false"/>
              <w:spacing w:lineRule="auto" w:line="240" w:before="0" w:after="0"/>
              <w:jc w:val="right"/>
              <w:rPr>
                <w:rFonts w:ascii="Arial" w:hAnsi="Arial" w:cs="Arial"/>
                <w:sz w:val="16"/>
                <w:szCs w:val="16"/>
                <w:shd w:fill="auto" w:val="clear"/>
              </w:rPr>
            </w:pPr>
            <w:r>
              <w:rPr>
                <w:rFonts w:cs="Arial" w:ascii="Arial" w:hAnsi="Arial"/>
                <w:sz w:val="16"/>
                <w:szCs w:val="16"/>
                <w:shd w:fill="auto" w:val="clear"/>
              </w:rPr>
            </w:r>
          </w:p>
        </w:tc>
        <w:tc>
          <w:tcPr>
            <w:tcW w:w="1003"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t>чел.-ч.</w:t>
            </w:r>
          </w:p>
        </w:tc>
      </w:tr>
      <w:tr>
        <w:trPr/>
        <w:tc>
          <w:tcPr>
            <w:tcW w:w="1020" w:type="dxa"/>
            <w:tcBorders/>
            <w:vAlign w:val="bottom"/>
          </w:tcPr>
          <w:p>
            <w:pPr>
              <w:pStyle w:val="Normal"/>
              <w:widowControl w:val="false"/>
              <w:spacing w:lineRule="auto" w:line="240" w:before="0" w:after="0"/>
              <w:rPr>
                <w:rFonts w:ascii="Arial" w:hAnsi="Arial" w:cs="Arial"/>
                <w:sz w:val="16"/>
                <w:szCs w:val="16"/>
                <w:shd w:fill="auto" w:val="clear"/>
              </w:rPr>
            </w:pPr>
            <w:r>
              <w:rPr>
                <w:rFonts w:cs="Arial" w:ascii="Arial" w:hAnsi="Arial"/>
                <w:sz w:val="16"/>
                <w:szCs w:val="16"/>
                <w:shd w:fill="auto" w:val="clear"/>
              </w:rPr>
            </w:r>
          </w:p>
        </w:tc>
        <w:tc>
          <w:tcPr>
            <w:tcW w:w="156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58"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69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189" w:type="dxa"/>
            <w:tcBorders/>
          </w:tcPr>
          <w:p>
            <w:pPr>
              <w:pStyle w:val="Normal"/>
              <w:widowControl w:val="false"/>
              <w:spacing w:lineRule="auto" w:line="240" w:before="0" w:after="0"/>
              <w:jc w:val="right"/>
              <w:rPr>
                <w:rFonts w:ascii="Times New Roman" w:hAnsi="Times New Roman"/>
                <w:sz w:val="20"/>
                <w:szCs w:val="20"/>
                <w:shd w:fill="auto" w:val="clear"/>
              </w:rPr>
            </w:pPr>
            <w:r>
              <w:rPr>
                <w:sz w:val="20"/>
                <w:szCs w:val="20"/>
                <w:shd w:fill="auto" w:val="clear"/>
              </w:rPr>
            </w:r>
          </w:p>
        </w:tc>
        <w:tc>
          <w:tcPr>
            <w:tcW w:w="1139"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261"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03"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04"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667" w:type="dxa"/>
            <w:gridSpan w:val="3"/>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077" w:type="dxa"/>
            <w:gridSpan w:val="2"/>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499"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341" w:type="dxa"/>
            <w:gridSpan w:val="5"/>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830" w:type="dxa"/>
            <w:tcBorders/>
            <w:vAlign w:val="bottom"/>
          </w:tcPr>
          <w:p>
            <w:pPr>
              <w:pStyle w:val="Normal"/>
              <w:widowControl w:val="false"/>
              <w:spacing w:lineRule="auto" w:line="240" w:before="0" w:after="0"/>
              <w:rPr>
                <w:rFonts w:ascii="Times New Roman" w:hAnsi="Times New Roman"/>
                <w:sz w:val="20"/>
                <w:szCs w:val="20"/>
                <w:shd w:fill="auto" w:val="clear"/>
              </w:rPr>
            </w:pPr>
            <w:r>
              <w:rPr>
                <w:sz w:val="20"/>
                <w:szCs w:val="20"/>
                <w:shd w:fill="auto" w:val="clear"/>
              </w:rPr>
            </w:r>
          </w:p>
        </w:tc>
        <w:tc>
          <w:tcPr>
            <w:tcW w:w="1251" w:type="dxa"/>
            <w:gridSpan w:val="3"/>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c>
          <w:tcPr>
            <w:tcW w:w="1003" w:type="dxa"/>
            <w:tcBorders/>
            <w:vAlign w:val="bottom"/>
          </w:tcPr>
          <w:p>
            <w:pPr>
              <w:pStyle w:val="Normal"/>
              <w:widowControl w:val="false"/>
              <w:spacing w:lineRule="auto" w:line="240" w:before="0" w:after="0"/>
              <w:jc w:val="center"/>
              <w:rPr>
                <w:rFonts w:ascii="Times New Roman" w:hAnsi="Times New Roman"/>
                <w:sz w:val="20"/>
                <w:szCs w:val="20"/>
                <w:shd w:fill="auto" w:val="clear"/>
              </w:rPr>
            </w:pPr>
            <w:r>
              <w:rPr>
                <w:sz w:val="20"/>
                <w:szCs w:val="20"/>
                <w:shd w:fill="auto" w:val="clear"/>
              </w:rPr>
            </w:r>
          </w:p>
        </w:tc>
      </w:tr>
      <w:tr>
        <w:trPr/>
        <w:tc>
          <w:tcPr>
            <w:tcW w:w="102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 xml:space="preserve">№ </w:t>
            </w:r>
            <w:r>
              <w:rPr>
                <w:rFonts w:cs="Arial" w:ascii="Arial" w:hAnsi="Arial"/>
                <w:color w:val="000000"/>
                <w:sz w:val="16"/>
                <w:szCs w:val="16"/>
                <w:shd w:fill="auto" w:val="clear"/>
              </w:rPr>
              <w:t>п/п</w:t>
            </w:r>
          </w:p>
        </w:tc>
        <w:tc>
          <w:tcPr>
            <w:tcW w:w="15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Обоснование</w:t>
            </w:r>
          </w:p>
        </w:tc>
        <w:tc>
          <w:tcPr>
            <w:tcW w:w="2789" w:type="dxa"/>
            <w:gridSpan w:val="4"/>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Наименование работ и затрат</w:t>
            </w:r>
          </w:p>
        </w:tc>
        <w:tc>
          <w:tcPr>
            <w:tcW w:w="1011"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Единица измере</w:t>
              <w:softHyphen/>
              <w:t>ния</w:t>
            </w:r>
          </w:p>
        </w:tc>
        <w:tc>
          <w:tcPr>
            <w:tcW w:w="3538" w:type="dxa"/>
            <w:gridSpan w:val="6"/>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Количество</w:t>
            </w:r>
          </w:p>
        </w:tc>
        <w:tc>
          <w:tcPr>
            <w:tcW w:w="5027" w:type="dxa"/>
            <w:gridSpan w:val="1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Сметная стоимость, руб.</w:t>
            </w:r>
          </w:p>
        </w:tc>
        <w:tc>
          <w:tcPr>
            <w:tcW w:w="48" w:type="dxa"/>
            <w:tcBorders/>
          </w:tcPr>
          <w:p>
            <w:pPr>
              <w:pStyle w:val="Normal"/>
              <w:widowControl w:val="false"/>
              <w:rPr>
                <w:shd w:fill="auto" w:val="clear"/>
              </w:rPr>
            </w:pPr>
            <w:r>
              <w:rPr>
                <w:shd w:fill="auto" w:val="clear"/>
              </w:rPr>
            </w:r>
          </w:p>
        </w:tc>
        <w:tc>
          <w:tcPr>
            <w:tcW w:w="1003" w:type="dxa"/>
            <w:tcBorders/>
          </w:tcPr>
          <w:p>
            <w:pPr>
              <w:pStyle w:val="Normal"/>
              <w:widowControl w:val="false"/>
              <w:rPr>
                <w:shd w:fill="auto" w:val="clear"/>
              </w:rPr>
            </w:pPr>
            <w:r>
              <w:rPr>
                <w:shd w:fill="auto" w:val="clear"/>
              </w:rPr>
            </w:r>
          </w:p>
        </w:tc>
      </w:tr>
      <w:tr>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5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789"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011"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3538" w:type="dxa"/>
            <w:gridSpan w:val="6"/>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5027" w:type="dxa"/>
            <w:gridSpan w:val="1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48" w:type="dxa"/>
            <w:tcBorders/>
          </w:tcPr>
          <w:p>
            <w:pPr>
              <w:pStyle w:val="Normal"/>
              <w:widowControl w:val="false"/>
              <w:rPr>
                <w:shd w:fill="auto" w:val="clear"/>
              </w:rPr>
            </w:pPr>
            <w:r>
              <w:rPr>
                <w:shd w:fill="auto" w:val="clear"/>
              </w:rPr>
            </w:r>
          </w:p>
        </w:tc>
        <w:tc>
          <w:tcPr>
            <w:tcW w:w="1003" w:type="dxa"/>
            <w:tcBorders/>
          </w:tcPr>
          <w:p>
            <w:pPr>
              <w:pStyle w:val="Normal"/>
              <w:widowControl w:val="false"/>
              <w:rPr>
                <w:shd w:fill="auto" w:val="clear"/>
              </w:rPr>
            </w:pPr>
            <w:r>
              <w:rPr>
                <w:shd w:fill="auto" w:val="clear"/>
              </w:rPr>
            </w:r>
          </w:p>
        </w:tc>
      </w:tr>
      <w:tr>
        <w:trPr/>
        <w:tc>
          <w:tcPr>
            <w:tcW w:w="102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5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2789" w:type="dxa"/>
            <w:gridSpan w:val="4"/>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011"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812"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shd w:fill="auto" w:val="clear"/>
              </w:rPr>
            </w:pPr>
            <w:r>
              <w:rPr>
                <w:rFonts w:cs="Arial" w:ascii="Arial" w:hAnsi="Arial"/>
                <w:color w:val="000000"/>
                <w:sz w:val="16"/>
                <w:szCs w:val="16"/>
                <w:shd w:fill="auto" w:val="clear"/>
              </w:rPr>
              <w:t>на ед</w:t>
            </w:r>
            <w:r>
              <w:rPr>
                <w:rFonts w:cs="Arial" w:ascii="Arial" w:hAnsi="Arial"/>
                <w:color w:val="000000"/>
                <w:sz w:val="16"/>
                <w:szCs w:val="16"/>
                <w:shd w:fill="auto" w:val="clear"/>
                <w:lang w:val="en-US"/>
              </w:rPr>
              <w:t>.</w:t>
            </w:r>
            <w:r>
              <w:rPr>
                <w:rFonts w:cs="Arial" w:ascii="Arial" w:hAnsi="Arial"/>
                <w:color w:val="000000"/>
                <w:sz w:val="16"/>
                <w:szCs w:val="16"/>
                <w:shd w:fill="auto" w:val="clear"/>
              </w:rPr>
              <w:t xml:space="preserve"> изм</w:t>
            </w:r>
          </w:p>
        </w:tc>
        <w:tc>
          <w:tcPr>
            <w:tcW w:w="1332" w:type="dxa"/>
            <w:gridSpan w:val="3"/>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коэффициенты</w:t>
            </w:r>
          </w:p>
        </w:tc>
        <w:tc>
          <w:tcPr>
            <w:tcW w:w="1394"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всего с учетом коэффициен</w:t>
              <w:softHyphen/>
              <w:t>тов</w:t>
            </w:r>
          </w:p>
        </w:tc>
        <w:tc>
          <w:tcPr>
            <w:tcW w:w="1045"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на ед изм в базис</w:t>
              <w:softHyphen/>
              <w:t>ном уров</w:t>
              <w:softHyphen/>
              <w:t>не цен</w:t>
            </w:r>
          </w:p>
        </w:tc>
        <w:tc>
          <w:tcPr>
            <w:tcW w:w="712" w:type="dxa"/>
            <w:gridSpan w:val="3"/>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индекс</w:t>
            </w:r>
          </w:p>
        </w:tc>
        <w:tc>
          <w:tcPr>
            <w:tcW w:w="1089"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на ед изм в текущем уровне цен</w:t>
            </w:r>
          </w:p>
        </w:tc>
        <w:tc>
          <w:tcPr>
            <w:tcW w:w="1338" w:type="dxa"/>
            <w:gridSpan w:val="4"/>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коэффициенты</w:t>
            </w:r>
          </w:p>
        </w:tc>
        <w:tc>
          <w:tcPr>
            <w:tcW w:w="843"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всего в теку</w:t>
              <w:softHyphen/>
              <w:t>щем уровне цен</w:t>
            </w:r>
          </w:p>
        </w:tc>
        <w:tc>
          <w:tcPr>
            <w:tcW w:w="48" w:type="dxa"/>
            <w:tcBorders/>
          </w:tcPr>
          <w:p>
            <w:pPr>
              <w:pStyle w:val="Normal"/>
              <w:widowControl w:val="false"/>
              <w:rPr>
                <w:shd w:fill="auto" w:val="clear"/>
              </w:rPr>
            </w:pPr>
            <w:r>
              <w:rPr>
                <w:shd w:fill="auto" w:val="clear"/>
              </w:rPr>
            </w:r>
          </w:p>
        </w:tc>
        <w:tc>
          <w:tcPr>
            <w:tcW w:w="1003" w:type="dxa"/>
            <w:tcBorders/>
          </w:tcPr>
          <w:p>
            <w:pPr>
              <w:pStyle w:val="Normal"/>
              <w:widowControl w:val="false"/>
              <w:rPr>
                <w:shd w:fill="auto" w:val="clear"/>
              </w:rPr>
            </w:pPr>
            <w:r>
              <w:rPr>
                <w:shd w:fill="auto" w:val="clear"/>
              </w:rPr>
            </w:r>
          </w:p>
        </w:tc>
      </w:tr>
      <w:tr>
        <w:trPr/>
        <w:tc>
          <w:tcPr>
            <w:tcW w:w="1020"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w:t>
            </w:r>
          </w:p>
        </w:tc>
        <w:tc>
          <w:tcPr>
            <w:tcW w:w="1560"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2</w:t>
            </w:r>
          </w:p>
        </w:tc>
        <w:tc>
          <w:tcPr>
            <w:tcW w:w="2789" w:type="dxa"/>
            <w:gridSpan w:val="4"/>
            <w:tcBorders>
              <w:top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3</w:t>
            </w:r>
          </w:p>
        </w:tc>
        <w:tc>
          <w:tcPr>
            <w:tcW w:w="1011"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4</w:t>
            </w:r>
          </w:p>
        </w:tc>
        <w:tc>
          <w:tcPr>
            <w:tcW w:w="812"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5</w:t>
            </w:r>
          </w:p>
        </w:tc>
        <w:tc>
          <w:tcPr>
            <w:tcW w:w="1332" w:type="dxa"/>
            <w:gridSpan w:val="3"/>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6</w:t>
            </w:r>
          </w:p>
        </w:tc>
        <w:tc>
          <w:tcPr>
            <w:tcW w:w="1394"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7</w:t>
            </w:r>
          </w:p>
        </w:tc>
        <w:tc>
          <w:tcPr>
            <w:tcW w:w="1045"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8</w:t>
            </w:r>
          </w:p>
        </w:tc>
        <w:tc>
          <w:tcPr>
            <w:tcW w:w="712" w:type="dxa"/>
            <w:gridSpan w:val="3"/>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9</w:t>
            </w:r>
          </w:p>
        </w:tc>
        <w:tc>
          <w:tcPr>
            <w:tcW w:w="1089" w:type="dxa"/>
            <w:gridSpan w:val="2"/>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10</w:t>
            </w:r>
          </w:p>
        </w:tc>
        <w:tc>
          <w:tcPr>
            <w:tcW w:w="1338" w:type="dxa"/>
            <w:gridSpan w:val="4"/>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11</w:t>
            </w:r>
          </w:p>
        </w:tc>
        <w:tc>
          <w:tcPr>
            <w:tcW w:w="843" w:type="dxa"/>
            <w:tcBorders>
              <w:bottom w:val="single" w:sz="4" w:space="0" w:color="000000"/>
              <w:right w:val="single" w:sz="4" w:space="0" w:color="000000"/>
            </w:tcBorders>
            <w:vAlign w:val="center"/>
          </w:tcPr>
          <w:p>
            <w:pPr>
              <w:pStyle w:val="Normal"/>
              <w:widowControl w:val="false"/>
              <w:spacing w:lineRule="auto" w:line="240" w:before="0" w:after="0"/>
              <w:jc w:val="center"/>
              <w:rPr>
                <w:rFonts w:ascii="Arial" w:hAnsi="Arial" w:cs="Arial"/>
                <w:color w:val="000000"/>
                <w:sz w:val="16"/>
                <w:szCs w:val="16"/>
                <w:shd w:fill="auto" w:val="clear"/>
              </w:rPr>
            </w:pPr>
            <w:r>
              <w:rPr>
                <w:rFonts w:cs="Arial" w:ascii="Arial" w:hAnsi="Arial"/>
                <w:color w:val="000000"/>
                <w:sz w:val="16"/>
                <w:szCs w:val="16"/>
                <w:shd w:fill="auto" w:val="clear"/>
              </w:rPr>
              <w:t>12</w:t>
            </w:r>
          </w:p>
        </w:tc>
        <w:tc>
          <w:tcPr>
            <w:tcW w:w="48" w:type="dxa"/>
            <w:tcBorders/>
          </w:tcPr>
          <w:p>
            <w:pPr>
              <w:pStyle w:val="Normal"/>
              <w:widowControl w:val="false"/>
              <w:rPr>
                <w:shd w:fill="auto" w:val="clear"/>
              </w:rPr>
            </w:pPr>
            <w:r>
              <w:rPr>
                <w:shd w:fill="auto" w:val="clear"/>
              </w:rPr>
            </w:r>
          </w:p>
        </w:tc>
        <w:tc>
          <w:tcPr>
            <w:tcW w:w="1003" w:type="dxa"/>
            <w:tcBorders/>
          </w:tcPr>
          <w:p>
            <w:pPr>
              <w:pStyle w:val="Normal"/>
              <w:widowControl w:val="false"/>
              <w:rPr>
                <w:shd w:fill="auto" w:val="clear"/>
              </w:rPr>
            </w:pPr>
            <w:r>
              <w:rPr>
                <w:shd w:fill="auto" w:val="clear"/>
              </w:rPr>
            </w:r>
          </w:p>
        </w:tc>
      </w:tr>
    </w:tbl>
    <w:p>
      <w:pPr>
        <w:sectPr>
          <w:headerReference w:type="default" r:id="rId46"/>
          <w:headerReference w:type="first" r:id="rId47"/>
          <w:footerReference w:type="default" r:id="rId48"/>
          <w:footerReference w:type="first" r:id="rId49"/>
          <w:type w:val="nextPage"/>
          <w:pgSz w:orient="landscape" w:w="16838" w:h="11906"/>
          <w:pgMar w:left="1134" w:right="1134" w:gutter="0" w:header="0" w:top="500" w:footer="0" w:bottom="1134"/>
          <w:pgNumType w:fmt="decimal"/>
          <w:formProt w:val="false"/>
          <w:textDirection w:val="lrTb"/>
          <w:docGrid w:type="default" w:linePitch="600" w:charSpace="24576"/>
        </w:sectPr>
      </w:pPr>
    </w:p>
    <w:p>
      <w:pPr>
        <w:pStyle w:val="Normal"/>
        <w:ind w:left="5670" w:right="0" w:hanging="0"/>
        <w:jc w:val="right"/>
        <w:rPr>
          <w:rFonts w:ascii="Times New Roman" w:hAnsi="Times New Roman"/>
        </w:rPr>
      </w:pPr>
      <w:r>
        <w:rPr/>
        <w:t>Приложение № 2</w:t>
      </w:r>
    </w:p>
    <w:p>
      <w:pPr>
        <w:pStyle w:val="Normal"/>
        <w:ind w:left="5670" w:right="0" w:hanging="0"/>
        <w:jc w:val="right"/>
        <w:rPr/>
      </w:pPr>
      <w:r>
        <w:rPr/>
        <w:t xml:space="preserve">к Требованиям  </w:t>
      </w:r>
      <w:r>
        <w:rPr>
          <w:rStyle w:val="Style15"/>
        </w:rPr>
        <w:t>к оформлению и составлению смет или расчетов на оказание услуг по программе экс</w:t>
        <w:softHyphen/>
        <w:t>плуатации</w:t>
      </w:r>
    </w:p>
    <w:p>
      <w:pPr>
        <w:pStyle w:val="Normal"/>
        <w:rPr>
          <w:rFonts w:ascii="Times New Roman" w:hAnsi="Times New Roman"/>
        </w:rPr>
      </w:pPr>
      <w:r>
        <w:rPr/>
      </w:r>
    </w:p>
    <w:p>
      <w:pPr>
        <w:pStyle w:val="Normal"/>
        <w:jc w:val="center"/>
        <w:rPr>
          <w:b/>
          <w:bCs/>
          <w:color w:val="000000"/>
        </w:rPr>
      </w:pPr>
      <w:r>
        <w:rPr>
          <w:b/>
          <w:bCs/>
          <w:color w:val="000000"/>
        </w:rPr>
        <w:t xml:space="preserve">ПОЯСНИТЕЛЬНАЯ ЗАПИСКА </w:t>
      </w:r>
    </w:p>
    <w:p>
      <w:pPr>
        <w:pStyle w:val="Normal"/>
        <w:jc w:val="center"/>
        <w:rPr>
          <w:b/>
          <w:bCs/>
          <w:color w:val="000000"/>
        </w:rPr>
      </w:pPr>
      <w:r>
        <w:rPr>
          <w:b/>
          <w:bCs/>
          <w:color w:val="000000"/>
        </w:rPr>
        <w:t>по заполнению формы №3п</w:t>
      </w:r>
    </w:p>
    <w:p>
      <w:pPr>
        <w:pStyle w:val="Normal"/>
        <w:jc w:val="center"/>
        <w:rPr>
          <w:rFonts w:ascii="Times New Roman" w:hAnsi="Times New Roman"/>
          <w:b/>
          <w:bCs/>
          <w:color w:val="000000"/>
        </w:rPr>
      </w:pPr>
      <w:r>
        <w:rPr>
          <w:b/>
          <w:bCs/>
          <w:color w:val="000000"/>
        </w:rPr>
        <w:t>при составлении смет по программе эксплуатация.</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Стоимость работ и расходов в соответствии с калькуляцией затрат определяется согласно положениям Методики с учетом следующего:</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1) стоимость работ и расходов (С</w:t>
      </w:r>
      <w:r>
        <w:rPr>
          <w:rFonts w:cs="Times New Roman" w:ascii="Times New Roman" w:hAnsi="Times New Roman"/>
          <w:sz w:val="24"/>
          <w:szCs w:val="24"/>
          <w:vertAlign w:val="subscript"/>
        </w:rPr>
        <w:t>нир</w:t>
      </w:r>
      <w:r>
        <w:rPr>
          <w:rFonts w:cs="Times New Roman" w:ascii="Times New Roman" w:hAnsi="Times New Roman"/>
          <w:sz w:val="24"/>
          <w:szCs w:val="24"/>
        </w:rPr>
        <w:t>) в соответствии с калькуляцией затрат определяется по формуле:</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center"/>
        <w:rPr>
          <w:rFonts w:ascii="Times New Roman" w:hAnsi="Times New Roman" w:cs="Times New Roman"/>
          <w:sz w:val="24"/>
          <w:szCs w:val="24"/>
        </w:rPr>
      </w:pPr>
      <w:r>
        <w:rPr>
          <w:rFonts w:cs="Times New Roman" w:ascii="Times New Roman" w:hAnsi="Times New Roman"/>
          <w:sz w:val="24"/>
          <w:szCs w:val="24"/>
        </w:rPr>
        <w:t>С</w:t>
      </w:r>
      <w:r>
        <w:rPr>
          <w:rFonts w:cs="Times New Roman" w:ascii="Times New Roman" w:hAnsi="Times New Roman"/>
          <w:sz w:val="24"/>
          <w:szCs w:val="24"/>
          <w:vertAlign w:val="subscript"/>
        </w:rPr>
        <w:t>нир</w:t>
      </w:r>
      <w:r>
        <w:rPr>
          <w:rFonts w:cs="Times New Roman" w:ascii="Times New Roman" w:hAnsi="Times New Roman"/>
          <w:sz w:val="24"/>
          <w:szCs w:val="24"/>
        </w:rPr>
        <w:t xml:space="preserve"> = В</w:t>
      </w:r>
      <w:r>
        <w:rPr>
          <w:rFonts w:cs="Times New Roman" w:ascii="Times New Roman" w:hAnsi="Times New Roman"/>
          <w:sz w:val="24"/>
          <w:szCs w:val="24"/>
          <w:vertAlign w:val="subscript"/>
        </w:rPr>
        <w:t>ср</w:t>
      </w:r>
      <w:r>
        <w:rPr>
          <w:rFonts w:cs="Times New Roman" w:ascii="Times New Roman" w:hAnsi="Times New Roman"/>
          <w:sz w:val="24"/>
          <w:szCs w:val="24"/>
        </w:rPr>
        <w:t xml:space="preserve"> x Т</w:t>
      </w:r>
      <w:r>
        <w:rPr>
          <w:rFonts w:cs="Times New Roman" w:ascii="Times New Roman" w:hAnsi="Times New Roman"/>
          <w:sz w:val="24"/>
          <w:szCs w:val="24"/>
          <w:vertAlign w:val="subscript"/>
        </w:rPr>
        <w:t>п</w:t>
      </w:r>
      <w:r>
        <w:rPr>
          <w:rFonts w:cs="Times New Roman" w:ascii="Times New Roman" w:hAnsi="Times New Roman"/>
          <w:sz w:val="24"/>
          <w:szCs w:val="24"/>
        </w:rPr>
        <w:t xml:space="preserve"> x Ч</w:t>
      </w:r>
      <w:r>
        <w:rPr>
          <w:rFonts w:cs="Times New Roman" w:ascii="Times New Roman" w:hAnsi="Times New Roman"/>
          <w:sz w:val="24"/>
          <w:szCs w:val="24"/>
          <w:vertAlign w:val="subscript"/>
        </w:rPr>
        <w:t>общ</w:t>
      </w:r>
      <w:r>
        <w:rPr>
          <w:rFonts w:cs="Times New Roman" w:ascii="Times New Roman" w:hAnsi="Times New Roman"/>
          <w:sz w:val="24"/>
          <w:szCs w:val="24"/>
        </w:rPr>
        <w:t xml:space="preserve"> x К</w:t>
      </w:r>
      <w:r>
        <w:rPr>
          <w:rFonts w:cs="Times New Roman" w:ascii="Times New Roman" w:hAnsi="Times New Roman"/>
          <w:sz w:val="24"/>
          <w:szCs w:val="24"/>
          <w:vertAlign w:val="subscript"/>
        </w:rPr>
        <w:t>кв-уч</w:t>
      </w:r>
      <w:r>
        <w:rPr>
          <w:rFonts w:cs="Times New Roman" w:ascii="Times New Roman" w:hAnsi="Times New Roman"/>
          <w:sz w:val="24"/>
          <w:szCs w:val="24"/>
        </w:rPr>
        <w:t>, (8.12),</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ind w:left="0" w:right="0" w:firstLine="540"/>
        <w:jc w:val="both"/>
        <w:rPr>
          <w:rFonts w:ascii="Times New Roman" w:hAnsi="Times New Roman" w:cs="Times New Roman"/>
          <w:sz w:val="24"/>
          <w:szCs w:val="24"/>
        </w:rPr>
      </w:pPr>
      <w:r>
        <w:rPr>
          <w:rFonts w:cs="Times New Roman" w:ascii="Times New Roman" w:hAnsi="Times New Roman"/>
          <w:sz w:val="24"/>
          <w:szCs w:val="24"/>
        </w:rPr>
        <w:t>где:</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С</w:t>
      </w:r>
      <w:r>
        <w:rPr>
          <w:rFonts w:cs="Times New Roman" w:ascii="Times New Roman" w:hAnsi="Times New Roman"/>
          <w:sz w:val="24"/>
          <w:szCs w:val="24"/>
          <w:vertAlign w:val="subscript"/>
        </w:rPr>
        <w:t>нир</w:t>
      </w:r>
      <w:r>
        <w:rPr>
          <w:rFonts w:cs="Times New Roman" w:ascii="Times New Roman" w:hAnsi="Times New Roman"/>
          <w:sz w:val="24"/>
          <w:szCs w:val="24"/>
        </w:rPr>
        <w:t xml:space="preserve"> - стоимость работ по эксплуатации, определенная в соответствии с калькуляцией за</w:t>
        <w:softHyphen/>
        <w:t>трат, рублей;</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В</w:t>
      </w:r>
      <w:r>
        <w:rPr>
          <w:rFonts w:cs="Times New Roman" w:ascii="Times New Roman" w:hAnsi="Times New Roman"/>
          <w:sz w:val="24"/>
          <w:szCs w:val="24"/>
          <w:vertAlign w:val="subscript"/>
        </w:rPr>
        <w:t>ср</w:t>
      </w:r>
      <w:r>
        <w:rPr>
          <w:rFonts w:cs="Times New Roman" w:ascii="Times New Roman" w:hAnsi="Times New Roman"/>
          <w:sz w:val="24"/>
          <w:szCs w:val="24"/>
        </w:rPr>
        <w:t xml:space="preserve"> - среднедневная выработка одного непосредственного исполнителя, рублей;</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Т</w:t>
      </w:r>
      <w:r>
        <w:rPr>
          <w:rFonts w:cs="Times New Roman" w:ascii="Times New Roman" w:hAnsi="Times New Roman"/>
          <w:sz w:val="24"/>
          <w:szCs w:val="24"/>
          <w:vertAlign w:val="subscript"/>
        </w:rPr>
        <w:t>п</w:t>
      </w:r>
      <w:r>
        <w:rPr>
          <w:rFonts w:cs="Times New Roman" w:ascii="Times New Roman" w:hAnsi="Times New Roman"/>
          <w:sz w:val="24"/>
          <w:szCs w:val="24"/>
        </w:rPr>
        <w:t xml:space="preserve"> - плановая продолжительность выполнения работ по эксплуатации, предусмотренных калькуляцией затрат, дни;</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Ч</w:t>
      </w:r>
      <w:r>
        <w:rPr>
          <w:rFonts w:cs="Times New Roman" w:ascii="Times New Roman" w:hAnsi="Times New Roman"/>
          <w:sz w:val="24"/>
          <w:szCs w:val="24"/>
          <w:vertAlign w:val="subscript"/>
        </w:rPr>
        <w:t>общ</w:t>
      </w:r>
      <w:r>
        <w:rPr>
          <w:rFonts w:cs="Times New Roman" w:ascii="Times New Roman" w:hAnsi="Times New Roman"/>
          <w:sz w:val="24"/>
          <w:szCs w:val="24"/>
        </w:rPr>
        <w:t xml:space="preserve"> - общая численность непосредственных исполнителей, занятых в выполнении работ по эксплуатации, предусмотренных калькуляцией затрат, чел.;</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К</w:t>
      </w:r>
      <w:r>
        <w:rPr>
          <w:rFonts w:cs="Times New Roman" w:ascii="Times New Roman" w:hAnsi="Times New Roman"/>
          <w:sz w:val="24"/>
          <w:szCs w:val="24"/>
          <w:vertAlign w:val="subscript"/>
        </w:rPr>
        <w:t>кв-уч</w:t>
      </w:r>
      <w:r>
        <w:rPr>
          <w:rFonts w:cs="Times New Roman" w:ascii="Times New Roman" w:hAnsi="Times New Roman"/>
          <w:sz w:val="24"/>
          <w:szCs w:val="24"/>
        </w:rPr>
        <w:t xml:space="preserve"> - корректирующий коэффициент, учитывающий степень участия исполнителей раз</w:t>
        <w:softHyphen/>
        <w:t>личной квалификации в выполнении работ по эксплуатации, предусмотренных калькуляцией затрат (далее - коэффициент квалификации-участия);</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2) среднедневная выработка (В</w:t>
      </w:r>
      <w:r>
        <w:rPr>
          <w:rFonts w:cs="Times New Roman" w:ascii="Times New Roman" w:hAnsi="Times New Roman"/>
          <w:sz w:val="24"/>
          <w:szCs w:val="24"/>
          <w:vertAlign w:val="subscript"/>
        </w:rPr>
        <w:t>ср</w:t>
      </w:r>
      <w:r>
        <w:rPr>
          <w:rFonts w:cs="Times New Roman" w:ascii="Times New Roman" w:hAnsi="Times New Roman"/>
          <w:sz w:val="24"/>
          <w:szCs w:val="24"/>
        </w:rPr>
        <w:t>) определяется по формуле:</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center"/>
        <w:rPr>
          <w:rFonts w:ascii="Times New Roman" w:hAnsi="Times New Roman" w:cs="Times New Roman"/>
          <w:sz w:val="24"/>
          <w:szCs w:val="24"/>
        </w:rPr>
      </w:pPr>
      <w:r>
        <w:rPr/>
        <w:drawing>
          <wp:inline distT="0" distB="0" distL="0" distR="0">
            <wp:extent cx="1208405" cy="349885"/>
            <wp:effectExtent l="0" t="0" r="0" b="0"/>
            <wp:docPr id="1"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 descr=""/>
                    <pic:cNvPicPr>
                      <a:picLocks noChangeAspect="1" noChangeArrowheads="1"/>
                    </pic:cNvPicPr>
                  </pic:nvPicPr>
                  <pic:blipFill>
                    <a:blip r:embed="rId50"/>
                    <a:srcRect l="-60" t="-204" r="-60" b="-204"/>
                    <a:stretch>
                      <a:fillRect/>
                    </a:stretch>
                  </pic:blipFill>
                  <pic:spPr bwMode="auto">
                    <a:xfrm>
                      <a:off x="0" y="0"/>
                      <a:ext cx="1208405" cy="349885"/>
                    </a:xfrm>
                    <a:prstGeom prst="rect">
                      <a:avLst/>
                    </a:prstGeom>
                  </pic:spPr>
                </pic:pic>
              </a:graphicData>
            </a:graphic>
          </wp:inline>
        </w:drawing>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ind w:left="0" w:right="0" w:firstLine="540"/>
        <w:jc w:val="both"/>
        <w:rPr>
          <w:rFonts w:ascii="Times New Roman" w:hAnsi="Times New Roman" w:cs="Times New Roman"/>
          <w:sz w:val="24"/>
          <w:szCs w:val="24"/>
        </w:rPr>
      </w:pPr>
      <w:r>
        <w:rPr>
          <w:rFonts w:cs="Times New Roman" w:ascii="Times New Roman" w:hAnsi="Times New Roman"/>
          <w:sz w:val="24"/>
          <w:szCs w:val="24"/>
        </w:rPr>
        <w:t>где:</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Р - коэффициент уровня рентабельности (сметной прибыли), принимается Р = 0,1 (1%) со</w:t>
        <w:softHyphen/>
        <w:t xml:space="preserve">гласно </w:t>
      </w:r>
      <w:r>
        <w:fldChar w:fldCharType="begin"/>
      </w:r>
      <w:r>
        <w:rPr>
          <w:rStyle w:val="Hyperlink"/>
          <w:sz w:val="24"/>
          <w:szCs w:val="24"/>
          <w:rFonts w:cs="Times New Roman" w:ascii="Times New Roman" w:hAnsi="Times New Roman"/>
        </w:rPr>
        <w:instrText xml:space="preserve"> HYPERLINK "../../../../../home/home/C:/C:/Users/AvdeevaNP/AppData/Local/Microsoft/Windows/Temporary%20Internet%20Files/Content.Outlook/SH4XTFC6/%25D0%25A2%25D0%25A2%20%25D0%259F%25D0%2598%25D0%25A0%20%25D0%25B0%25D0%25BA%25D1%2582%25D1%2583%25D0%25B0%25D0%25BB%25D1%258C%25D0%25BD.doc" \l "P1643"</w:instrText>
      </w:r>
      <w:r>
        <w:rPr>
          <w:rStyle w:val="Hyperlink"/>
          <w:sz w:val="24"/>
          <w:szCs w:val="24"/>
          <w:rFonts w:cs="Times New Roman" w:ascii="Times New Roman" w:hAnsi="Times New Roman"/>
        </w:rPr>
        <w:fldChar w:fldCharType="separate"/>
      </w:r>
      <w:r>
        <w:rPr>
          <w:rStyle w:val="Hyperlink"/>
          <w:rFonts w:cs="Times New Roman" w:ascii="Times New Roman" w:hAnsi="Times New Roman"/>
          <w:sz w:val="24"/>
          <w:szCs w:val="24"/>
        </w:rPr>
        <w:t>таблице 1.2</w:t>
      </w:r>
      <w:r>
        <w:rPr>
          <w:rStyle w:val="Hyperlink"/>
          <w:sz w:val="24"/>
          <w:szCs w:val="24"/>
          <w:rFonts w:cs="Times New Roman" w:ascii="Times New Roman" w:hAnsi="Times New Roman"/>
        </w:rPr>
        <w:fldChar w:fldCharType="end"/>
      </w:r>
      <w:r>
        <w:rPr>
          <w:rFonts w:cs="Times New Roman" w:ascii="Times New Roman" w:hAnsi="Times New Roman"/>
          <w:sz w:val="24"/>
          <w:szCs w:val="24"/>
        </w:rPr>
        <w:t>, приведенной в приложении N 2 к Методике;</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ЗП</w:t>
      </w:r>
      <w:r>
        <w:rPr>
          <w:rFonts w:cs="Times New Roman" w:ascii="Times New Roman" w:hAnsi="Times New Roman"/>
          <w:sz w:val="24"/>
          <w:szCs w:val="24"/>
          <w:vertAlign w:val="subscript"/>
        </w:rPr>
        <w:t>ср</w:t>
      </w:r>
      <w:r>
        <w:rPr>
          <w:rFonts w:cs="Times New Roman" w:ascii="Times New Roman" w:hAnsi="Times New Roman"/>
          <w:sz w:val="24"/>
          <w:szCs w:val="24"/>
        </w:rPr>
        <w:t xml:space="preserve"> - среднедневная заработная плата, тыс. руб. Принимается по данным Росстата о сред</w:t>
        <w:softHyphen/>
        <w:t>немесячной номинальной начисленной заработной плате работающих в экономике, по видам экономической деятельности в Российской Федерации для деятельности в области архитектуры (</w:t>
      </w:r>
      <w:hyperlink r:id="rId51">
        <w:r>
          <w:rPr>
            <w:rStyle w:val="Hyperlink"/>
            <w:rFonts w:cs="Times New Roman" w:ascii="Times New Roman" w:hAnsi="Times New Roman"/>
            <w:sz w:val="24"/>
            <w:szCs w:val="24"/>
          </w:rPr>
          <w:t>код 71.12.62</w:t>
        </w:r>
      </w:hyperlink>
      <w:r>
        <w:rPr>
          <w:rFonts w:cs="Times New Roman" w:ascii="Times New Roman" w:hAnsi="Times New Roman"/>
          <w:sz w:val="24"/>
          <w:szCs w:val="24"/>
        </w:rPr>
        <w:t xml:space="preserve"> согласно ОК 029-2014 (КДЕС ред. 2) "Общероссийский классификатор видов эко</w:t>
        <w:softHyphen/>
        <w:t>номической деятельности" (далее - Общероссийский классификатор) за год, предшествующий году определения сметной стоимости объекта (среднее значение за период январь - декабрь), исходя из усредненного на основании производственного календаря количества рабочих дней в месяце для года, предшествующего году определения сметной стоимости работ по эксплуата</w:t>
        <w:softHyphen/>
        <w:t xml:space="preserve">ции. </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К</w:t>
      </w:r>
      <w:r>
        <w:rPr>
          <w:rFonts w:cs="Times New Roman" w:ascii="Times New Roman" w:hAnsi="Times New Roman"/>
          <w:sz w:val="24"/>
          <w:szCs w:val="24"/>
          <w:vertAlign w:val="subscript"/>
        </w:rPr>
        <w:t>3</w:t>
      </w:r>
      <w:r>
        <w:rPr>
          <w:rFonts w:cs="Times New Roman" w:ascii="Times New Roman" w:hAnsi="Times New Roman"/>
          <w:sz w:val="24"/>
          <w:szCs w:val="24"/>
        </w:rPr>
        <w:t xml:space="preserve"> - коэффициент, учитывающий долю оплаты труда производственного персонала в себе</w:t>
        <w:softHyphen/>
        <w:t>стоимости работ по эксплуатации: К3 принимается в размере 40,00%;</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3) коэффициент, квалификации-участия (К</w:t>
      </w:r>
      <w:r>
        <w:rPr>
          <w:rFonts w:cs="Times New Roman" w:ascii="Times New Roman" w:hAnsi="Times New Roman"/>
          <w:sz w:val="24"/>
          <w:szCs w:val="24"/>
          <w:vertAlign w:val="subscript"/>
        </w:rPr>
        <w:t>кв-уч</w:t>
      </w:r>
      <w:r>
        <w:rPr>
          <w:rFonts w:cs="Times New Roman" w:ascii="Times New Roman" w:hAnsi="Times New Roman"/>
          <w:sz w:val="24"/>
          <w:szCs w:val="24"/>
        </w:rPr>
        <w:t>), определяется по формуле:</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center"/>
        <w:rPr>
          <w:rFonts w:ascii="Times New Roman" w:hAnsi="Times New Roman" w:cs="Times New Roman"/>
          <w:sz w:val="24"/>
          <w:szCs w:val="24"/>
        </w:rPr>
      </w:pPr>
      <w:r>
        <w:rPr/>
        <w:drawing>
          <wp:inline distT="0" distB="0" distL="0" distR="0">
            <wp:extent cx="1550670" cy="548640"/>
            <wp:effectExtent l="0" t="0" r="0" b="0"/>
            <wp:docPr id="2"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descr=""/>
                    <pic:cNvPicPr>
                      <a:picLocks noChangeAspect="1" noChangeArrowheads="1"/>
                    </pic:cNvPicPr>
                  </pic:nvPicPr>
                  <pic:blipFill>
                    <a:blip r:embed="rId52"/>
                    <a:srcRect l="-46" t="-130" r="-46" b="-130"/>
                    <a:stretch>
                      <a:fillRect/>
                    </a:stretch>
                  </pic:blipFill>
                  <pic:spPr bwMode="auto">
                    <a:xfrm>
                      <a:off x="0" y="0"/>
                      <a:ext cx="1550670" cy="548640"/>
                    </a:xfrm>
                    <a:prstGeom prst="rect">
                      <a:avLst/>
                    </a:prstGeom>
                  </pic:spPr>
                </pic:pic>
              </a:graphicData>
            </a:graphic>
          </wp:inline>
        </w:drawing>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ind w:left="0" w:right="0" w:firstLine="540"/>
        <w:jc w:val="both"/>
        <w:rPr>
          <w:rFonts w:ascii="Times New Roman" w:hAnsi="Times New Roman" w:cs="Times New Roman"/>
          <w:sz w:val="24"/>
          <w:szCs w:val="24"/>
        </w:rPr>
      </w:pPr>
      <w:r>
        <w:rPr>
          <w:rFonts w:cs="Times New Roman" w:ascii="Times New Roman" w:hAnsi="Times New Roman"/>
          <w:sz w:val="24"/>
          <w:szCs w:val="24"/>
        </w:rPr>
        <w:t>где:</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И</w:t>
      </w:r>
      <w:r>
        <w:rPr>
          <w:rFonts w:cs="Times New Roman" w:ascii="Times New Roman" w:hAnsi="Times New Roman"/>
          <w:sz w:val="24"/>
          <w:szCs w:val="24"/>
          <w:vertAlign w:val="subscript"/>
        </w:rPr>
        <w:t>i</w:t>
      </w:r>
      <w:r>
        <w:rPr>
          <w:rFonts w:cs="Times New Roman" w:ascii="Times New Roman" w:hAnsi="Times New Roman"/>
          <w:sz w:val="24"/>
          <w:szCs w:val="24"/>
        </w:rPr>
        <w:t xml:space="preserve"> - индекс квалификации непосредственных исполнителей согласно </w:t>
      </w:r>
      <w:r>
        <w:fldChar w:fldCharType="begin"/>
      </w:r>
      <w:r>
        <w:rPr>
          <w:rStyle w:val="Hyperlink"/>
          <w:sz w:val="24"/>
          <w:szCs w:val="24"/>
          <w:rFonts w:cs="Times New Roman" w:ascii="Times New Roman" w:hAnsi="Times New Roman"/>
        </w:rPr>
        <w:instrText xml:space="preserve"> HYPERLINK "../../../../../home/home/C:/C:/Users/AvdeevaNP/AppData/Local/Microsoft/Windows/Temporary%20Internet%20Files/Content.Outlook/SH4XTFC6/%25D0%25A2%25D0%25A2%20%25D0%259F%25D0%2598%25D0%25A0%20%25D0%25B0%25D0%25BA%25D1%2582%25D1%2583%25D0%25B0%25D0%25BB%25D1%258C%25D0%25BD.doc" \l "P1654"</w:instrText>
      </w:r>
      <w:r>
        <w:rPr>
          <w:rStyle w:val="Hyperlink"/>
          <w:sz w:val="24"/>
          <w:szCs w:val="24"/>
          <w:rFonts w:cs="Times New Roman" w:ascii="Times New Roman" w:hAnsi="Times New Roman"/>
        </w:rPr>
        <w:fldChar w:fldCharType="separate"/>
      </w:r>
      <w:r>
        <w:rPr>
          <w:rStyle w:val="Hyperlink"/>
          <w:rFonts w:cs="Times New Roman" w:ascii="Times New Roman" w:hAnsi="Times New Roman"/>
          <w:sz w:val="24"/>
          <w:szCs w:val="24"/>
        </w:rPr>
        <w:t>таблицам 1.3</w:t>
      </w:r>
      <w:r>
        <w:rPr>
          <w:rStyle w:val="Hyperlink"/>
          <w:sz w:val="24"/>
          <w:szCs w:val="24"/>
          <w:rFonts w:cs="Times New Roman" w:ascii="Times New Roman" w:hAnsi="Times New Roman"/>
        </w:rPr>
        <w:fldChar w:fldCharType="end"/>
      </w:r>
      <w:r>
        <w:rPr>
          <w:rFonts w:cs="Times New Roman" w:ascii="Times New Roman" w:hAnsi="Times New Roman"/>
          <w:sz w:val="24"/>
          <w:szCs w:val="24"/>
        </w:rPr>
        <w:t xml:space="preserve"> - </w:t>
      </w:r>
      <w:r>
        <w:fldChar w:fldCharType="begin"/>
      </w:r>
      <w:r>
        <w:rPr>
          <w:rStyle w:val="Hyperlink"/>
          <w:sz w:val="24"/>
          <w:szCs w:val="24"/>
          <w:rFonts w:cs="Times New Roman" w:ascii="Times New Roman" w:hAnsi="Times New Roman"/>
        </w:rPr>
        <w:instrText xml:space="preserve"> HYPERLINK "../../../../../home/home/C:/C:/Users/AvdeevaNP/AppData/Local/Microsoft/Windows/Temporary%20Internet%20Files/Content.Outlook/SH4XTFC6/%25D0%25A2%25D0%25A2%20%25D0%259F%25D0%2598%25D0%25A0%20%25D0%25B0%25D0%25BA%25D1%2582%25D1%2583%25D0%25B0%25D0%25BB%25D1%258C%25D0%25BD.doc" \l "P1701"</w:instrText>
      </w:r>
      <w:r>
        <w:rPr>
          <w:rStyle w:val="Hyperlink"/>
          <w:sz w:val="24"/>
          <w:szCs w:val="24"/>
          <w:rFonts w:cs="Times New Roman" w:ascii="Times New Roman" w:hAnsi="Times New Roman"/>
        </w:rPr>
        <w:fldChar w:fldCharType="separate"/>
      </w:r>
      <w:r>
        <w:rPr>
          <w:rStyle w:val="Hyperlink"/>
          <w:rFonts w:cs="Times New Roman" w:ascii="Times New Roman" w:hAnsi="Times New Roman"/>
          <w:sz w:val="24"/>
          <w:szCs w:val="24"/>
        </w:rPr>
        <w:t>1.4</w:t>
      </w:r>
      <w:r>
        <w:rPr>
          <w:rStyle w:val="Hyperlink"/>
          <w:sz w:val="24"/>
          <w:szCs w:val="24"/>
          <w:rFonts w:cs="Times New Roman" w:ascii="Times New Roman" w:hAnsi="Times New Roman"/>
        </w:rPr>
        <w:fldChar w:fldCharType="end"/>
      </w:r>
      <w:r>
        <w:rPr>
          <w:rFonts w:cs="Times New Roman" w:ascii="Times New Roman" w:hAnsi="Times New Roman"/>
          <w:sz w:val="24"/>
          <w:szCs w:val="24"/>
        </w:rPr>
        <w:t xml:space="preserve">, приведенным в приложении N 2 к Методике. Для отдельных отраслей индексы, приведенные в </w:t>
      </w:r>
      <w:r>
        <w:fldChar w:fldCharType="begin"/>
      </w:r>
      <w:r>
        <w:rPr>
          <w:rStyle w:val="Hyperlink"/>
          <w:sz w:val="24"/>
          <w:szCs w:val="24"/>
          <w:rFonts w:cs="Times New Roman" w:ascii="Times New Roman" w:hAnsi="Times New Roman"/>
        </w:rPr>
        <w:instrText xml:space="preserve"> HYPERLINK "../../../../../home/home/C:/C:/Users/AvdeevaNP/AppData/Local/Microsoft/Windows/Temporary%20Internet%20Files/Content.Outlook/SH4XTFC6/%25D0%25A2%25D0%25A2%20%25D0%259F%25D0%2598%25D0%25A0%20%25D0%25B0%25D0%25BA%25D1%2582%25D1%2583%25D0%25B0%25D0%25BB%25D1%258C%25D0%25BD.doc" \l "P1654"</w:instrText>
      </w:r>
      <w:r>
        <w:rPr>
          <w:rStyle w:val="Hyperlink"/>
          <w:sz w:val="24"/>
          <w:szCs w:val="24"/>
          <w:rFonts w:cs="Times New Roman" w:ascii="Times New Roman" w:hAnsi="Times New Roman"/>
        </w:rPr>
        <w:fldChar w:fldCharType="separate"/>
      </w:r>
      <w:r>
        <w:rPr>
          <w:rStyle w:val="Hyperlink"/>
          <w:rFonts w:cs="Times New Roman" w:ascii="Times New Roman" w:hAnsi="Times New Roman"/>
          <w:sz w:val="24"/>
          <w:szCs w:val="24"/>
        </w:rPr>
        <w:t>таблицах 1.3</w:t>
      </w:r>
      <w:r>
        <w:rPr>
          <w:rStyle w:val="Hyperlink"/>
          <w:sz w:val="24"/>
          <w:szCs w:val="24"/>
          <w:rFonts w:cs="Times New Roman" w:ascii="Times New Roman" w:hAnsi="Times New Roman"/>
        </w:rPr>
        <w:fldChar w:fldCharType="end"/>
      </w:r>
      <w:r>
        <w:rPr>
          <w:rFonts w:cs="Times New Roman" w:ascii="Times New Roman" w:hAnsi="Times New Roman"/>
          <w:sz w:val="24"/>
          <w:szCs w:val="24"/>
        </w:rPr>
        <w:t xml:space="preserve"> - </w:t>
      </w:r>
      <w:r>
        <w:fldChar w:fldCharType="begin"/>
      </w:r>
      <w:r>
        <w:rPr>
          <w:rStyle w:val="Hyperlink"/>
          <w:sz w:val="24"/>
          <w:szCs w:val="24"/>
          <w:rFonts w:cs="Times New Roman" w:ascii="Times New Roman" w:hAnsi="Times New Roman"/>
        </w:rPr>
        <w:instrText xml:space="preserve"> HYPERLINK "../../../../../home/home/C:/C:/Users/AvdeevaNP/AppData/Local/Microsoft/Windows/Temporary%20Internet%20Files/Content.Outlook/SH4XTFC6/%25D0%25A2%25D0%25A2%20%25D0%259F%25D0%2598%25D0%25A0%20%25D0%25B0%25D0%25BA%25D1%2582%25D1%2583%25D0%25B0%25D0%25BB%25D1%258C%25D0%25BD.doc" \l "P1701"</w:instrText>
      </w:r>
      <w:r>
        <w:rPr>
          <w:rStyle w:val="Hyperlink"/>
          <w:sz w:val="24"/>
          <w:szCs w:val="24"/>
          <w:rFonts w:cs="Times New Roman" w:ascii="Times New Roman" w:hAnsi="Times New Roman"/>
        </w:rPr>
        <w:fldChar w:fldCharType="separate"/>
      </w:r>
      <w:r>
        <w:rPr>
          <w:rStyle w:val="Hyperlink"/>
          <w:rFonts w:cs="Times New Roman" w:ascii="Times New Roman" w:hAnsi="Times New Roman"/>
          <w:sz w:val="24"/>
          <w:szCs w:val="24"/>
        </w:rPr>
        <w:t>1.4</w:t>
      </w:r>
      <w:r>
        <w:rPr>
          <w:rStyle w:val="Hyperlink"/>
          <w:sz w:val="24"/>
          <w:szCs w:val="24"/>
          <w:rFonts w:cs="Times New Roman" w:ascii="Times New Roman" w:hAnsi="Times New Roman"/>
        </w:rPr>
        <w:fldChar w:fldCharType="end"/>
      </w:r>
      <w:r>
        <w:rPr>
          <w:rFonts w:cs="Times New Roman" w:ascii="Times New Roman" w:hAnsi="Times New Roman"/>
          <w:sz w:val="24"/>
          <w:szCs w:val="24"/>
        </w:rPr>
        <w:t xml:space="preserve"> приложения N 2 к Методике, подлежат уточнению при предоставлении соот</w:t>
        <w:softHyphen/>
        <w:t>ветствующих обоснований (бухгалтерских справок и аналогичных документов), документально подтвержденных уполномоченными лицами организации;</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Ч</w:t>
      </w:r>
      <w:r>
        <w:rPr>
          <w:rFonts w:cs="Times New Roman" w:ascii="Times New Roman" w:hAnsi="Times New Roman"/>
          <w:sz w:val="24"/>
          <w:szCs w:val="24"/>
          <w:vertAlign w:val="subscript"/>
        </w:rPr>
        <w:t>i</w:t>
      </w:r>
      <w:r>
        <w:rPr>
          <w:rFonts w:cs="Times New Roman" w:ascii="Times New Roman" w:hAnsi="Times New Roman"/>
          <w:sz w:val="24"/>
          <w:szCs w:val="24"/>
        </w:rPr>
        <w:t xml:space="preserve"> - численность исполнителей одинаковой квалификации, чел.;</w:t>
      </w:r>
    </w:p>
    <w:p>
      <w:pPr>
        <w:pStyle w:val="ConsPlusNormal"/>
        <w:spacing w:before="220" w:after="0"/>
        <w:ind w:left="0" w:right="0" w:firstLine="540"/>
        <w:jc w:val="both"/>
        <w:rPr>
          <w:rFonts w:ascii="Times New Roman" w:hAnsi="Times New Roman" w:cs="Times New Roman"/>
          <w:sz w:val="24"/>
          <w:szCs w:val="24"/>
        </w:rPr>
      </w:pPr>
      <w:r>
        <w:rPr>
          <w:rFonts w:cs="Times New Roman" w:ascii="Times New Roman" w:hAnsi="Times New Roman"/>
          <w:sz w:val="24"/>
          <w:szCs w:val="24"/>
        </w:rPr>
        <w:t>Т</w:t>
      </w:r>
      <w:r>
        <w:rPr>
          <w:rFonts w:cs="Times New Roman" w:ascii="Times New Roman" w:hAnsi="Times New Roman"/>
          <w:sz w:val="24"/>
          <w:szCs w:val="24"/>
          <w:vertAlign w:val="subscript"/>
        </w:rPr>
        <w:t>фi</w:t>
      </w:r>
      <w:r>
        <w:rPr>
          <w:rFonts w:cs="Times New Roman" w:ascii="Times New Roman" w:hAnsi="Times New Roman"/>
          <w:sz w:val="24"/>
          <w:szCs w:val="24"/>
        </w:rPr>
        <w:t xml:space="preserve"> - фактическое время работы исполнителей одинаковой квалификации, дни.</w:t>
      </w:r>
    </w:p>
    <w:p>
      <w:pPr>
        <w:pStyle w:val="ConsPlusNormal"/>
        <w:spacing w:before="220" w:after="0"/>
        <w:ind w:left="0" w:right="0" w:firstLine="540"/>
        <w:jc w:val="both"/>
        <w:rPr/>
      </w:pPr>
      <w:r>
        <w:rPr>
          <w:rFonts w:cs="Times New Roman" w:ascii="Times New Roman" w:hAnsi="Times New Roman"/>
          <w:sz w:val="24"/>
          <w:szCs w:val="24"/>
        </w:rPr>
        <w:t>Численность и должностные категории (квалификация) исполнителей, фактическое время работы исполнителей одинаковой квалификации определяются на основании положений доку</w:t>
        <w:softHyphen/>
        <w:t xml:space="preserve">ментов по стандартизации согласно </w:t>
      </w:r>
      <w:hyperlink r:id="rId53">
        <w:r>
          <w:rPr>
            <w:rStyle w:val="Hyperlink"/>
            <w:rFonts w:cs="Times New Roman" w:ascii="Times New Roman" w:hAnsi="Times New Roman"/>
            <w:sz w:val="24"/>
            <w:szCs w:val="24"/>
          </w:rPr>
          <w:t>статье 14</w:t>
        </w:r>
      </w:hyperlink>
      <w:r>
        <w:rPr>
          <w:rFonts w:cs="Times New Roman" w:ascii="Times New Roman" w:hAnsi="Times New Roman"/>
          <w:sz w:val="24"/>
          <w:szCs w:val="24"/>
        </w:rPr>
        <w:t xml:space="preserve"> Федерального закона от 29 июня 2015 г. N 162-ФЗ "О стандартизации в Российской Федерации" (Собрание законодательства Российской Федера</w:t>
        <w:softHyphen/>
        <w:t>ции, 2015, N 27, ст. 3953; 2021, N 1, ст. 62), стандартов процесса подготовки документации со</w:t>
        <w:softHyphen/>
        <w:t xml:space="preserve">гласно </w:t>
      </w:r>
      <w:hyperlink r:id="rId54">
        <w:r>
          <w:rPr>
            <w:rStyle w:val="Hyperlink"/>
            <w:rFonts w:cs="Times New Roman" w:ascii="Times New Roman" w:hAnsi="Times New Roman"/>
            <w:sz w:val="24"/>
            <w:szCs w:val="24"/>
          </w:rPr>
          <w:t>пункту 10 части 8 статьи 55.20</w:t>
        </w:r>
      </w:hyperlink>
      <w:r>
        <w:rPr>
          <w:rFonts w:cs="Times New Roman" w:ascii="Times New Roman" w:hAnsi="Times New Roman"/>
          <w:sz w:val="24"/>
          <w:szCs w:val="24"/>
        </w:rPr>
        <w:t xml:space="preserve"> Градостроительного кодекса Российской Федерации (Со</w:t>
        <w:softHyphen/>
        <w:t>брание законодательства Российской Федерации, 2005, N 1, ст. 16; 2018, N 32, ст. 5133), норм эксплуатации, данных о трудоемкости объектов-аналогов, результатов опроса, проведенного среди не менее трех организаций, специализирующихся на выполнение работ по эксплуатации, на которые подготавливается смета, таблиц технологического процесса выполнения работ по эксплуатации по объекту, продолжительности выполняемых работ, указанных в календарном плане к договору на выполнение работ по эксплуатации, данных о времени и количестве испол</w:t>
        <w:softHyphen/>
        <w:t>нителей определенной квалификации, принимающих участие в выполнении работ по эксплуа</w:t>
        <w:softHyphen/>
        <w:t>тации, которые должны быть подписаны руководителем организации, предоставляющей такие данные, и заверены ее печатью;</w:t>
      </w:r>
    </w:p>
    <w:p>
      <w:pPr>
        <w:pStyle w:val="ListParagraph"/>
        <w:tabs>
          <w:tab w:val="clear" w:pos="708"/>
          <w:tab w:val="left" w:pos="993" w:leader="none"/>
          <w:tab w:val="left" w:pos="1080" w:leader="none"/>
        </w:tabs>
        <w:ind w:left="0" w:right="0" w:firstLine="567"/>
        <w:jc w:val="both"/>
        <w:rPr>
          <w:rFonts w:ascii="Times New Roman" w:hAnsi="Times New Roman"/>
        </w:rPr>
      </w:pPr>
      <w:r>
        <w:rPr/>
        <w:t>4</w:t>
      </w:r>
      <w:r>
        <w:rPr>
          <w:rFonts w:eastAsia="Times New Roman" w:cs="Times New Roman"/>
          <w:color w:val="auto"/>
          <w:kern w:val="0"/>
          <w:sz w:val="24"/>
          <w:szCs w:val="24"/>
          <w:lang w:val="ru-RU" w:eastAsia="ru-RU" w:bidi="ar-SA"/>
        </w:rPr>
        <w:t>) стоимость работ по эксплуатации, определяемых в соответствии с калькуляцией затрат, не учитывает командировочные расходы, непосредственно связанные с оказанием услуг, опре</w:t>
        <w:softHyphen/>
        <w:t>деляемые дополнительно.</w:t>
      </w:r>
    </w:p>
    <w:p>
      <w:pPr>
        <w:pStyle w:val="Normal"/>
        <w:spacing w:lineRule="auto" w:line="276" w:before="0" w:after="200"/>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r>
      <w:r>
        <w:br w:type="page"/>
      </w:r>
    </w:p>
    <w:p>
      <w:pPr>
        <w:pStyle w:val="Normal"/>
        <w:jc w:val="right"/>
        <w:rPr>
          <w:rFonts w:ascii="Times New Roman" w:hAnsi="Times New Roman"/>
        </w:rPr>
      </w:pPr>
      <w:r>
        <w:rPr/>
        <w:t>Приложение №2.2</w:t>
      </w:r>
    </w:p>
    <w:p>
      <w:pPr>
        <w:pStyle w:val="Normal"/>
        <w:jc w:val="right"/>
        <w:rPr>
          <w:rFonts w:ascii="Times New Roman" w:hAnsi="Times New Roman"/>
        </w:rPr>
      </w:pPr>
      <w:r>
        <w:rPr/>
        <w:t>к пояснительной записке</w:t>
      </w:r>
    </w:p>
    <w:p>
      <w:pPr>
        <w:pStyle w:val="Normal"/>
        <w:jc w:val="right"/>
        <w:rPr>
          <w:rFonts w:ascii="Times New Roman" w:hAnsi="Times New Roman"/>
        </w:rPr>
      </w:pPr>
      <w:r>
        <w:rPr/>
        <w:t xml:space="preserve"> </w:t>
      </w:r>
      <w:r>
        <w:rPr/>
        <w:t>по заполнению формы 3П</w:t>
      </w:r>
    </w:p>
    <w:p>
      <w:pPr>
        <w:pStyle w:val="Normal"/>
        <w:shd w:val="clear" w:fill="FFFFFF"/>
        <w:spacing w:before="360" w:after="240"/>
        <w:rPr>
          <w:rFonts w:ascii="Times New Roman" w:hAnsi="Times New Roman"/>
        </w:rPr>
      </w:pPr>
      <w:r>
        <w:rPr/>
        <w:t>Образец 3П</w:t>
      </w:r>
    </w:p>
    <w:p>
      <w:pPr>
        <w:pStyle w:val="Normal"/>
        <w:jc w:val="center"/>
        <w:rPr>
          <w:rFonts w:ascii="Times New Roman" w:hAnsi="Times New Roman"/>
        </w:rPr>
      </w:pPr>
      <w:r>
        <w:rPr/>
      </w:r>
    </w:p>
    <w:p>
      <w:pPr>
        <w:pStyle w:val="Normal"/>
        <w:jc w:val="center"/>
        <w:rPr>
          <w:rFonts w:ascii="Times New Roman" w:hAnsi="Times New Roman"/>
        </w:rPr>
      </w:pPr>
      <w:r>
        <w:rPr/>
        <w:t>СМЕТА №</w:t>
      </w:r>
    </w:p>
    <w:p>
      <w:pPr>
        <w:pStyle w:val="Normal"/>
        <w:jc w:val="center"/>
        <w:rPr>
          <w:rFonts w:ascii="Times New Roman" w:hAnsi="Times New Roman"/>
        </w:rPr>
      </w:pPr>
      <w:r>
        <w:rPr/>
        <w:t>на работы по эксплуатации</w:t>
      </w:r>
    </w:p>
    <w:p>
      <w:pPr>
        <w:pStyle w:val="Normal"/>
        <w:jc w:val="center"/>
        <w:rPr>
          <w:rFonts w:ascii="Times New Roman" w:hAnsi="Times New Roman"/>
        </w:rPr>
      </w:pPr>
      <w:r>
        <w:rPr/>
      </w:r>
    </w:p>
    <w:p>
      <w:pPr>
        <w:pStyle w:val="Normal"/>
        <w:jc w:val="both"/>
        <w:rPr>
          <w:rFonts w:ascii="Times New Roman" w:hAnsi="Times New Roman"/>
        </w:rPr>
      </w:pPr>
      <w:r>
        <w:rPr/>
      </w:r>
    </w:p>
    <w:p>
      <w:pPr>
        <w:pStyle w:val="Normal"/>
        <w:ind w:left="0" w:right="1246" w:firstLine="1134"/>
        <w:jc w:val="both"/>
        <w:rPr>
          <w:i/>
          <w:i/>
          <w:iCs/>
          <w:sz w:val="20"/>
          <w:szCs w:val="20"/>
        </w:rPr>
      </w:pPr>
      <w:r>
        <w:rPr>
          <w:sz w:val="20"/>
          <w:szCs w:val="20"/>
        </w:rPr>
        <w:t>__________________________________________________________</w:t>
      </w:r>
    </w:p>
    <w:p>
      <w:pPr>
        <w:pStyle w:val="Normal"/>
        <w:jc w:val="center"/>
        <w:rPr>
          <w:i/>
          <w:i/>
          <w:iCs/>
          <w:sz w:val="20"/>
          <w:szCs w:val="20"/>
        </w:rPr>
      </w:pPr>
      <w:r>
        <w:rPr>
          <w:i/>
          <w:iCs/>
          <w:sz w:val="20"/>
          <w:szCs w:val="20"/>
        </w:rPr>
        <w:t>(наименование объекта)</w:t>
      </w:r>
    </w:p>
    <w:p>
      <w:pPr>
        <w:pStyle w:val="Normal"/>
        <w:jc w:val="both"/>
        <w:rPr>
          <w:rFonts w:ascii="Times New Roman" w:hAnsi="Times New Roman"/>
          <w:i/>
          <w:i/>
          <w:iCs/>
          <w:sz w:val="20"/>
          <w:szCs w:val="20"/>
        </w:rPr>
      </w:pPr>
      <w:r>
        <w:rPr>
          <w:i/>
          <w:iCs/>
          <w:sz w:val="20"/>
          <w:szCs w:val="20"/>
        </w:rPr>
      </w:r>
    </w:p>
    <w:p>
      <w:pPr>
        <w:pStyle w:val="Normal"/>
        <w:ind w:left="0" w:right="1246" w:hanging="0"/>
        <w:jc w:val="both"/>
        <w:rPr>
          <w:i/>
          <w:i/>
          <w:iCs/>
          <w:sz w:val="20"/>
          <w:szCs w:val="20"/>
        </w:rPr>
      </w:pPr>
      <w:r>
        <w:rPr>
          <w:sz w:val="20"/>
          <w:szCs w:val="20"/>
        </w:rPr>
        <w:t>Заказчик ____________________________________________________</w:t>
      </w:r>
    </w:p>
    <w:p>
      <w:pPr>
        <w:pStyle w:val="Normal"/>
        <w:jc w:val="center"/>
        <w:rPr>
          <w:i/>
          <w:i/>
          <w:iCs/>
          <w:sz w:val="20"/>
          <w:szCs w:val="20"/>
        </w:rPr>
      </w:pPr>
      <w:r>
        <w:rPr>
          <w:i/>
          <w:iCs/>
          <w:sz w:val="20"/>
          <w:szCs w:val="20"/>
        </w:rPr>
        <w:t>(наименование организации)</w:t>
      </w:r>
    </w:p>
    <w:p>
      <w:pPr>
        <w:pStyle w:val="Normal"/>
        <w:jc w:val="both"/>
        <w:rPr>
          <w:rFonts w:ascii="Times New Roman" w:hAnsi="Times New Roman"/>
          <w:i/>
          <w:i/>
          <w:iCs/>
          <w:sz w:val="20"/>
          <w:szCs w:val="20"/>
        </w:rPr>
      </w:pPr>
      <w:r>
        <w:rPr>
          <w:i/>
          <w:iCs/>
          <w:sz w:val="20"/>
          <w:szCs w:val="20"/>
        </w:rPr>
      </w:r>
    </w:p>
    <w:p>
      <w:pPr>
        <w:pStyle w:val="Normal"/>
        <w:ind w:left="0" w:right="1246" w:hanging="0"/>
        <w:jc w:val="both"/>
        <w:rPr>
          <w:i/>
          <w:i/>
          <w:iCs/>
          <w:sz w:val="20"/>
          <w:szCs w:val="20"/>
        </w:rPr>
      </w:pPr>
      <w:r>
        <w:rPr>
          <w:sz w:val="20"/>
          <w:szCs w:val="20"/>
        </w:rPr>
        <w:t>Подрядная организация _________________________________________</w:t>
      </w:r>
    </w:p>
    <w:p>
      <w:pPr>
        <w:pStyle w:val="Normal"/>
        <w:jc w:val="center"/>
        <w:rPr>
          <w:sz w:val="20"/>
          <w:szCs w:val="20"/>
        </w:rPr>
      </w:pPr>
      <w:r>
        <w:rPr>
          <w:i/>
          <w:iCs/>
          <w:sz w:val="20"/>
          <w:szCs w:val="20"/>
        </w:rPr>
        <w:t>(наименование организации)</w:t>
      </w:r>
    </w:p>
    <w:p>
      <w:pPr>
        <w:pStyle w:val="Normal"/>
        <w:ind w:left="0" w:right="1246" w:firstLine="1134"/>
        <w:jc w:val="both"/>
        <w:rPr>
          <w:sz w:val="20"/>
          <w:szCs w:val="20"/>
        </w:rPr>
      </w:pPr>
      <w:r>
        <w:rPr>
          <w:sz w:val="20"/>
          <w:szCs w:val="20"/>
        </w:rPr>
        <w:t>Составлена в уровне цен на ___________ 20__ г.</w:t>
      </w:r>
    </w:p>
    <w:p>
      <w:pPr>
        <w:pStyle w:val="ConsPlusNonformat"/>
        <w:jc w:val="both"/>
        <w:rPr>
          <w:rFonts w:ascii="Times New Roman" w:hAnsi="Times New Roman" w:cs="Times New Roman"/>
        </w:rPr>
      </w:pPr>
      <w:r>
        <w:rPr>
          <w:rFonts w:cs="Times New Roman" w:ascii="Times New Roman" w:hAnsi="Times New Roman"/>
        </w:rPr>
      </w:r>
    </w:p>
    <w:p>
      <w:pPr>
        <w:pStyle w:val="ConsPlusNonformat"/>
        <w:jc w:val="both"/>
        <w:rPr>
          <w:rFonts w:ascii="Times New Roman" w:hAnsi="Times New Roman" w:cs="Times New Roman"/>
        </w:rPr>
      </w:pPr>
      <w:r>
        <w:rPr>
          <w:rFonts w:cs="Times New Roman" w:ascii="Times New Roman" w:hAnsi="Times New Roman"/>
        </w:rPr>
      </w:r>
    </w:p>
    <w:p>
      <w:pPr>
        <w:pStyle w:val="Normal"/>
        <w:jc w:val="center"/>
        <w:rPr>
          <w:sz w:val="20"/>
          <w:szCs w:val="20"/>
        </w:rPr>
      </w:pPr>
      <w:r>
        <w:rPr>
          <w:sz w:val="20"/>
          <w:szCs w:val="20"/>
        </w:rPr>
        <w:t>Расчет коэффициента, учитывающего степень</w:t>
      </w:r>
    </w:p>
    <w:p>
      <w:pPr>
        <w:pStyle w:val="Normal"/>
        <w:jc w:val="center"/>
        <w:rPr>
          <w:sz w:val="20"/>
          <w:szCs w:val="20"/>
        </w:rPr>
      </w:pPr>
      <w:r>
        <w:rPr>
          <w:sz w:val="20"/>
          <w:szCs w:val="20"/>
        </w:rPr>
        <w:t>участия исполнителей различной</w:t>
      </w:r>
    </w:p>
    <w:p>
      <w:pPr>
        <w:pStyle w:val="Normal"/>
        <w:jc w:val="center"/>
        <w:rPr>
          <w:rFonts w:ascii="Times New Roman" w:hAnsi="Times New Roman"/>
        </w:rPr>
      </w:pPr>
      <w:r>
        <w:rPr>
          <w:sz w:val="20"/>
          <w:szCs w:val="20"/>
        </w:rPr>
        <w:t xml:space="preserve">квалификации в выполнении научно-исследовательских </w:t>
      </w:r>
      <w:r>
        <w:rPr/>
        <w:t>работ (Ккв-уч)</w:t>
      </w:r>
    </w:p>
    <w:tbl>
      <w:tblPr>
        <w:tblW w:w="9843" w:type="dxa"/>
        <w:jc w:val="left"/>
        <w:tblInd w:w="-70" w:type="dxa"/>
        <w:tblLayout w:type="fixed"/>
        <w:tblCellMar>
          <w:top w:w="102" w:type="dxa"/>
          <w:left w:w="62" w:type="dxa"/>
          <w:bottom w:w="102" w:type="dxa"/>
          <w:right w:w="62" w:type="dxa"/>
        </w:tblCellMar>
      </w:tblPr>
      <w:tblGrid>
        <w:gridCol w:w="489"/>
        <w:gridCol w:w="1559"/>
        <w:gridCol w:w="1559"/>
        <w:gridCol w:w="1843"/>
        <w:gridCol w:w="1418"/>
        <w:gridCol w:w="1414"/>
        <w:gridCol w:w="1560"/>
      </w:tblGrid>
      <w:tr>
        <w:trPr/>
        <w:tc>
          <w:tcPr>
            <w:tcW w:w="489" w:type="dxa"/>
            <w:tcBorders>
              <w:top w:val="single" w:sz="8" w:space="0" w:color="000000"/>
              <w:left w:val="single" w:sz="8" w:space="0" w:color="000000"/>
              <w:bottom w:val="single" w:sz="8" w:space="0" w:color="000000"/>
              <w:right w:val="single" w:sz="8" w:space="0" w:color="000000"/>
            </w:tcBorders>
            <w:vAlign w:val="center"/>
          </w:tcPr>
          <w:p>
            <w:pPr>
              <w:pStyle w:val="ConsPlusNormal"/>
              <w:widowControl w:val="false"/>
              <w:ind w:left="0" w:right="0" w:hanging="0"/>
              <w:rPr>
                <w:rFonts w:ascii="Times New Roman" w:hAnsi="Times New Roman" w:cs="Times New Roman"/>
              </w:rPr>
            </w:pPr>
            <w:r>
              <w:rPr>
                <w:rFonts w:cs="Times New Roman" w:ascii="Times New Roman" w:hAnsi="Times New Roman"/>
              </w:rPr>
              <w:t>N п/п</w:t>
            </w:r>
          </w:p>
        </w:tc>
        <w:tc>
          <w:tcPr>
            <w:tcW w:w="1559" w:type="dxa"/>
            <w:tcBorders>
              <w:top w:val="single" w:sz="8" w:space="0" w:color="000000"/>
              <w:bottom w:val="single" w:sz="8" w:space="0" w:color="000000"/>
              <w:right w:val="single" w:sz="8" w:space="0" w:color="000000"/>
            </w:tcBorders>
            <w:vAlign w:val="center"/>
          </w:tcPr>
          <w:p>
            <w:pPr>
              <w:pStyle w:val="ConsPlusNormal"/>
              <w:widowControl w:val="false"/>
              <w:ind w:left="0" w:right="0" w:firstLine="60"/>
              <w:jc w:val="center"/>
              <w:rPr>
                <w:rFonts w:ascii="Times New Roman" w:hAnsi="Times New Roman" w:cs="Times New Roman"/>
              </w:rPr>
            </w:pPr>
            <w:r>
              <w:rPr>
                <w:rFonts w:cs="Times New Roman" w:ascii="Times New Roman" w:hAnsi="Times New Roman"/>
              </w:rPr>
              <w:t>Наименование должностей ис</w:t>
              <w:softHyphen/>
              <w:t>полнителей</w:t>
            </w:r>
          </w:p>
        </w:tc>
        <w:tc>
          <w:tcPr>
            <w:tcW w:w="1559" w:type="dxa"/>
            <w:tcBorders>
              <w:top w:val="single" w:sz="8" w:space="0" w:color="000000"/>
              <w:bottom w:val="single" w:sz="8" w:space="0" w:color="000000"/>
              <w:right w:val="single" w:sz="8" w:space="0" w:color="000000"/>
            </w:tcBorders>
            <w:vAlign w:val="center"/>
          </w:tcPr>
          <w:p>
            <w:pPr>
              <w:pStyle w:val="ConsPlusNormal"/>
              <w:widowControl w:val="false"/>
              <w:ind w:left="0" w:right="0" w:firstLine="67"/>
              <w:jc w:val="center"/>
              <w:rPr>
                <w:rFonts w:ascii="Times New Roman" w:hAnsi="Times New Roman" w:cs="Times New Roman"/>
              </w:rPr>
            </w:pPr>
            <w:r>
              <w:rPr>
                <w:rFonts w:cs="Times New Roman" w:ascii="Times New Roman" w:hAnsi="Times New Roman"/>
              </w:rPr>
              <w:t>Фактическое время участия исполнителя в работе, Тф (дни)</w:t>
            </w:r>
          </w:p>
        </w:tc>
        <w:tc>
          <w:tcPr>
            <w:tcW w:w="1843" w:type="dxa"/>
            <w:tcBorders>
              <w:top w:val="single" w:sz="8" w:space="0" w:color="000000"/>
              <w:bottom w:val="single" w:sz="8" w:space="0" w:color="000000"/>
              <w:right w:val="single" w:sz="8" w:space="0" w:color="000000"/>
            </w:tcBorders>
            <w:vAlign w:val="center"/>
          </w:tcPr>
          <w:p>
            <w:pPr>
              <w:pStyle w:val="ConsPlusNormal"/>
              <w:widowControl w:val="false"/>
              <w:ind w:left="0" w:right="0" w:firstLine="5"/>
              <w:jc w:val="center"/>
              <w:rPr>
                <w:rFonts w:ascii="Times New Roman" w:hAnsi="Times New Roman" w:cs="Times New Roman"/>
              </w:rPr>
            </w:pPr>
            <w:r>
              <w:rPr>
                <w:rFonts w:cs="Times New Roman" w:ascii="Times New Roman" w:hAnsi="Times New Roman"/>
              </w:rPr>
              <w:t>Плановая продол</w:t>
              <w:softHyphen/>
              <w:t>жительность вы</w:t>
              <w:softHyphen/>
              <w:t>полнения работ по эксплуатации, предусмотренных калькуляцией, Тп (дни)</w:t>
            </w:r>
          </w:p>
        </w:tc>
        <w:tc>
          <w:tcPr>
            <w:tcW w:w="1418" w:type="dxa"/>
            <w:tcBorders>
              <w:top w:val="single" w:sz="8" w:space="0" w:color="000000"/>
              <w:bottom w:val="single" w:sz="8" w:space="0" w:color="000000"/>
              <w:right w:val="single" w:sz="8" w:space="0" w:color="000000"/>
            </w:tcBorders>
            <w:vAlign w:val="center"/>
          </w:tcPr>
          <w:p>
            <w:pPr>
              <w:pStyle w:val="ConsPlusNormal"/>
              <w:widowControl w:val="false"/>
              <w:ind w:left="0" w:right="0" w:hanging="56"/>
              <w:jc w:val="center"/>
              <w:rPr>
                <w:rFonts w:ascii="Times New Roman" w:hAnsi="Times New Roman" w:cs="Times New Roman"/>
              </w:rPr>
            </w:pPr>
            <w:r>
              <w:rPr>
                <w:rFonts w:cs="Times New Roman" w:ascii="Times New Roman" w:hAnsi="Times New Roman"/>
              </w:rPr>
              <w:t>Численность исполнителей одной квали</w:t>
              <w:softHyphen/>
              <w:t>фикации Чi (чел)</w:t>
            </w:r>
          </w:p>
        </w:tc>
        <w:tc>
          <w:tcPr>
            <w:tcW w:w="1414" w:type="dxa"/>
            <w:tcBorders>
              <w:top w:val="single" w:sz="8" w:space="0" w:color="000000"/>
              <w:bottom w:val="single" w:sz="8" w:space="0" w:color="000000"/>
              <w:right w:val="single" w:sz="8" w:space="0" w:color="000000"/>
            </w:tcBorders>
            <w:vAlign w:val="center"/>
          </w:tcPr>
          <w:p>
            <w:pPr>
              <w:pStyle w:val="ConsPlusNormal"/>
              <w:widowControl w:val="false"/>
              <w:ind w:left="0" w:right="0" w:hanging="0"/>
              <w:jc w:val="center"/>
              <w:rPr>
                <w:rFonts w:ascii="Times New Roman" w:hAnsi="Times New Roman"/>
              </w:rPr>
            </w:pPr>
            <w:r>
              <w:rPr>
                <w:rFonts w:cs="Times New Roman" w:ascii="Times New Roman" w:hAnsi="Times New Roman"/>
              </w:rPr>
              <w:t>Индекс уровня квалификации специалистов исполнителей работы И</w:t>
            </w:r>
            <w:r>
              <w:rPr>
                <w:rFonts w:cs="Times New Roman" w:ascii="Times New Roman" w:hAnsi="Times New Roman"/>
                <w:lang w:val="en-US"/>
              </w:rPr>
              <w:t>i</w:t>
            </w:r>
          </w:p>
        </w:tc>
        <w:tc>
          <w:tcPr>
            <w:tcW w:w="1560" w:type="dxa"/>
            <w:tcBorders>
              <w:top w:val="single" w:sz="8" w:space="0" w:color="000000"/>
              <w:bottom w:val="single" w:sz="8" w:space="0" w:color="000000"/>
              <w:right w:val="single" w:sz="8" w:space="0" w:color="000000"/>
            </w:tcBorders>
            <w:vAlign w:val="center"/>
          </w:tcPr>
          <w:p>
            <w:pPr>
              <w:pStyle w:val="ConsPlusNormal"/>
              <w:widowControl w:val="false"/>
              <w:ind w:left="0" w:right="0" w:firstLine="6"/>
              <w:jc w:val="center"/>
              <w:rPr>
                <w:rFonts w:ascii="Times New Roman" w:hAnsi="Times New Roman" w:cs="Times New Roman"/>
              </w:rPr>
            </w:pPr>
            <w:r>
              <w:rPr>
                <w:rFonts w:cs="Times New Roman" w:ascii="Times New Roman" w:hAnsi="Times New Roman"/>
              </w:rPr>
              <w:t>Коэффициент квалификации (участия) специа</w:t>
              <w:softHyphen/>
              <w:t>листов одной квалифи</w:t>
              <w:softHyphen/>
              <w:t>кации,</w:t>
            </w:r>
          </w:p>
          <w:p>
            <w:pPr>
              <w:pStyle w:val="ConsPlusNormal"/>
              <w:widowControl w:val="false"/>
              <w:ind w:left="0" w:right="0" w:firstLine="6"/>
              <w:jc w:val="center"/>
              <w:rPr>
                <w:rFonts w:ascii="Times New Roman" w:hAnsi="Times New Roman" w:cs="Times New Roman"/>
              </w:rPr>
            </w:pPr>
            <w:r>
              <w:rPr>
                <w:rFonts w:cs="Times New Roman" w:ascii="Times New Roman" w:hAnsi="Times New Roman"/>
              </w:rPr>
              <w:t>∑</w:t>
            </w:r>
            <w:r>
              <w:rPr>
                <w:rFonts w:cs="Times New Roman" w:ascii="Times New Roman" w:hAnsi="Times New Roman"/>
              </w:rPr>
              <w:t>(гр.3/итог гр.4 х гр.5 х гр.6) / ∑гр.5</w:t>
            </w:r>
          </w:p>
        </w:tc>
      </w:tr>
      <w:tr>
        <w:trPr/>
        <w:tc>
          <w:tcPr>
            <w:tcW w:w="489" w:type="dxa"/>
            <w:tcBorders>
              <w:left w:val="single" w:sz="8" w:space="0" w:color="000000"/>
              <w:bottom w:val="single" w:sz="8" w:space="0" w:color="000000"/>
              <w:right w:val="single" w:sz="8" w:space="0" w:color="000000"/>
            </w:tcBorders>
          </w:tcPr>
          <w:p>
            <w:pPr>
              <w:pStyle w:val="ConsPlusNormal"/>
              <w:widowControl w:val="false"/>
              <w:ind w:left="0" w:right="0" w:hanging="81"/>
              <w:jc w:val="center"/>
              <w:rPr>
                <w:rFonts w:ascii="Times New Roman" w:hAnsi="Times New Roman" w:cs="Times New Roman"/>
              </w:rPr>
            </w:pPr>
            <w:r>
              <w:rPr>
                <w:rFonts w:cs="Times New Roman" w:ascii="Times New Roman" w:hAnsi="Times New Roman"/>
              </w:rPr>
              <w:t>1</w:t>
            </w:r>
          </w:p>
        </w:tc>
        <w:tc>
          <w:tcPr>
            <w:tcW w:w="1559"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rPr>
                <w:rFonts w:cs="Times New Roman" w:ascii="Times New Roman" w:hAnsi="Times New Roman"/>
              </w:rPr>
              <w:t>2</w:t>
            </w:r>
          </w:p>
        </w:tc>
        <w:tc>
          <w:tcPr>
            <w:tcW w:w="1559"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rPr>
                <w:rFonts w:cs="Times New Roman" w:ascii="Times New Roman" w:hAnsi="Times New Roman"/>
              </w:rPr>
              <w:t>3</w:t>
            </w:r>
          </w:p>
        </w:tc>
        <w:tc>
          <w:tcPr>
            <w:tcW w:w="1843"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rPr>
                <w:rFonts w:cs="Times New Roman" w:ascii="Times New Roman" w:hAnsi="Times New Roman"/>
              </w:rPr>
              <w:t>4</w:t>
            </w:r>
          </w:p>
        </w:tc>
        <w:tc>
          <w:tcPr>
            <w:tcW w:w="1418"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rPr>
                <w:rFonts w:cs="Times New Roman" w:ascii="Times New Roman" w:hAnsi="Times New Roman"/>
              </w:rPr>
              <w:t>5</w:t>
            </w:r>
          </w:p>
        </w:tc>
        <w:tc>
          <w:tcPr>
            <w:tcW w:w="1414"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rPr>
                <w:rFonts w:cs="Times New Roman" w:ascii="Times New Roman" w:hAnsi="Times New Roman"/>
              </w:rPr>
              <w:t>6</w:t>
            </w:r>
          </w:p>
        </w:tc>
        <w:tc>
          <w:tcPr>
            <w:tcW w:w="1560"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rPr>
                <w:rFonts w:cs="Times New Roman" w:ascii="Times New Roman" w:hAnsi="Times New Roman"/>
              </w:rPr>
              <w:t>7</w:t>
            </w:r>
          </w:p>
        </w:tc>
      </w:tr>
      <w:tr>
        <w:trPr/>
        <w:tc>
          <w:tcPr>
            <w:tcW w:w="489" w:type="dxa"/>
            <w:tcBorders>
              <w:left w:val="single" w:sz="8" w:space="0" w:color="000000"/>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559"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559"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c>
          <w:tcPr>
            <w:tcW w:w="1843" w:type="dxa"/>
            <w:tcBorders>
              <w:bottom w:val="single" w:sz="8" w:space="0" w:color="000000"/>
              <w:right w:val="single" w:sz="8" w:space="0" w:color="000000"/>
            </w:tcBorders>
          </w:tcPr>
          <w:p>
            <w:pPr>
              <w:pStyle w:val="ConsPlusNormal"/>
              <w:widowControl w:val="false"/>
              <w:ind w:left="0" w:right="0" w:hanging="51"/>
              <w:jc w:val="center"/>
              <w:rPr>
                <w:rFonts w:ascii="Times New Roman" w:hAnsi="Times New Roman" w:cs="Times New Roman"/>
              </w:rPr>
            </w:pP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3816#P3816#P3816%23P3816#P3816%23P3816%23P3816%23P3816#P3816%23P3816%23P3816%23P3816%23P3816%23P3816%23P3816%23P3816#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 \l "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w:instrText>
            </w:r>
            <w:r>
              <w:rPr>
                <w:rStyle w:val="Hyperlink"/>
                <w:rFonts w:cs="Times New Roman" w:ascii="Times New Roman" w:hAnsi="Times New Roman"/>
              </w:rPr>
              <w:fldChar w:fldCharType="separate"/>
            </w:r>
            <w:r>
              <w:rPr>
                <w:rStyle w:val="Hyperlink"/>
                <w:rFonts w:cs="Times New Roman" w:ascii="Times New Roman" w:hAnsi="Times New Roman"/>
              </w:rPr>
              <w:t>*</w:t>
            </w:r>
            <w:r>
              <w:rPr>
                <w:rStyle w:val="Hyperlink"/>
                <w:rFonts w:cs="Times New Roman" w:ascii="Times New Roman" w:hAnsi="Times New Roman"/>
              </w:rPr>
              <w:fldChar w:fldCharType="end"/>
            </w:r>
          </w:p>
        </w:tc>
        <w:tc>
          <w:tcPr>
            <w:tcW w:w="1418"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414"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c>
          <w:tcPr>
            <w:tcW w:w="1560"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r>
      <w:tr>
        <w:trPr/>
        <w:tc>
          <w:tcPr>
            <w:tcW w:w="489" w:type="dxa"/>
            <w:tcBorders>
              <w:left w:val="single" w:sz="8" w:space="0" w:color="000000"/>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559"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559"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c>
          <w:tcPr>
            <w:tcW w:w="1843" w:type="dxa"/>
            <w:tcBorders>
              <w:bottom w:val="single" w:sz="8" w:space="0" w:color="000000"/>
              <w:right w:val="single" w:sz="8" w:space="0" w:color="000000"/>
            </w:tcBorders>
          </w:tcPr>
          <w:p>
            <w:pPr>
              <w:pStyle w:val="ConsPlusNormal"/>
              <w:widowControl w:val="false"/>
              <w:ind w:left="0" w:right="0" w:hanging="51"/>
              <w:jc w:val="center"/>
              <w:rPr>
                <w:rFonts w:ascii="Times New Roman" w:hAnsi="Times New Roman" w:cs="Times New Roman"/>
              </w:rPr>
            </w:pP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3816#P3816#P3816%23P3816#P3816%23P3816%23P3816%23P3816#P3816%23P3816%23P3816%23P3816%23P3816%23P3816%23P3816%23P3816#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 \l "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w:instrText>
            </w:r>
            <w:r>
              <w:rPr>
                <w:rStyle w:val="Hyperlink"/>
                <w:rFonts w:cs="Times New Roman" w:ascii="Times New Roman" w:hAnsi="Times New Roman"/>
              </w:rPr>
              <w:fldChar w:fldCharType="separate"/>
            </w:r>
            <w:r>
              <w:rPr>
                <w:rStyle w:val="Hyperlink"/>
                <w:rFonts w:cs="Times New Roman" w:ascii="Times New Roman" w:hAnsi="Times New Roman"/>
              </w:rPr>
              <w:t>*</w:t>
            </w:r>
            <w:r>
              <w:rPr>
                <w:rStyle w:val="Hyperlink"/>
                <w:rFonts w:cs="Times New Roman" w:ascii="Times New Roman" w:hAnsi="Times New Roman"/>
              </w:rPr>
              <w:fldChar w:fldCharType="end"/>
            </w:r>
          </w:p>
        </w:tc>
        <w:tc>
          <w:tcPr>
            <w:tcW w:w="1418"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414"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c>
          <w:tcPr>
            <w:tcW w:w="1560"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r>
      <w:tr>
        <w:trPr/>
        <w:tc>
          <w:tcPr>
            <w:tcW w:w="489" w:type="dxa"/>
            <w:tcBorders>
              <w:left w:val="single" w:sz="8" w:space="0" w:color="000000"/>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559"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559"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c>
          <w:tcPr>
            <w:tcW w:w="1843" w:type="dxa"/>
            <w:tcBorders>
              <w:bottom w:val="single" w:sz="8" w:space="0" w:color="000000"/>
              <w:right w:val="single" w:sz="8" w:space="0" w:color="000000"/>
            </w:tcBorders>
          </w:tcPr>
          <w:p>
            <w:pPr>
              <w:pStyle w:val="ConsPlusNormal"/>
              <w:widowControl w:val="false"/>
              <w:ind w:left="0" w:right="0" w:hanging="51"/>
              <w:jc w:val="center"/>
              <w:rPr>
                <w:rFonts w:ascii="Times New Roman" w:hAnsi="Times New Roman" w:cs="Times New Roman"/>
              </w:rPr>
            </w:pP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3816#P3816#P3816%23P3816#P3816%23P3816%23P3816%23P3816#P3816%23P3816%23P3816%23P3816%23P3816%23P3816%23P3816%23P3816#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 \l "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w:instrText>
            </w:r>
            <w:r>
              <w:rPr>
                <w:rStyle w:val="Hyperlink"/>
                <w:rFonts w:cs="Times New Roman" w:ascii="Times New Roman" w:hAnsi="Times New Roman"/>
              </w:rPr>
              <w:fldChar w:fldCharType="separate"/>
            </w:r>
            <w:r>
              <w:rPr>
                <w:rStyle w:val="Hyperlink"/>
                <w:rFonts w:cs="Times New Roman" w:ascii="Times New Roman" w:hAnsi="Times New Roman"/>
              </w:rPr>
              <w:t>*</w:t>
            </w:r>
            <w:r>
              <w:rPr>
                <w:rStyle w:val="Hyperlink"/>
                <w:rFonts w:cs="Times New Roman" w:ascii="Times New Roman" w:hAnsi="Times New Roman"/>
              </w:rPr>
              <w:fldChar w:fldCharType="end"/>
            </w:r>
          </w:p>
        </w:tc>
        <w:tc>
          <w:tcPr>
            <w:tcW w:w="1418"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414"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c>
          <w:tcPr>
            <w:tcW w:w="1560"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p>
        </w:tc>
      </w:tr>
      <w:tr>
        <w:trPr/>
        <w:tc>
          <w:tcPr>
            <w:tcW w:w="489" w:type="dxa"/>
            <w:tcBorders>
              <w:left w:val="single" w:sz="8" w:space="0" w:color="000000"/>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559" w:type="dxa"/>
            <w:tcBorders>
              <w:bottom w:val="single" w:sz="8" w:space="0" w:color="000000"/>
              <w:right w:val="single" w:sz="8" w:space="0" w:color="000000"/>
            </w:tcBorders>
          </w:tcPr>
          <w:p>
            <w:pPr>
              <w:pStyle w:val="ConsPlusNormal"/>
              <w:widowControl w:val="false"/>
              <w:jc w:val="right"/>
              <w:rPr>
                <w:rFonts w:ascii="Times New Roman" w:hAnsi="Times New Roman" w:cs="Times New Roman"/>
              </w:rPr>
            </w:pPr>
            <w:r>
              <w:rPr>
                <w:rFonts w:cs="Times New Roman" w:ascii="Times New Roman" w:hAnsi="Times New Roman"/>
              </w:rPr>
              <w:t>Итого</w:t>
            </w:r>
          </w:p>
        </w:tc>
        <w:tc>
          <w:tcPr>
            <w:tcW w:w="1559"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3816#P3816#P3816%23P3816#P3816%23P3816%23P3816%23P3816#P3816%23P3816%23P3816%23P3816%23P3816%23P3816%23P3816%23P3816#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 \l "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w:instrText>
            </w:r>
            <w:r>
              <w:rPr>
                <w:rStyle w:val="Hyperlink"/>
                <w:rFonts w:cs="Times New Roman" w:ascii="Times New Roman" w:hAnsi="Times New Roman"/>
              </w:rPr>
              <w:fldChar w:fldCharType="separate"/>
            </w:r>
            <w:r>
              <w:rPr>
                <w:rStyle w:val="Hyperlink"/>
                <w:rFonts w:cs="Times New Roman" w:ascii="Times New Roman" w:hAnsi="Times New Roman"/>
              </w:rPr>
              <w:t>*</w:t>
            </w:r>
            <w:r>
              <w:rPr>
                <w:rStyle w:val="Hyperlink"/>
                <w:rFonts w:cs="Times New Roman" w:ascii="Times New Roman" w:hAnsi="Times New Roman"/>
              </w:rPr>
              <w:fldChar w:fldCharType="end"/>
            </w:r>
          </w:p>
        </w:tc>
        <w:tc>
          <w:tcPr>
            <w:tcW w:w="1843" w:type="dxa"/>
            <w:tcBorders>
              <w:bottom w:val="single" w:sz="8" w:space="0" w:color="000000"/>
              <w:right w:val="single" w:sz="8" w:space="0" w:color="000000"/>
            </w:tcBorders>
          </w:tcPr>
          <w:p>
            <w:pPr>
              <w:pStyle w:val="ConsPlusNormal"/>
              <w:widowControl w:val="false"/>
              <w:snapToGrid w:val="false"/>
              <w:ind w:left="0" w:right="0" w:hanging="51"/>
              <w:jc w:val="center"/>
              <w:rPr>
                <w:rFonts w:ascii="Times New Roman" w:hAnsi="Times New Roman" w:cs="Times New Roman"/>
              </w:rPr>
            </w:pPr>
            <w:r>
              <w:rPr>
                <w:rFonts w:cs="Times New Roman" w:ascii="Times New Roman" w:hAnsi="Times New Roman"/>
              </w:rPr>
            </w:r>
          </w:p>
        </w:tc>
        <w:tc>
          <w:tcPr>
            <w:tcW w:w="1418"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rPr>
            </w:pPr>
            <w:r>
              <w:rPr>
                <w:rFonts w:cs="Times New Roman" w:ascii="Times New Roman" w:hAnsi="Times New Roman"/>
              </w:rPr>
            </w:r>
          </w:p>
        </w:tc>
        <w:tc>
          <w:tcPr>
            <w:tcW w:w="1414"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rPr>
            </w:pP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3816#P3816#P3816%23P3816#P3816%23P3816%23P3816%23P3816#P3816%23P3816%23P3816%23P3816%23P3816%23P3816%23P3816%23P3816#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 \l "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23P3816"</w:instrText>
            </w:r>
            <w:r>
              <w:rPr>
                <w:rStyle w:val="Hyperlink"/>
                <w:rFonts w:cs="Times New Roman" w:ascii="Times New Roman" w:hAnsi="Times New Roman"/>
              </w:rPr>
              <w:fldChar w:fldCharType="separate"/>
            </w:r>
            <w:r>
              <w:rPr>
                <w:rStyle w:val="Hyperlink"/>
                <w:rFonts w:cs="Times New Roman" w:ascii="Times New Roman" w:hAnsi="Times New Roman"/>
              </w:rPr>
              <w:t>*</w:t>
            </w:r>
            <w:r>
              <w:rPr>
                <w:rStyle w:val="Hyperlink"/>
                <w:rFonts w:cs="Times New Roman" w:ascii="Times New Roman" w:hAnsi="Times New Roman"/>
              </w:rPr>
              <w:fldChar w:fldCharType="end"/>
            </w:r>
          </w:p>
        </w:tc>
        <w:tc>
          <w:tcPr>
            <w:tcW w:w="1560" w:type="dxa"/>
            <w:tcBorders>
              <w:bottom w:val="single" w:sz="8" w:space="0" w:color="000000"/>
              <w:right w:val="single" w:sz="8" w:space="0" w:color="000000"/>
            </w:tcBorders>
          </w:tcPr>
          <w:p>
            <w:pPr>
              <w:pStyle w:val="ConsPlusNormal"/>
              <w:widowControl w:val="false"/>
              <w:snapToGrid w:val="false"/>
              <w:ind w:left="0" w:right="0" w:hanging="0"/>
              <w:jc w:val="center"/>
              <w:rPr>
                <w:rFonts w:ascii="Times New Roman" w:hAnsi="Times New Roman" w:cs="Times New Roman"/>
              </w:rPr>
            </w:pPr>
            <w:r>
              <w:rPr>
                <w:rFonts w:cs="Times New Roman" w:ascii="Times New Roman" w:hAnsi="Times New Roman"/>
              </w:rPr>
            </w:r>
            <w:bookmarkStart w:id="103" w:name="P3816"/>
            <w:bookmarkStart w:id="104" w:name="P3816"/>
            <w:bookmarkEnd w:id="104"/>
          </w:p>
        </w:tc>
      </w:tr>
    </w:tbl>
    <w:p>
      <w:pPr>
        <w:sectPr>
          <w:headerReference w:type="default" r:id="rId55"/>
          <w:headerReference w:type="first" r:id="rId56"/>
          <w:footerReference w:type="default" r:id="rId57"/>
          <w:footerReference w:type="first" r:id="rId58"/>
          <w:type w:val="nextPage"/>
          <w:pgSz w:w="11906" w:h="16838"/>
          <w:pgMar w:left="1134" w:right="851" w:gutter="0" w:header="680" w:top="1134" w:footer="0" w:bottom="992"/>
          <w:pgNumType w:fmt="decimal"/>
          <w:formProt w:val="false"/>
          <w:textDirection w:val="lrTb"/>
          <w:docGrid w:type="default" w:linePitch="360" w:charSpace="0"/>
        </w:sectPr>
        <w:pStyle w:val="Normal"/>
        <w:rPr>
          <w:rFonts w:ascii="Times New Roman" w:hAnsi="Times New Roman"/>
          <w:sz w:val="20"/>
          <w:szCs w:val="20"/>
        </w:rPr>
      </w:pPr>
      <w:r>
        <w:rPr>
          <w:sz w:val="20"/>
          <w:szCs w:val="20"/>
        </w:rPr>
        <w:t>Примечание: &lt;*&gt; Графы для расчета коэффициента в таблице не заполняются</w:t>
      </w:r>
    </w:p>
    <w:p>
      <w:pPr>
        <w:pStyle w:val="Normal"/>
        <w:jc w:val="center"/>
        <w:rPr>
          <w:rFonts w:ascii="Times New Roman" w:hAnsi="Times New Roman"/>
        </w:rPr>
      </w:pPr>
      <w:r>
        <w:rPr/>
        <w:t>Расчет стоимости работ по эксплуатации в соответствии</w:t>
      </w:r>
    </w:p>
    <w:p>
      <w:pPr>
        <w:pStyle w:val="Normal"/>
        <w:jc w:val="center"/>
        <w:rPr>
          <w:rFonts w:ascii="Times New Roman" w:hAnsi="Times New Roman"/>
        </w:rPr>
      </w:pPr>
      <w:r>
        <w:rPr/>
        <w:t>с калькуляцией затрат</w:t>
      </w:r>
    </w:p>
    <w:p>
      <w:pPr>
        <w:pStyle w:val="Normal"/>
        <w:jc w:val="center"/>
        <w:rPr>
          <w:rFonts w:ascii="Times New Roman" w:hAnsi="Times New Roman"/>
        </w:rPr>
      </w:pPr>
      <w:r>
        <w:rPr/>
      </w:r>
    </w:p>
    <w:tbl>
      <w:tblPr>
        <w:tblW w:w="15447" w:type="dxa"/>
        <w:jc w:val="left"/>
        <w:tblInd w:w="-70" w:type="dxa"/>
        <w:tblLayout w:type="fixed"/>
        <w:tblCellMar>
          <w:top w:w="102" w:type="dxa"/>
          <w:left w:w="62" w:type="dxa"/>
          <w:bottom w:w="102" w:type="dxa"/>
          <w:right w:w="62" w:type="dxa"/>
        </w:tblCellMar>
      </w:tblPr>
      <w:tblGrid>
        <w:gridCol w:w="1266"/>
        <w:gridCol w:w="1634"/>
        <w:gridCol w:w="1417"/>
        <w:gridCol w:w="1583"/>
        <w:gridCol w:w="1083"/>
        <w:gridCol w:w="1486"/>
        <w:gridCol w:w="2536"/>
        <w:gridCol w:w="1551"/>
        <w:gridCol w:w="1618"/>
        <w:gridCol w:w="1271"/>
      </w:tblGrid>
      <w:tr>
        <w:trPr/>
        <w:tc>
          <w:tcPr>
            <w:tcW w:w="1266" w:type="dxa"/>
            <w:tcBorders>
              <w:top w:val="single" w:sz="8" w:space="0" w:color="000000"/>
              <w:left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Среднемесячная зарплата исполни</w:t>
              <w:softHyphen/>
              <w:t>телей, руб.</w:t>
            </w:r>
          </w:p>
        </w:tc>
        <w:tc>
          <w:tcPr>
            <w:tcW w:w="1634"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Кол-во рабо</w:t>
              <w:softHyphen/>
              <w:t>чих дней в ме</w:t>
              <w:softHyphen/>
              <w:t>сяце, дни</w:t>
            </w:r>
          </w:p>
        </w:tc>
        <w:tc>
          <w:tcPr>
            <w:tcW w:w="1417"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Среднедневная зарплата исполни</w:t>
              <w:softHyphen/>
              <w:t>телей, руб.</w:t>
            </w:r>
          </w:p>
          <w:p>
            <w:pPr>
              <w:pStyle w:val="ConsPlusNormal"/>
              <w:widowControl w:val="false"/>
              <w:ind w:left="0" w:right="0" w:firstLine="60"/>
              <w:jc w:val="center"/>
              <w:rPr/>
            </w:pPr>
            <w:r>
              <w:rPr>
                <w:rFonts w:cs="Times New Roman" w:ascii="Times New Roman" w:hAnsi="Times New Roman"/>
                <w:sz w:val="24"/>
                <w:szCs w:val="24"/>
              </w:rPr>
              <w:t>(</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3831#P3831#P3831%23P3831#P3831%23P3831%23P3831%23P3831#P3831%23P3831%23P3831%23P3831%23P3831%23P3831%23P3831%23P3831#P3831%23P3831%23P3831%23P3831%23P3831%23P3831%23P3831%23P3831%23P3831%23P3831%23P3831%23P3831%23P3831%23P3831%23P3831%23P3831#P3831%23P3831%23P3831%23P3831%23P3831%23P3831%23P3831%23P3831%23P3831%23P3831%23P3831%23P3831%23P3831%23P3831%23P3831%23P3831%23P3831%23P3831%23P3831%23P3831%23P3831%23P3831%23P3831%23P3831%23P3831%23P3831%23P3831%23P3831%23P3831%23P3831%23P3831%23P3831#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 \l "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23P3831"</w:instrText>
            </w:r>
            <w:r>
              <w:rPr>
                <w:rStyle w:val="Hyperlink"/>
                <w:rFonts w:cs="Times New Roman" w:ascii="Times New Roman" w:hAnsi="Times New Roman"/>
              </w:rPr>
              <w:fldChar w:fldCharType="separate"/>
            </w:r>
            <w:r>
              <w:rPr>
                <w:rStyle w:val="Hyperlink"/>
                <w:rFonts w:cs="Times New Roman" w:ascii="Times New Roman" w:hAnsi="Times New Roman"/>
              </w:rPr>
              <w:t>гр 1</w:t>
            </w:r>
            <w:r>
              <w:rPr>
                <w:rStyle w:val="Hyperlink"/>
                <w:rFonts w:cs="Times New Roman" w:ascii="Times New Roman" w:hAnsi="Times New Roman"/>
              </w:rPr>
              <w:fldChar w:fldCharType="end"/>
            </w:r>
            <w:r>
              <w:rPr>
                <w:rFonts w:cs="Times New Roman" w:ascii="Times New Roman" w:hAnsi="Times New Roman"/>
                <w:sz w:val="24"/>
                <w:szCs w:val="24"/>
              </w:rPr>
              <w:t xml:space="preserve"> /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3832#P3832#P3832%23P3832#P3832%23P3832%23P3832%23P3832#P3832%23P3832%23P3832%23P3832%23P3832%23P3832%23P3832%23P3832#P3832%23P3832%23P3832%23P3832%23P3832%23P3832%23P3832%23P3832%23P3832%23P3832%23P3832%23P3832%23P3832%23P3832%23P3832%23P3832#P3832%23P3832%23P3832%23P3832%23P3832%23P3832%23P3832%23P3832%23P3832%23P3832%23P3832%23P3832%23P3832%23P3832%23P3832%23P3832%23P3832%23P3832%23P3832%23P3832%23P3832%23P3832%23P3832%23P3832%23P3832%23P3832%23P3832%23P3832%23P3832%23P3832%23P3832%23P3832#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 \l "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23P3832"</w:instrText>
            </w:r>
            <w:r>
              <w:rPr>
                <w:rStyle w:val="Hyperlink"/>
                <w:rFonts w:cs="Times New Roman" w:ascii="Times New Roman" w:hAnsi="Times New Roman"/>
              </w:rPr>
              <w:fldChar w:fldCharType="separate"/>
            </w:r>
            <w:r>
              <w:rPr>
                <w:rStyle w:val="Hyperlink"/>
                <w:rFonts w:cs="Times New Roman" w:ascii="Times New Roman" w:hAnsi="Times New Roman"/>
              </w:rPr>
              <w:t>гр 2</w:t>
            </w:r>
            <w:r>
              <w:rPr>
                <w:rStyle w:val="Hyperlink"/>
                <w:rFonts w:cs="Times New Roman" w:ascii="Times New Roman" w:hAnsi="Times New Roman"/>
              </w:rPr>
              <w:fldChar w:fldCharType="end"/>
            </w:r>
            <w:r>
              <w:rPr>
                <w:rFonts w:cs="Times New Roman" w:ascii="Times New Roman" w:hAnsi="Times New Roman"/>
                <w:sz w:val="24"/>
                <w:szCs w:val="24"/>
              </w:rPr>
              <w:t>)</w:t>
            </w:r>
          </w:p>
        </w:tc>
        <w:tc>
          <w:tcPr>
            <w:tcW w:w="1583"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Удельный вес зарплаты в себестоимо</w:t>
              <w:softHyphen/>
              <w:t>сти работ - Кз, %</w:t>
            </w:r>
          </w:p>
        </w:tc>
        <w:tc>
          <w:tcPr>
            <w:tcW w:w="1083"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Рентабель-ность, %</w:t>
            </w:r>
          </w:p>
        </w:tc>
        <w:tc>
          <w:tcPr>
            <w:tcW w:w="1486"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Среднедневная единич</w:t>
              <w:softHyphen/>
              <w:t>ная выра</w:t>
              <w:softHyphen/>
              <w:t>ботка, руб.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3833#P3833#P3833%23P3833#P3833%23P3833%23P3833%23P3833#P3833%23P3833%23P3833%23P3833%23P3833%23P3833%23P3833%23P3833#P3833%23P3833%23P3833%23P3833%23P3833%23P3833%23P3833%23P3833%23P3833%23P3833%23P3833%23P3833%23P3833%23P3833%23P3833%23P3833#P3833%23P3833%23P3833%23P3833%23P3833%23P3833%23P3833%23P3833%23P3833%23P3833%23P3833%23P3833%23P3833%23P3833%23P3833%23P3833%23P3833%23P3833%23P3833%23P3833%23P3833%23P3833%23P3833%23P3833%23P3833%23P3833%23P3833%23P3833%23P3833%23P3833%23P3833%23P3833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 \l "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23P3833"</w:instrText>
            </w:r>
            <w:r>
              <w:rPr>
                <w:rStyle w:val="Hyperlink"/>
                <w:rFonts w:cs="Times New Roman" w:ascii="Times New Roman" w:hAnsi="Times New Roman"/>
              </w:rPr>
              <w:fldChar w:fldCharType="separate"/>
            </w:r>
            <w:r>
              <w:rPr>
                <w:rStyle w:val="Hyperlink"/>
                <w:rFonts w:cs="Times New Roman" w:ascii="Times New Roman" w:hAnsi="Times New Roman"/>
              </w:rPr>
              <w:t>гр. 3</w:t>
            </w:r>
            <w:r>
              <w:rPr>
                <w:rStyle w:val="Hyperlink"/>
                <w:rFonts w:cs="Times New Roman" w:ascii="Times New Roman" w:hAnsi="Times New Roman"/>
              </w:rPr>
              <w:fldChar w:fldCharType="end"/>
            </w:r>
            <w:r>
              <w:rPr>
                <w:rFonts w:cs="Times New Roman" w:ascii="Times New Roman" w:hAnsi="Times New Roman"/>
                <w:sz w:val="24"/>
                <w:szCs w:val="24"/>
              </w:rPr>
              <w:t xml:space="preserve"> x (1 +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3835#P3835#P3835%23P3835#P3835%23P3835%23P3835%23P3835#P3835%23P3835%23P3835%23P3835%23P3835%23P3835%23P3835%23P3835#P3835%23P3835%23P3835%23P3835%23P3835%23P3835%23P3835%23P3835%23P3835%23P3835%23P3835%23P3835%23P3835%23P3835%23P3835%23P3835#P3835%23P3835%23P3835%23P3835%23P3835%23P3835%23P3835%23P3835%23P3835%23P3835%23P3835%23P3835%23P3835%23P3835%23P3835%23P3835%23P3835%23P3835%23P3835%23P3835%23P3835%23P3835%23P3835%23P3835%23P3835%23P3835%23P3835%23P3835%23P3835%23P3835%23P3835%23P3835#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 \l "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23P3835"</w:instrText>
            </w:r>
            <w:r>
              <w:rPr>
                <w:rStyle w:val="Hyperlink"/>
                <w:rFonts w:cs="Times New Roman" w:ascii="Times New Roman" w:hAnsi="Times New Roman"/>
              </w:rPr>
              <w:fldChar w:fldCharType="separate"/>
            </w:r>
            <w:r>
              <w:rPr>
                <w:rStyle w:val="Hyperlink"/>
                <w:rFonts w:cs="Times New Roman" w:ascii="Times New Roman" w:hAnsi="Times New Roman"/>
              </w:rPr>
              <w:t>гр. 5</w:t>
            </w:r>
            <w:r>
              <w:rPr>
                <w:rStyle w:val="Hyperlink"/>
                <w:rFonts w:cs="Times New Roman" w:ascii="Times New Roman" w:hAnsi="Times New Roman"/>
              </w:rPr>
              <w:fldChar w:fldCharType="end"/>
            </w:r>
            <w:r>
              <w:rPr>
                <w:rFonts w:cs="Times New Roman" w:ascii="Times New Roman" w:hAnsi="Times New Roman"/>
                <w:sz w:val="24"/>
                <w:szCs w:val="24"/>
              </w:rPr>
              <w:t xml:space="preserve">)) /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3834#P3834#P3834%23P3834#P3834%23P3834%23P3834%23P3834#P3834%23P3834%23P3834%23P3834%23P3834%23P3834%23P3834%23P3834#P3834%23P3834%23P3834%23P3834%23P3834%23P3834%23P3834%23P3834%23P3834%23P3834%23P3834%23P3834%23P3834%23P3834%23P3834%23P3834#P3834%23P3834%23P3834%23P3834%23P3834%23P3834%23P3834%23P3834%23P3834%23P3834%23P3834%23P3834%23P3834%23P3834%23P3834%23P3834%23P3834%23P3834%23P3834%23P3834%23P3834%23P3834%23P3834%23P3834%23P3834%23P3834%23P3834%23P3834%23P3834%23P3834%23P3834%23P3834#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 \l "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23P3834"</w:instrText>
            </w:r>
            <w:r>
              <w:rPr>
                <w:rStyle w:val="Hyperlink"/>
                <w:rFonts w:cs="Times New Roman" w:ascii="Times New Roman" w:hAnsi="Times New Roman"/>
              </w:rPr>
              <w:fldChar w:fldCharType="separate"/>
            </w:r>
            <w:r>
              <w:rPr>
                <w:rStyle w:val="Hyperlink"/>
                <w:rFonts w:cs="Times New Roman" w:ascii="Times New Roman" w:hAnsi="Times New Roman"/>
              </w:rPr>
              <w:t>гр. 4</w:t>
            </w:r>
            <w:r>
              <w:rPr>
                <w:rStyle w:val="Hyperlink"/>
                <w:rFonts w:cs="Times New Roman" w:ascii="Times New Roman" w:hAnsi="Times New Roman"/>
              </w:rPr>
              <w:fldChar w:fldCharType="end"/>
            </w:r>
          </w:p>
        </w:tc>
        <w:tc>
          <w:tcPr>
            <w:tcW w:w="2536"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Продолжительность разработки (дни)</w:t>
            </w:r>
          </w:p>
        </w:tc>
        <w:tc>
          <w:tcPr>
            <w:tcW w:w="1551"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Численность исполнителей (чел.)</w:t>
            </w:r>
          </w:p>
        </w:tc>
        <w:tc>
          <w:tcPr>
            <w:tcW w:w="1618"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 xml:space="preserve">Коэффициент квалификации (участия) </w:t>
            </w:r>
          </w:p>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Ккв-уч</w:t>
            </w:r>
          </w:p>
        </w:tc>
        <w:tc>
          <w:tcPr>
            <w:tcW w:w="1271"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z w:val="24"/>
                <w:szCs w:val="24"/>
              </w:rPr>
            </w:pPr>
            <w:r>
              <w:rPr>
                <w:rFonts w:cs="Times New Roman" w:ascii="Times New Roman" w:hAnsi="Times New Roman"/>
                <w:sz w:val="24"/>
                <w:szCs w:val="24"/>
              </w:rPr>
              <w:t xml:space="preserve">Стоимость работ, руб. </w:t>
            </w:r>
          </w:p>
          <w:p>
            <w:pPr>
              <w:pStyle w:val="ConsPlusNormal"/>
              <w:widowControl w:val="false"/>
              <w:ind w:left="0" w:right="0" w:firstLine="60"/>
              <w:jc w:val="center"/>
              <w:rPr/>
            </w:pPr>
            <w:r>
              <w:rPr>
                <w:rFonts w:cs="Times New Roman" w:ascii="Times New Roman" w:hAnsi="Times New Roman"/>
                <w:sz w:val="24"/>
                <w:szCs w:val="24"/>
              </w:rPr>
              <w:t>С =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3836#P3836#P3836%23P3836#P3836%23P3836%23P3836%23P3836#P3836%23P3836%23P3836%23P3836%23P3836%23P3836%23P3836%23P3836#P3836%23P3836%23P3836%23P3836%23P3836%23P3836%23P3836%23P3836%23P3836%23P3836%23P3836%23P3836%23P3836%23P3836%23P3836%23P3836#P3836%23P3836%23P3836%23P3836%23P3836%23P3836%23P3836%23P3836%23P3836%23P3836%23P3836%23P3836%23P3836%23P3836%23P3836%23P3836%23P3836%23P3836%23P3836%23P3836%23P3836%23P3836%23P3836%23P3836%23P3836%23P3836%23P3836%23P3836%23P3836%23P3836%23P3836%23P3836#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 \l "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23P3836"</w:instrText>
            </w:r>
            <w:r>
              <w:rPr>
                <w:rStyle w:val="Hyperlink"/>
                <w:rFonts w:cs="Times New Roman" w:ascii="Times New Roman" w:hAnsi="Times New Roman"/>
              </w:rPr>
              <w:fldChar w:fldCharType="separate"/>
            </w:r>
            <w:r>
              <w:rPr>
                <w:rStyle w:val="Hyperlink"/>
                <w:rFonts w:cs="Times New Roman" w:ascii="Times New Roman" w:hAnsi="Times New Roman"/>
              </w:rPr>
              <w:t>гр. 6</w:t>
            </w:r>
            <w:r>
              <w:rPr>
                <w:rStyle w:val="Hyperlink"/>
                <w:rFonts w:cs="Times New Roman" w:ascii="Times New Roman" w:hAnsi="Times New Roman"/>
              </w:rPr>
              <w:fldChar w:fldCharType="end"/>
            </w:r>
            <w:r>
              <w:rPr>
                <w:rFonts w:cs="Times New Roman" w:ascii="Times New Roman" w:hAnsi="Times New Roman"/>
                <w:sz w:val="24"/>
                <w:szCs w:val="24"/>
              </w:rPr>
              <w:t xml:space="preserve"> x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3837#P3837#P3837%23P3837#P3837%23P3837%23P3837%23P3837#P3837%23P3837%23P3837%23P3837%23P3837%23P3837%23P3837%23P3837#P3837%23P3837%23P3837%23P3837%23P3837%23P3837%23P3837%23P3837%23P3837%23P3837%23P3837%23P3837%23P3837%23P3837%23P3837%23P3837#P3837%23P3837%23P3837%23P3837%23P3837%23P3837%23P3837%23P3837%23P3837%23P3837%23P3837%23P3837%23P3837%23P3837%23P3837%23P3837%23P3837%23P3837%23P3837%23P3837%23P3837%23P3837%23P3837%23P3837%23P3837%23P3837%23P3837%23P3837%23P3837%23P3837%23P3837%23P3837#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 \l "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23P3837"</w:instrText>
            </w:r>
            <w:r>
              <w:rPr>
                <w:rStyle w:val="Hyperlink"/>
                <w:rFonts w:cs="Times New Roman" w:ascii="Times New Roman" w:hAnsi="Times New Roman"/>
              </w:rPr>
              <w:fldChar w:fldCharType="separate"/>
            </w:r>
            <w:r>
              <w:rPr>
                <w:rStyle w:val="Hyperlink"/>
                <w:rFonts w:cs="Times New Roman" w:ascii="Times New Roman" w:hAnsi="Times New Roman"/>
              </w:rPr>
              <w:t>гр. 7</w:t>
            </w:r>
            <w:r>
              <w:rPr>
                <w:rStyle w:val="Hyperlink"/>
                <w:rFonts w:cs="Times New Roman" w:ascii="Times New Roman" w:hAnsi="Times New Roman"/>
              </w:rPr>
              <w:fldChar w:fldCharType="end"/>
            </w:r>
            <w:r>
              <w:rPr>
                <w:rFonts w:cs="Times New Roman" w:ascii="Times New Roman" w:hAnsi="Times New Roman"/>
                <w:sz w:val="24"/>
                <w:szCs w:val="24"/>
              </w:rPr>
              <w:t xml:space="preserve"> x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3838#P3838#P3838%23P3838#P3838%23P3838%23P3838%23P3838#P3838%23P3838%23P3838%23P3838%23P3838%23P3838%23P3838%23P3838#P3838%23P3838%23P3838%23P3838%23P3838%23P3838%23P3838%23P3838%23P3838%23P3838%23P3838%23P3838%23P3838%23P3838%23P3838%23P3838#P3838%23P3838%23P3838%23P3838%23P3838%23P3838%23P3838%23P3838%23P3838%23P3838%23P3838%23P3838%23P3838%23P3838%23P3838%23P3838%23P3838%23P3838%23P3838%23P3838%23P3838%23P3838%23P3838%23P3838%23P3838%23P3838%23P3838%23P3838%23P3838%23P3838%23P3838%23P3838#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 \l "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23P3838"</w:instrText>
            </w:r>
            <w:r>
              <w:rPr>
                <w:rStyle w:val="Hyperlink"/>
                <w:rFonts w:cs="Times New Roman" w:ascii="Times New Roman" w:hAnsi="Times New Roman"/>
              </w:rPr>
              <w:fldChar w:fldCharType="separate"/>
            </w:r>
            <w:r>
              <w:rPr>
                <w:rStyle w:val="Hyperlink"/>
                <w:rFonts w:cs="Times New Roman" w:ascii="Times New Roman" w:hAnsi="Times New Roman"/>
              </w:rPr>
              <w:t>гр. 8</w:t>
            </w:r>
            <w:r>
              <w:rPr>
                <w:rStyle w:val="Hyperlink"/>
                <w:rFonts w:cs="Times New Roman" w:ascii="Times New Roman" w:hAnsi="Times New Roman"/>
              </w:rPr>
              <w:fldChar w:fldCharType="end"/>
            </w:r>
            <w:r>
              <w:rPr>
                <w:rFonts w:cs="Times New Roman" w:ascii="Times New Roman" w:hAnsi="Times New Roman"/>
                <w:sz w:val="24"/>
                <w:szCs w:val="24"/>
              </w:rPr>
              <w:t xml:space="preserve"> x </w:t>
            </w:r>
            <w:r>
              <w:fldChar w:fldCharType="begin"/>
            </w:r>
            <w:r>
              <w:rPr>
                <w:rStyle w:val="Hyperlink"/>
                <w:rFonts w:cs="Times New Roman" w:ascii="Times New Roman" w:hAnsi="Times New Roman"/>
              </w:rPr>
              <w:instrText xml:space="preserve"> HYPERLINK "file://C:\F:\Сметная%20группа\Согласование%20ТТ\Актуальные%20требования%20ЦО\ТТ%20НИР%20без%20СМР.doc#P3839#P3839#P3839%23P3839#P3839%23P3839%23P3839%23P3839#P3839%23P3839%23P3839%23P3839%23P3839%23P3839%23P3839%23P3839#P3839%23P3839%23P3839%23P3839%23P3839%23P3839%23P3839%23P3839%23P3839%23P3839%23P3839%23P3839%23P3839%23P3839%23P3839%23P3839#P3839%23P3839%23P3839%23P3839%23P3839%23P3839%23P3839%23P3839%23P3839%23P3839%23P3839%23P3839%23P3839%23P3839%23P3839%23P3839%23P3839%23P3839%23P3839%23P3839%23P3839%23P3839%23P3839%23P3839%23P3839%23P3839%23P3839%23P3839%23P3839%23P3839%23P3839%23P3839#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 \l "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23P3839"</w:instrText>
            </w:r>
            <w:r>
              <w:rPr>
                <w:rStyle w:val="Hyperlink"/>
                <w:rFonts w:cs="Times New Roman" w:ascii="Times New Roman" w:hAnsi="Times New Roman"/>
              </w:rPr>
              <w:fldChar w:fldCharType="separate"/>
            </w:r>
            <w:r>
              <w:rPr>
                <w:rStyle w:val="Hyperlink"/>
                <w:rFonts w:cs="Times New Roman" w:ascii="Times New Roman" w:hAnsi="Times New Roman"/>
              </w:rPr>
              <w:t>гр. 9</w:t>
            </w:r>
            <w:r>
              <w:rPr>
                <w:rStyle w:val="Hyperlink"/>
                <w:rFonts w:cs="Times New Roman" w:ascii="Times New Roman" w:hAnsi="Times New Roman"/>
              </w:rPr>
              <w:fldChar w:fldCharType="end"/>
            </w:r>
            <w:r>
              <w:rPr>
                <w:rFonts w:cs="Times New Roman" w:ascii="Times New Roman" w:hAnsi="Times New Roman"/>
                <w:sz w:val="24"/>
                <w:szCs w:val="24"/>
              </w:rPr>
              <w:t>)</w:t>
            </w:r>
          </w:p>
        </w:tc>
      </w:tr>
      <w:tr>
        <w:trPr/>
        <w:tc>
          <w:tcPr>
            <w:tcW w:w="1266" w:type="dxa"/>
            <w:tcBorders>
              <w:left w:val="single" w:sz="8" w:space="0" w:color="000000"/>
              <w:bottom w:val="single" w:sz="8" w:space="0" w:color="000000"/>
              <w:right w:val="single" w:sz="8" w:space="0" w:color="000000"/>
            </w:tcBorders>
          </w:tcPr>
          <w:p>
            <w:pPr>
              <w:pStyle w:val="ConsPlusNormal"/>
              <w:widowControl w:val="false"/>
              <w:ind w:left="0" w:right="0" w:hanging="60"/>
              <w:jc w:val="center"/>
              <w:rPr>
                <w:rFonts w:ascii="Times New Roman" w:hAnsi="Times New Roman" w:cs="Times New Roman"/>
                <w:sz w:val="24"/>
                <w:szCs w:val="24"/>
              </w:rPr>
            </w:pPr>
            <w:bookmarkStart w:id="105" w:name="P3831"/>
            <w:bookmarkEnd w:id="105"/>
            <w:r>
              <w:rPr>
                <w:rFonts w:cs="Times New Roman" w:ascii="Times New Roman" w:hAnsi="Times New Roman"/>
                <w:sz w:val="24"/>
                <w:szCs w:val="24"/>
              </w:rPr>
              <w:t>1</w:t>
            </w:r>
          </w:p>
        </w:tc>
        <w:tc>
          <w:tcPr>
            <w:tcW w:w="1634"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bookmarkStart w:id="106" w:name="P3832"/>
            <w:bookmarkEnd w:id="106"/>
            <w:r>
              <w:rPr>
                <w:rFonts w:cs="Times New Roman" w:ascii="Times New Roman" w:hAnsi="Times New Roman"/>
                <w:sz w:val="24"/>
                <w:szCs w:val="24"/>
              </w:rPr>
              <w:t>2</w:t>
            </w:r>
          </w:p>
        </w:tc>
        <w:tc>
          <w:tcPr>
            <w:tcW w:w="1417" w:type="dxa"/>
            <w:tcBorders>
              <w:bottom w:val="single" w:sz="8" w:space="0" w:color="000000"/>
              <w:right w:val="single" w:sz="8" w:space="0" w:color="000000"/>
            </w:tcBorders>
          </w:tcPr>
          <w:p>
            <w:pPr>
              <w:pStyle w:val="ConsPlusNormal"/>
              <w:widowControl w:val="false"/>
              <w:ind w:left="0" w:right="0" w:hanging="57"/>
              <w:jc w:val="center"/>
              <w:rPr>
                <w:rFonts w:ascii="Times New Roman" w:hAnsi="Times New Roman" w:cs="Times New Roman"/>
                <w:sz w:val="24"/>
                <w:szCs w:val="24"/>
              </w:rPr>
            </w:pPr>
            <w:bookmarkStart w:id="107" w:name="P3833"/>
            <w:bookmarkEnd w:id="107"/>
            <w:r>
              <w:rPr>
                <w:rFonts w:cs="Times New Roman" w:ascii="Times New Roman" w:hAnsi="Times New Roman"/>
                <w:sz w:val="24"/>
                <w:szCs w:val="24"/>
              </w:rPr>
              <w:t>3</w:t>
            </w:r>
          </w:p>
        </w:tc>
        <w:tc>
          <w:tcPr>
            <w:tcW w:w="1583"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bookmarkStart w:id="108" w:name="P3834"/>
            <w:bookmarkEnd w:id="108"/>
            <w:r>
              <w:rPr>
                <w:rFonts w:cs="Times New Roman" w:ascii="Times New Roman" w:hAnsi="Times New Roman"/>
                <w:sz w:val="24"/>
                <w:szCs w:val="24"/>
              </w:rPr>
              <w:t>4</w:t>
            </w:r>
          </w:p>
        </w:tc>
        <w:tc>
          <w:tcPr>
            <w:tcW w:w="1083"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bookmarkStart w:id="109" w:name="P3835"/>
            <w:bookmarkEnd w:id="109"/>
            <w:r>
              <w:rPr>
                <w:rFonts w:cs="Times New Roman" w:ascii="Times New Roman" w:hAnsi="Times New Roman"/>
                <w:sz w:val="24"/>
                <w:szCs w:val="24"/>
              </w:rPr>
              <w:t>5</w:t>
            </w:r>
          </w:p>
        </w:tc>
        <w:tc>
          <w:tcPr>
            <w:tcW w:w="1486"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bookmarkStart w:id="110" w:name="P3836"/>
            <w:bookmarkEnd w:id="110"/>
            <w:r>
              <w:rPr>
                <w:rFonts w:cs="Times New Roman" w:ascii="Times New Roman" w:hAnsi="Times New Roman"/>
                <w:sz w:val="24"/>
                <w:szCs w:val="24"/>
              </w:rPr>
              <w:t>6</w:t>
            </w:r>
          </w:p>
        </w:tc>
        <w:tc>
          <w:tcPr>
            <w:tcW w:w="2536"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bookmarkStart w:id="111" w:name="P3837"/>
            <w:bookmarkEnd w:id="111"/>
            <w:r>
              <w:rPr>
                <w:rFonts w:cs="Times New Roman" w:ascii="Times New Roman" w:hAnsi="Times New Roman"/>
                <w:sz w:val="24"/>
                <w:szCs w:val="24"/>
              </w:rPr>
              <w:t>7</w:t>
            </w:r>
          </w:p>
        </w:tc>
        <w:tc>
          <w:tcPr>
            <w:tcW w:w="1551"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bookmarkStart w:id="112" w:name="P3838"/>
            <w:bookmarkEnd w:id="112"/>
            <w:r>
              <w:rPr>
                <w:rFonts w:cs="Times New Roman" w:ascii="Times New Roman" w:hAnsi="Times New Roman"/>
                <w:sz w:val="24"/>
                <w:szCs w:val="24"/>
              </w:rPr>
              <w:t>8</w:t>
            </w:r>
          </w:p>
        </w:tc>
        <w:tc>
          <w:tcPr>
            <w:tcW w:w="1618"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bookmarkStart w:id="113" w:name="P3839"/>
            <w:bookmarkEnd w:id="113"/>
            <w:r>
              <w:rPr>
                <w:rFonts w:cs="Times New Roman" w:ascii="Times New Roman" w:hAnsi="Times New Roman"/>
                <w:sz w:val="24"/>
                <w:szCs w:val="24"/>
              </w:rPr>
              <w:t>9</w:t>
            </w:r>
          </w:p>
        </w:tc>
        <w:tc>
          <w:tcPr>
            <w:tcW w:w="1271" w:type="dxa"/>
            <w:tcBorders>
              <w:bottom w:val="single" w:sz="8" w:space="0" w:color="000000"/>
              <w:right w:val="single" w:sz="8" w:space="0" w:color="000000"/>
            </w:tcBorders>
          </w:tcPr>
          <w:p>
            <w:pPr>
              <w:pStyle w:val="ConsPlusNormal"/>
              <w:widowControl w:val="false"/>
              <w:ind w:left="0" w:right="0" w:hanging="3"/>
              <w:jc w:val="center"/>
              <w:rPr>
                <w:rFonts w:ascii="Times New Roman" w:hAnsi="Times New Roman" w:cs="Times New Roman"/>
                <w:sz w:val="24"/>
                <w:szCs w:val="24"/>
              </w:rPr>
            </w:pPr>
            <w:r>
              <w:rPr>
                <w:rFonts w:cs="Times New Roman" w:ascii="Times New Roman" w:hAnsi="Times New Roman"/>
                <w:sz w:val="24"/>
                <w:szCs w:val="24"/>
              </w:rPr>
              <w:t>10</w:t>
            </w:r>
          </w:p>
        </w:tc>
      </w:tr>
      <w:tr>
        <w:trPr/>
        <w:tc>
          <w:tcPr>
            <w:tcW w:w="1266" w:type="dxa"/>
            <w:tcBorders>
              <w:left w:val="single" w:sz="8" w:space="0" w:color="000000"/>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c>
          <w:tcPr>
            <w:tcW w:w="1634"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c>
          <w:tcPr>
            <w:tcW w:w="1417"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c>
          <w:tcPr>
            <w:tcW w:w="1583"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r>
              <w:rPr>
                <w:rFonts w:cs="Times New Roman" w:ascii="Times New Roman" w:hAnsi="Times New Roman"/>
                <w:sz w:val="24"/>
                <w:szCs w:val="24"/>
              </w:rPr>
              <w:t>40,00</w:t>
            </w:r>
          </w:p>
        </w:tc>
        <w:tc>
          <w:tcPr>
            <w:tcW w:w="1083" w:type="dxa"/>
            <w:tcBorders>
              <w:bottom w:val="single" w:sz="8" w:space="0" w:color="000000"/>
              <w:right w:val="single" w:sz="8" w:space="0" w:color="000000"/>
            </w:tcBorders>
          </w:tcPr>
          <w:p>
            <w:pPr>
              <w:pStyle w:val="ConsPlusNormal"/>
              <w:widowControl w:val="false"/>
              <w:ind w:left="0" w:right="0" w:hanging="0"/>
              <w:jc w:val="center"/>
              <w:rPr>
                <w:rFonts w:ascii="Times New Roman" w:hAnsi="Times New Roman" w:cs="Times New Roman"/>
                <w:sz w:val="24"/>
                <w:szCs w:val="24"/>
              </w:rPr>
            </w:pPr>
            <w:r>
              <w:rPr>
                <w:rFonts w:cs="Times New Roman" w:ascii="Times New Roman" w:hAnsi="Times New Roman"/>
                <w:sz w:val="24"/>
                <w:szCs w:val="24"/>
              </w:rPr>
              <w:t>10</w:t>
            </w:r>
          </w:p>
        </w:tc>
        <w:tc>
          <w:tcPr>
            <w:tcW w:w="1486"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c>
          <w:tcPr>
            <w:tcW w:w="2536"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c>
          <w:tcPr>
            <w:tcW w:w="1551"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c>
          <w:tcPr>
            <w:tcW w:w="1618"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c>
          <w:tcPr>
            <w:tcW w:w="1271" w:type="dxa"/>
            <w:tcBorders>
              <w:bottom w:val="single" w:sz="8" w:space="0" w:color="000000"/>
              <w:right w:val="single" w:sz="8" w:space="0" w:color="000000"/>
            </w:tcBorders>
          </w:tcPr>
          <w:p>
            <w:pPr>
              <w:pStyle w:val="ConsPlusNormal"/>
              <w:widowControl w:val="false"/>
              <w:snapToGrid w:val="false"/>
              <w:rPr>
                <w:rFonts w:ascii="Times New Roman" w:hAnsi="Times New Roman" w:cs="Times New Roman"/>
                <w:sz w:val="24"/>
                <w:szCs w:val="24"/>
              </w:rPr>
            </w:pPr>
            <w:r>
              <w:rPr>
                <w:rFonts w:cs="Times New Roman" w:ascii="Times New Roman" w:hAnsi="Times New Roman"/>
                <w:sz w:val="24"/>
                <w:szCs w:val="24"/>
              </w:rPr>
            </w:r>
          </w:p>
        </w:tc>
      </w:tr>
    </w:tbl>
    <w:p>
      <w:pPr>
        <w:pStyle w:val="ConsPlusNormal"/>
        <w:jc w:val="both"/>
        <w:rPr>
          <w:rFonts w:ascii="Times New Roman" w:hAnsi="Times New Roman" w:eastAsia="Calibri" w:cs="Times New Roman"/>
          <w:sz w:val="24"/>
          <w:szCs w:val="24"/>
          <w:lang w:eastAsia="zh-CN"/>
        </w:rPr>
      </w:pPr>
      <w:r>
        <w:rPr>
          <w:rFonts w:eastAsia="Calibri" w:cs="Times New Roman" w:ascii="Times New Roman" w:hAnsi="Times New Roman"/>
          <w:sz w:val="24"/>
          <w:szCs w:val="24"/>
          <w:lang w:eastAsia="zh-CN"/>
        </w:rPr>
      </w:r>
    </w:p>
    <w:p>
      <w:pPr>
        <w:pStyle w:val="Normal"/>
        <w:ind w:left="0" w:right="2947" w:hanging="0"/>
        <w:jc w:val="both"/>
        <w:rPr>
          <w:rFonts w:ascii="Times New Roman" w:hAnsi="Times New Roman" w:eastAsia="Calibri"/>
          <w:i/>
          <w:i/>
          <w:iCs/>
          <w:sz w:val="24"/>
          <w:szCs w:val="24"/>
        </w:rPr>
      </w:pPr>
      <w:r>
        <w:rPr>
          <w:rFonts w:eastAsia="Calibri"/>
          <w:i/>
          <w:iCs/>
          <w:sz w:val="24"/>
          <w:szCs w:val="24"/>
        </w:rPr>
      </w:r>
    </w:p>
    <w:p>
      <w:pPr>
        <w:pStyle w:val="Normal"/>
        <w:ind w:left="0" w:right="2947" w:hanging="0"/>
        <w:jc w:val="both"/>
        <w:rPr>
          <w:rFonts w:ascii="Times New Roman" w:hAnsi="Times New Roman"/>
        </w:rPr>
      </w:pPr>
      <w:r>
        <w:rPr/>
        <w:t>Начальник ____________________ отдела ___________________________________________</w:t>
      </w:r>
    </w:p>
    <w:p>
      <w:pPr>
        <w:pStyle w:val="Normal"/>
        <w:ind w:left="0" w:right="2947" w:hanging="0"/>
        <w:jc w:val="both"/>
        <w:rPr>
          <w:i/>
          <w:i/>
          <w:iCs/>
        </w:rPr>
      </w:pPr>
      <w:r>
        <w:rPr/>
        <w:t xml:space="preserve">                             </w:t>
      </w:r>
      <w:r>
        <w:rPr>
          <w:i/>
          <w:iCs/>
        </w:rPr>
        <w:t>(наименование)                        [подпись (инициалы, фамилия)]</w:t>
      </w:r>
    </w:p>
    <w:p>
      <w:pPr>
        <w:pStyle w:val="Normal"/>
        <w:ind w:left="0" w:right="2947" w:hanging="0"/>
        <w:jc w:val="both"/>
        <w:rPr>
          <w:rFonts w:ascii="Times New Roman" w:hAnsi="Times New Roman"/>
          <w:i/>
          <w:i/>
          <w:iCs/>
        </w:rPr>
      </w:pPr>
      <w:r>
        <w:rPr>
          <w:i/>
          <w:iCs/>
        </w:rPr>
      </w:r>
    </w:p>
    <w:p>
      <w:pPr>
        <w:pStyle w:val="Normal"/>
        <w:ind w:left="0" w:right="2947" w:hanging="0"/>
        <w:jc w:val="both"/>
        <w:rPr>
          <w:rFonts w:ascii="Times New Roman" w:hAnsi="Times New Roman"/>
          <w:i/>
          <w:i/>
          <w:iCs/>
        </w:rPr>
      </w:pPr>
      <w:r>
        <w:rPr>
          <w:i/>
          <w:iCs/>
        </w:rPr>
      </w:r>
    </w:p>
    <w:p>
      <w:pPr>
        <w:pStyle w:val="Normal"/>
        <w:ind w:left="0" w:right="2947" w:hanging="0"/>
        <w:jc w:val="both"/>
        <w:rPr>
          <w:i/>
          <w:i/>
          <w:iCs/>
        </w:rPr>
      </w:pPr>
      <w:r>
        <w:rPr/>
        <w:t>Заказчик _________________________________________________________</w:t>
      </w:r>
    </w:p>
    <w:p>
      <w:pPr>
        <w:pStyle w:val="Normal"/>
        <w:ind w:left="0" w:right="0" w:hanging="0"/>
        <w:rPr>
          <w:rFonts w:ascii="Times New Roman" w:hAnsi="Times New Roman" w:eastAsia="Calibri"/>
          <w:i/>
          <w:i/>
          <w:iCs/>
          <w:lang w:eastAsia="en-US"/>
        </w:rPr>
      </w:pPr>
      <w:r>
        <w:rPr>
          <w:rFonts w:eastAsia="Calibri"/>
          <w:i/>
          <w:iCs/>
          <w:lang w:eastAsia="en-US"/>
        </w:rPr>
        <w:tab/>
        <w:tab/>
        <w:tab/>
        <w:t>[должность, подпись (инициалы, фамилия)]</w:t>
      </w:r>
    </w:p>
    <w:p>
      <w:pPr>
        <w:pStyle w:val="Normal"/>
        <w:tabs>
          <w:tab w:val="clear" w:pos="708"/>
          <w:tab w:val="left" w:pos="900" w:leader="none"/>
        </w:tabs>
        <w:jc w:val="right"/>
        <w:rPr>
          <w:rFonts w:ascii="Times New Roman" w:hAnsi="Times New Roman"/>
          <w:b/>
        </w:rPr>
      </w:pPr>
      <w:r>
        <w:rPr>
          <w:b/>
        </w:rPr>
      </w:r>
    </w:p>
    <w:p>
      <w:pPr>
        <w:pStyle w:val="Normal"/>
        <w:tabs>
          <w:tab w:val="clear" w:pos="708"/>
          <w:tab w:val="left" w:pos="900" w:leader="none"/>
        </w:tabs>
        <w:jc w:val="right"/>
        <w:rPr>
          <w:rFonts w:ascii="Times New Roman" w:hAnsi="Times New Roman"/>
          <w:b/>
        </w:rPr>
      </w:pPr>
      <w:r>
        <w:rPr>
          <w:b/>
        </w:rPr>
      </w:r>
    </w:p>
    <w:p>
      <w:pPr>
        <w:pStyle w:val="Normal"/>
        <w:tabs>
          <w:tab w:val="clear" w:pos="708"/>
          <w:tab w:val="left" w:pos="900" w:leader="none"/>
        </w:tabs>
        <w:jc w:val="right"/>
        <w:rPr>
          <w:rFonts w:ascii="Times New Roman" w:hAnsi="Times New Roman"/>
          <w:b/>
        </w:rPr>
      </w:pPr>
      <w:r>
        <w:rPr>
          <w:b/>
        </w:rPr>
      </w:r>
    </w:p>
    <w:p>
      <w:pPr>
        <w:pStyle w:val="Normal"/>
        <w:tabs>
          <w:tab w:val="clear" w:pos="708"/>
          <w:tab w:val="left" w:pos="900" w:leader="none"/>
        </w:tabs>
        <w:jc w:val="right"/>
        <w:rPr>
          <w:rFonts w:ascii="Times New Roman" w:hAnsi="Times New Roman"/>
          <w:b/>
        </w:rPr>
      </w:pPr>
      <w:r>
        <w:rPr>
          <w:b/>
        </w:rPr>
      </w:r>
    </w:p>
    <w:p>
      <w:pPr>
        <w:pStyle w:val="Normal"/>
        <w:tabs>
          <w:tab w:val="clear" w:pos="708"/>
          <w:tab w:val="left" w:pos="900" w:leader="none"/>
        </w:tabs>
        <w:jc w:val="right"/>
        <w:rPr>
          <w:rFonts w:ascii="Times New Roman" w:hAnsi="Times New Roman"/>
        </w:rPr>
      </w:pPr>
      <w:r>
        <w:rPr/>
      </w:r>
    </w:p>
    <w:p>
      <w:pPr>
        <w:pStyle w:val="Normal"/>
        <w:tabs>
          <w:tab w:val="clear" w:pos="708"/>
          <w:tab w:val="left" w:pos="900" w:leader="none"/>
        </w:tabs>
        <w:jc w:val="right"/>
        <w:rPr>
          <w:rFonts w:ascii="Times New Roman" w:hAnsi="Times New Roman"/>
        </w:rPr>
      </w:pPr>
      <w:r>
        <w:rPr/>
      </w:r>
    </w:p>
    <w:p>
      <w:pPr>
        <w:pStyle w:val="Normal"/>
        <w:tabs>
          <w:tab w:val="clear" w:pos="708"/>
          <w:tab w:val="left" w:pos="900" w:leader="none"/>
        </w:tabs>
        <w:jc w:val="right"/>
        <w:rPr>
          <w:rFonts w:ascii="Times New Roman" w:hAnsi="Times New Roman"/>
        </w:rPr>
      </w:pPr>
      <w:r>
        <w:rPr/>
      </w:r>
    </w:p>
    <w:p>
      <w:pPr>
        <w:pStyle w:val="Normal"/>
        <w:tabs>
          <w:tab w:val="clear" w:pos="708"/>
          <w:tab w:val="left" w:pos="900" w:leader="none"/>
        </w:tabs>
        <w:jc w:val="right"/>
        <w:rPr>
          <w:rFonts w:ascii="Times New Roman" w:hAnsi="Times New Roman"/>
        </w:rPr>
      </w:pPr>
      <w:r>
        <w:rPr/>
      </w:r>
    </w:p>
    <w:p>
      <w:pPr>
        <w:pStyle w:val="Normal"/>
        <w:tabs>
          <w:tab w:val="clear" w:pos="708"/>
          <w:tab w:val="left" w:pos="900" w:leader="none"/>
        </w:tabs>
        <w:jc w:val="right"/>
        <w:rPr>
          <w:rFonts w:ascii="Times New Roman" w:hAnsi="Times New Roman"/>
        </w:rPr>
      </w:pPr>
      <w:r>
        <w:rPr/>
      </w:r>
    </w:p>
    <w:p>
      <w:pPr>
        <w:pStyle w:val="Normal"/>
        <w:tabs>
          <w:tab w:val="clear" w:pos="708"/>
        </w:tabs>
        <w:ind w:left="5811" w:right="0" w:hanging="0"/>
        <w:jc w:val="right"/>
        <w:rPr/>
      </w:pPr>
      <w:r>
        <w:rPr>
          <w:rStyle w:val="Style15"/>
          <w:sz w:val="20"/>
          <w:szCs w:val="20"/>
          <w:shd w:fill="auto" w:val="clear"/>
        </w:rPr>
        <w:t>Приложение №2.4</w:t>
      </w:r>
    </w:p>
    <w:p>
      <w:pPr>
        <w:pStyle w:val="Normal"/>
        <w:tabs>
          <w:tab w:val="clear" w:pos="708"/>
        </w:tabs>
        <w:ind w:left="5811" w:right="0" w:hanging="0"/>
        <w:jc w:val="right"/>
        <w:rPr/>
      </w:pPr>
      <w:r>
        <w:rPr>
          <w:rStyle w:val="Style15"/>
          <w:sz w:val="20"/>
          <w:szCs w:val="20"/>
          <w:shd w:fill="auto" w:val="clear"/>
        </w:rPr>
        <w:t>к пояснительной записке</w:t>
      </w:r>
    </w:p>
    <w:p>
      <w:pPr>
        <w:pStyle w:val="Normal"/>
        <w:tabs>
          <w:tab w:val="clear" w:pos="708"/>
        </w:tabs>
        <w:ind w:left="5811" w:right="0" w:hanging="0"/>
        <w:jc w:val="right"/>
        <w:rPr/>
      </w:pPr>
      <w:r>
        <w:rPr>
          <w:rStyle w:val="Style15"/>
          <w:sz w:val="20"/>
          <w:szCs w:val="20"/>
          <w:shd w:fill="auto" w:val="clear"/>
        </w:rPr>
        <w:t xml:space="preserve"> </w:t>
      </w:r>
      <w:r>
        <w:rPr>
          <w:rStyle w:val="Style15"/>
          <w:sz w:val="20"/>
          <w:szCs w:val="20"/>
          <w:shd w:fill="auto" w:val="clear"/>
        </w:rPr>
        <w:t>по заполнению формы 3П</w:t>
      </w:r>
    </w:p>
    <w:p>
      <w:pPr>
        <w:pStyle w:val="Normal"/>
        <w:tabs>
          <w:tab w:val="clear" w:pos="708"/>
        </w:tabs>
        <w:ind w:left="5811" w:right="0" w:hanging="0"/>
        <w:rPr>
          <w:rFonts w:ascii="Times New Roman" w:hAnsi="Times New Roman"/>
          <w:sz w:val="20"/>
          <w:szCs w:val="20"/>
          <w:shd w:fill="auto" w:val="clear"/>
        </w:rPr>
      </w:pPr>
      <w:r>
        <w:rPr>
          <w:sz w:val="20"/>
          <w:szCs w:val="20"/>
          <w:shd w:fill="auto" w:val="clear"/>
        </w:rPr>
      </w:r>
    </w:p>
    <w:p>
      <w:pPr>
        <w:pStyle w:val="Normal"/>
        <w:spacing w:lineRule="auto" w:line="240" w:before="0" w:after="0"/>
        <w:rPr>
          <w:color w:val="FF0000"/>
          <w:sz w:val="24"/>
          <w:szCs w:val="24"/>
          <w:shd w:fill="auto" w:val="clear"/>
        </w:rPr>
      </w:pPr>
      <w:r>
        <w:rPr>
          <w:color w:val="FF0000"/>
          <w:sz w:val="24"/>
          <w:szCs w:val="24"/>
          <w:shd w:fill="auto" w:val="clear"/>
        </w:rPr>
      </w:r>
    </w:p>
    <w:p>
      <w:pPr>
        <w:pStyle w:val="Normal"/>
        <w:spacing w:lineRule="auto" w:line="240" w:before="0" w:after="0"/>
        <w:rPr>
          <w:rFonts w:ascii="Times New Roman" w:hAnsi="Times New Roman"/>
          <w:b/>
          <w:shd w:fill="auto" w:val="clear"/>
        </w:rPr>
      </w:pPr>
      <w:r>
        <w:rPr>
          <w:b/>
          <w:shd w:fill="auto" w:val="clear"/>
        </w:rPr>
        <w:t xml:space="preserve">Образец расчета командировочных расходов </w:t>
      </w:r>
    </w:p>
    <w:p>
      <w:pPr>
        <w:pStyle w:val="Normal"/>
        <w:spacing w:lineRule="auto" w:line="240" w:before="0" w:after="0"/>
        <w:ind w:left="0" w:right="0" w:hanging="567"/>
        <w:jc w:val="right"/>
        <w:rPr>
          <w:rFonts w:ascii="Times New Roman" w:hAnsi="Times New Roman"/>
          <w:shd w:fill="auto" w:val="clear"/>
        </w:rPr>
      </w:pPr>
      <w:r>
        <w:rPr>
          <w:shd w:fill="auto" w:val="clear"/>
        </w:rPr>
        <w:t>Приложение № __ к смете № __</w:t>
      </w:r>
    </w:p>
    <w:p>
      <w:pPr>
        <w:pStyle w:val="Normal"/>
        <w:spacing w:lineRule="auto" w:line="240" w:before="0" w:after="0"/>
        <w:ind w:left="0" w:right="0" w:hanging="567"/>
        <w:jc w:val="center"/>
        <w:rPr>
          <w:rFonts w:ascii="Times New Roman" w:hAnsi="Times New Roman"/>
          <w:b/>
          <w:shd w:fill="auto" w:val="clear"/>
        </w:rPr>
      </w:pPr>
      <w:r>
        <w:rPr>
          <w:b/>
          <w:shd w:fill="auto" w:val="clear"/>
        </w:rPr>
        <w:t>Расчет командировочных расходов</w:t>
      </w:r>
    </w:p>
    <w:p>
      <w:pPr>
        <w:pStyle w:val="Normal"/>
        <w:spacing w:lineRule="auto" w:line="240" w:before="0" w:after="0"/>
        <w:ind w:left="6373" w:right="0" w:firstLine="720"/>
        <w:rPr>
          <w:rFonts w:ascii="Times New Roman" w:hAnsi="Times New Roman"/>
          <w:sz w:val="20"/>
          <w:szCs w:val="20"/>
          <w:shd w:fill="auto" w:val="clear"/>
        </w:rPr>
      </w:pPr>
      <w:r>
        <w:rPr>
          <w:sz w:val="20"/>
          <w:szCs w:val="20"/>
          <w:shd w:fill="auto" w:val="clear"/>
        </w:rPr>
      </w:r>
    </w:p>
    <w:tbl>
      <w:tblPr>
        <w:tblW w:w="14850" w:type="dxa"/>
        <w:jc w:val="left"/>
        <w:tblInd w:w="0" w:type="dxa"/>
        <w:tblLayout w:type="fixed"/>
        <w:tblCellMar>
          <w:top w:w="102" w:type="dxa"/>
          <w:left w:w="62" w:type="dxa"/>
          <w:bottom w:w="102" w:type="dxa"/>
          <w:right w:w="62" w:type="dxa"/>
        </w:tblCellMar>
      </w:tblPr>
      <w:tblGrid>
        <w:gridCol w:w="493"/>
        <w:gridCol w:w="2052"/>
        <w:gridCol w:w="1844"/>
        <w:gridCol w:w="1984"/>
        <w:gridCol w:w="2125"/>
        <w:gridCol w:w="1277"/>
        <w:gridCol w:w="1709"/>
        <w:gridCol w:w="1705"/>
        <w:gridCol w:w="1659"/>
      </w:tblGrid>
      <w:tr>
        <w:trPr/>
        <w:tc>
          <w:tcPr>
            <w:tcW w:w="493" w:type="dxa"/>
            <w:tcBorders>
              <w:top w:val="single" w:sz="8" w:space="0" w:color="000000"/>
              <w:left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п/п</w:t>
            </w:r>
          </w:p>
        </w:tc>
        <w:tc>
          <w:tcPr>
            <w:tcW w:w="2052"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Пункт назначения</w:t>
            </w:r>
          </w:p>
        </w:tc>
        <w:tc>
          <w:tcPr>
            <w:tcW w:w="1844"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Количество специа</w:t>
              <w:softHyphen/>
              <w:t>листов</w:t>
            </w:r>
          </w:p>
        </w:tc>
        <w:tc>
          <w:tcPr>
            <w:tcW w:w="1984"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Проезд к месту ко</w:t>
              <w:softHyphen/>
              <w:t>мандировки (туда и обратно)</w:t>
            </w:r>
          </w:p>
        </w:tc>
        <w:tc>
          <w:tcPr>
            <w:tcW w:w="2125"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 xml:space="preserve">Проживание в номере гостиницы класса "3 звезды", </w:t>
            </w:r>
          </w:p>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1 чел/сутки.</w:t>
            </w:r>
          </w:p>
        </w:tc>
        <w:tc>
          <w:tcPr>
            <w:tcW w:w="1277"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Суточные</w:t>
            </w:r>
          </w:p>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1 сутки/руб.</w:t>
            </w:r>
          </w:p>
        </w:tc>
        <w:tc>
          <w:tcPr>
            <w:tcW w:w="1709"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Продолжи-тельность ко</w:t>
              <w:softHyphen/>
              <w:t>мандировки, сут</w:t>
              <w:softHyphen/>
              <w:t>ки</w:t>
            </w:r>
          </w:p>
        </w:tc>
        <w:tc>
          <w:tcPr>
            <w:tcW w:w="1705"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Продолжи-тельность прожи</w:t>
              <w:softHyphen/>
              <w:t>вания в гостини</w:t>
              <w:softHyphen/>
              <w:t>це, сутки</w:t>
            </w:r>
          </w:p>
        </w:tc>
        <w:tc>
          <w:tcPr>
            <w:tcW w:w="1659" w:type="dxa"/>
            <w:tcBorders>
              <w:top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Итого затрат, ру</w:t>
              <w:softHyphen/>
              <w:t>бли</w:t>
            </w:r>
          </w:p>
        </w:tc>
      </w:tr>
      <w:tr>
        <w:trPr/>
        <w:tc>
          <w:tcPr>
            <w:tcW w:w="493" w:type="dxa"/>
            <w:tcBorders>
              <w:left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1</w:t>
            </w:r>
          </w:p>
        </w:tc>
        <w:tc>
          <w:tcPr>
            <w:tcW w:w="2052"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2</w:t>
            </w:r>
          </w:p>
        </w:tc>
        <w:tc>
          <w:tcPr>
            <w:tcW w:w="1844"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3</w:t>
            </w:r>
          </w:p>
        </w:tc>
        <w:tc>
          <w:tcPr>
            <w:tcW w:w="1984"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4</w:t>
            </w:r>
          </w:p>
        </w:tc>
        <w:tc>
          <w:tcPr>
            <w:tcW w:w="2125"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5</w:t>
            </w:r>
          </w:p>
        </w:tc>
        <w:tc>
          <w:tcPr>
            <w:tcW w:w="1277"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6</w:t>
            </w:r>
          </w:p>
        </w:tc>
        <w:tc>
          <w:tcPr>
            <w:tcW w:w="1709"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7</w:t>
            </w:r>
          </w:p>
        </w:tc>
        <w:tc>
          <w:tcPr>
            <w:tcW w:w="1705"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8</w:t>
            </w:r>
          </w:p>
        </w:tc>
        <w:tc>
          <w:tcPr>
            <w:tcW w:w="1659"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9</w:t>
            </w:r>
          </w:p>
        </w:tc>
      </w:tr>
      <w:tr>
        <w:trPr/>
        <w:tc>
          <w:tcPr>
            <w:tcW w:w="493" w:type="dxa"/>
            <w:tcBorders>
              <w:left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2052"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844"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984"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2125"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277"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709"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705"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659"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r>
      <w:tr>
        <w:trPr/>
        <w:tc>
          <w:tcPr>
            <w:tcW w:w="493" w:type="dxa"/>
            <w:tcBorders>
              <w:left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2052"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844"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984"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2125"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277"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709"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705"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c>
          <w:tcPr>
            <w:tcW w:w="1659" w:type="dxa"/>
            <w:tcBorders>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r>
          </w:p>
        </w:tc>
      </w:tr>
      <w:tr>
        <w:trPr/>
        <w:tc>
          <w:tcPr>
            <w:tcW w:w="4389" w:type="dxa"/>
            <w:gridSpan w:val="3"/>
            <w:tcBorders>
              <w:left w:val="single" w:sz="8" w:space="0" w:color="000000"/>
              <w:bottom w:val="single" w:sz="8" w:space="0" w:color="000000"/>
              <w:right w:val="single" w:sz="8" w:space="0" w:color="000000"/>
            </w:tcBorders>
          </w:tcPr>
          <w:p>
            <w:pPr>
              <w:pStyle w:val="ConsPlusNormal"/>
              <w:widowControl w:val="false"/>
              <w:ind w:left="0" w:right="0" w:firstLine="60"/>
              <w:jc w:val="center"/>
              <w:rPr>
                <w:rFonts w:ascii="Times New Roman" w:hAnsi="Times New Roman" w:cs="Times New Roman"/>
                <w:shd w:fill="auto" w:val="clear"/>
              </w:rPr>
            </w:pPr>
            <w:r>
              <w:rPr>
                <w:rFonts w:cs="Times New Roman" w:ascii="Times New Roman" w:hAnsi="Times New Roman"/>
                <w:shd w:fill="auto" w:val="clear"/>
              </w:rPr>
              <w:t>Итого по сметному расчету</w:t>
            </w:r>
          </w:p>
        </w:tc>
        <w:tc>
          <w:tcPr>
            <w:tcW w:w="1984" w:type="dxa"/>
            <w:tcBorders>
              <w:bottom w:val="single" w:sz="8" w:space="0" w:color="000000"/>
              <w:right w:val="single" w:sz="8" w:space="0" w:color="000000"/>
            </w:tcBorders>
          </w:tcPr>
          <w:p>
            <w:pPr>
              <w:pStyle w:val="ConsPlusNormal"/>
              <w:widowControl w:val="false"/>
              <w:ind w:left="0" w:right="0" w:firstLine="60"/>
              <w:rPr>
                <w:rFonts w:ascii="Times New Roman" w:hAnsi="Times New Roman" w:cs="Times New Roman"/>
                <w:shd w:fill="auto" w:val="clear"/>
              </w:rPr>
            </w:pPr>
            <w:r>
              <w:rPr>
                <w:rFonts w:cs="Times New Roman" w:ascii="Times New Roman" w:hAnsi="Times New Roman"/>
                <w:shd w:fill="auto" w:val="clear"/>
              </w:rPr>
            </w:r>
          </w:p>
        </w:tc>
        <w:tc>
          <w:tcPr>
            <w:tcW w:w="2125" w:type="dxa"/>
            <w:tcBorders>
              <w:bottom w:val="single" w:sz="8" w:space="0" w:color="000000"/>
              <w:right w:val="single" w:sz="8" w:space="0" w:color="000000"/>
            </w:tcBorders>
          </w:tcPr>
          <w:p>
            <w:pPr>
              <w:pStyle w:val="ConsPlusNormal"/>
              <w:widowControl w:val="false"/>
              <w:ind w:left="0" w:right="0" w:firstLine="60"/>
              <w:rPr>
                <w:rFonts w:ascii="Times New Roman" w:hAnsi="Times New Roman" w:cs="Times New Roman"/>
                <w:shd w:fill="auto" w:val="clear"/>
              </w:rPr>
            </w:pPr>
            <w:r>
              <w:rPr>
                <w:rFonts w:cs="Times New Roman" w:ascii="Times New Roman" w:hAnsi="Times New Roman"/>
                <w:shd w:fill="auto" w:val="clear"/>
              </w:rPr>
            </w:r>
          </w:p>
        </w:tc>
        <w:tc>
          <w:tcPr>
            <w:tcW w:w="1277" w:type="dxa"/>
            <w:tcBorders>
              <w:bottom w:val="single" w:sz="8" w:space="0" w:color="000000"/>
              <w:right w:val="single" w:sz="8" w:space="0" w:color="000000"/>
            </w:tcBorders>
          </w:tcPr>
          <w:p>
            <w:pPr>
              <w:pStyle w:val="ConsPlusNormal"/>
              <w:widowControl w:val="false"/>
              <w:ind w:left="0" w:right="0" w:firstLine="60"/>
              <w:rPr>
                <w:rFonts w:ascii="Times New Roman" w:hAnsi="Times New Roman" w:cs="Times New Roman"/>
                <w:shd w:fill="auto" w:val="clear"/>
              </w:rPr>
            </w:pPr>
            <w:r>
              <w:rPr>
                <w:rFonts w:cs="Times New Roman" w:ascii="Times New Roman" w:hAnsi="Times New Roman"/>
                <w:shd w:fill="auto" w:val="clear"/>
              </w:rPr>
            </w:r>
          </w:p>
        </w:tc>
        <w:tc>
          <w:tcPr>
            <w:tcW w:w="1709" w:type="dxa"/>
            <w:tcBorders>
              <w:bottom w:val="single" w:sz="8" w:space="0" w:color="000000"/>
              <w:right w:val="single" w:sz="8" w:space="0" w:color="000000"/>
            </w:tcBorders>
          </w:tcPr>
          <w:p>
            <w:pPr>
              <w:pStyle w:val="ConsPlusNormal"/>
              <w:widowControl w:val="false"/>
              <w:ind w:left="0" w:right="0" w:firstLine="60"/>
              <w:rPr>
                <w:rFonts w:ascii="Times New Roman" w:hAnsi="Times New Roman" w:cs="Times New Roman"/>
                <w:shd w:fill="auto" w:val="clear"/>
              </w:rPr>
            </w:pPr>
            <w:r>
              <w:rPr>
                <w:rFonts w:cs="Times New Roman" w:ascii="Times New Roman" w:hAnsi="Times New Roman"/>
                <w:shd w:fill="auto" w:val="clear"/>
              </w:rPr>
            </w:r>
          </w:p>
        </w:tc>
        <w:tc>
          <w:tcPr>
            <w:tcW w:w="1705" w:type="dxa"/>
            <w:tcBorders>
              <w:bottom w:val="single" w:sz="8" w:space="0" w:color="000000"/>
              <w:right w:val="single" w:sz="8" w:space="0" w:color="000000"/>
            </w:tcBorders>
          </w:tcPr>
          <w:p>
            <w:pPr>
              <w:pStyle w:val="ConsPlusNormal"/>
              <w:widowControl w:val="false"/>
              <w:ind w:left="0" w:right="0" w:firstLine="60"/>
              <w:rPr>
                <w:rFonts w:ascii="Times New Roman" w:hAnsi="Times New Roman" w:cs="Times New Roman"/>
                <w:shd w:fill="auto" w:val="clear"/>
              </w:rPr>
            </w:pPr>
            <w:r>
              <w:rPr>
                <w:rFonts w:cs="Times New Roman" w:ascii="Times New Roman" w:hAnsi="Times New Roman"/>
                <w:shd w:fill="auto" w:val="clear"/>
              </w:rPr>
            </w:r>
          </w:p>
        </w:tc>
        <w:tc>
          <w:tcPr>
            <w:tcW w:w="1659" w:type="dxa"/>
            <w:tcBorders>
              <w:bottom w:val="single" w:sz="8" w:space="0" w:color="000000"/>
              <w:right w:val="single" w:sz="8" w:space="0" w:color="000000"/>
            </w:tcBorders>
          </w:tcPr>
          <w:p>
            <w:pPr>
              <w:pStyle w:val="ConsPlusNormal"/>
              <w:widowControl w:val="false"/>
              <w:ind w:left="0" w:right="0" w:firstLine="60"/>
              <w:rPr>
                <w:rFonts w:ascii="Times New Roman" w:hAnsi="Times New Roman" w:cs="Times New Roman"/>
                <w:shd w:fill="auto" w:val="clear"/>
              </w:rPr>
            </w:pPr>
            <w:r>
              <w:rPr>
                <w:rFonts w:cs="Times New Roman" w:ascii="Times New Roman" w:hAnsi="Times New Roman"/>
                <w:shd w:fill="auto" w:val="clear"/>
              </w:rPr>
            </w:r>
          </w:p>
        </w:tc>
      </w:tr>
    </w:tbl>
    <w:p>
      <w:pPr>
        <w:pStyle w:val="ConsPlusNormal"/>
        <w:jc w:val="both"/>
        <w:rPr>
          <w:rFonts w:ascii="Times New Roman" w:hAnsi="Times New Roman" w:eastAsia="Calibri" w:cs="Times New Roman"/>
          <w:sz w:val="22"/>
          <w:szCs w:val="22"/>
          <w:shd w:fill="auto" w:val="clear"/>
        </w:rPr>
      </w:pPr>
      <w:r>
        <w:rPr>
          <w:rFonts w:eastAsia="Calibri" w:cs="Times New Roman" w:ascii="Times New Roman" w:hAnsi="Times New Roman"/>
          <w:sz w:val="22"/>
          <w:szCs w:val="22"/>
          <w:shd w:fill="auto" w:val="clear"/>
        </w:rPr>
      </w:r>
    </w:p>
    <w:p>
      <w:pPr>
        <w:pStyle w:val="Normal"/>
        <w:spacing w:lineRule="auto" w:line="240" w:before="0" w:after="0"/>
        <w:ind w:left="0" w:right="2947" w:firstLine="720"/>
        <w:jc w:val="both"/>
        <w:rPr>
          <w:rFonts w:ascii="Times New Roman" w:hAnsi="Times New Roman"/>
          <w:sz w:val="20"/>
          <w:szCs w:val="20"/>
          <w:shd w:fill="auto" w:val="clear"/>
        </w:rPr>
      </w:pPr>
      <w:r>
        <w:rPr>
          <w:sz w:val="20"/>
          <w:szCs w:val="20"/>
          <w:shd w:fill="auto" w:val="clear"/>
        </w:rPr>
        <w:t>Руководитель проектной организации ______________________________________________________________________</w:t>
      </w:r>
    </w:p>
    <w:p>
      <w:pPr>
        <w:pStyle w:val="Normal"/>
        <w:spacing w:lineRule="auto" w:line="240" w:before="0" w:after="0"/>
        <w:ind w:left="0" w:right="2947" w:firstLine="720"/>
        <w:jc w:val="center"/>
        <w:rPr>
          <w:rFonts w:ascii="Times New Roman" w:hAnsi="Times New Roman"/>
          <w:i/>
          <w:i/>
          <w:iCs/>
          <w:sz w:val="20"/>
          <w:szCs w:val="20"/>
          <w:shd w:fill="auto" w:val="clear"/>
        </w:rPr>
      </w:pPr>
      <w:r>
        <w:rPr>
          <w:i/>
          <w:iCs/>
          <w:sz w:val="20"/>
          <w:szCs w:val="20"/>
          <w:shd w:fill="auto" w:val="clear"/>
        </w:rPr>
        <w:t>[подпись (инициалы, фамилия)]</w:t>
      </w:r>
    </w:p>
    <w:p>
      <w:pPr>
        <w:pStyle w:val="Normal"/>
        <w:spacing w:lineRule="auto" w:line="240" w:before="0" w:after="0"/>
        <w:ind w:left="0" w:right="2947" w:firstLine="720"/>
        <w:jc w:val="both"/>
        <w:rPr>
          <w:rFonts w:ascii="Times New Roman" w:hAnsi="Times New Roman"/>
          <w:sz w:val="20"/>
          <w:szCs w:val="20"/>
          <w:shd w:fill="auto" w:val="clear"/>
        </w:rPr>
      </w:pPr>
      <w:r>
        <w:rPr>
          <w:sz w:val="20"/>
          <w:szCs w:val="20"/>
          <w:shd w:fill="auto" w:val="clear"/>
        </w:rPr>
        <w:t>Главный инженер проекта _________________________________________________________________________________</w:t>
      </w:r>
    </w:p>
    <w:p>
      <w:pPr>
        <w:pStyle w:val="Normal"/>
        <w:spacing w:lineRule="auto" w:line="240" w:before="0" w:after="0"/>
        <w:ind w:left="0" w:right="2947" w:firstLine="720"/>
        <w:jc w:val="center"/>
        <w:rPr>
          <w:rFonts w:ascii="Times New Roman" w:hAnsi="Times New Roman"/>
          <w:i/>
          <w:i/>
          <w:iCs/>
          <w:sz w:val="20"/>
          <w:szCs w:val="20"/>
          <w:shd w:fill="auto" w:val="clear"/>
        </w:rPr>
      </w:pPr>
      <w:r>
        <w:rPr>
          <w:i/>
          <w:iCs/>
          <w:sz w:val="20"/>
          <w:szCs w:val="20"/>
          <w:shd w:fill="auto" w:val="clear"/>
        </w:rPr>
        <w:t>[подпись (инициалы, фамилия)]</w:t>
      </w:r>
    </w:p>
    <w:p>
      <w:pPr>
        <w:pStyle w:val="Normal"/>
        <w:spacing w:lineRule="auto" w:line="240" w:before="0" w:after="0"/>
        <w:ind w:left="0" w:right="2947" w:firstLine="720"/>
        <w:jc w:val="both"/>
        <w:rPr>
          <w:rFonts w:ascii="Times New Roman" w:hAnsi="Times New Roman"/>
          <w:sz w:val="20"/>
          <w:szCs w:val="20"/>
          <w:shd w:fill="auto" w:val="clear"/>
        </w:rPr>
      </w:pPr>
      <w:r>
        <w:rPr>
          <w:sz w:val="20"/>
          <w:szCs w:val="20"/>
          <w:shd w:fill="auto" w:val="clear"/>
        </w:rPr>
        <w:t>Начальник ______________________ отдела __________________________________________________________</w:t>
      </w:r>
    </w:p>
    <w:p>
      <w:pPr>
        <w:pStyle w:val="Normal"/>
        <w:spacing w:lineRule="auto" w:line="240" w:before="0" w:after="0"/>
        <w:ind w:left="0" w:right="2947" w:firstLine="720"/>
        <w:jc w:val="both"/>
        <w:rPr>
          <w:shd w:fill="auto" w:val="clear"/>
        </w:rPr>
      </w:pPr>
      <w:r>
        <w:rPr>
          <w:sz w:val="20"/>
          <w:szCs w:val="20"/>
          <w:shd w:fill="auto" w:val="clear"/>
        </w:rPr>
        <w:t xml:space="preserve">                             </w:t>
      </w:r>
      <w:r>
        <w:rPr>
          <w:i/>
          <w:iCs/>
          <w:sz w:val="20"/>
          <w:szCs w:val="20"/>
          <w:shd w:fill="auto" w:val="clear"/>
        </w:rPr>
        <w:t>(наименование)                                                                        [подпись (инициалы, фамилия)]</w:t>
      </w:r>
    </w:p>
    <w:p>
      <w:pPr>
        <w:pStyle w:val="Normal"/>
        <w:spacing w:lineRule="auto" w:line="240" w:before="0" w:after="0"/>
        <w:ind w:left="0" w:right="2947" w:firstLine="720"/>
        <w:jc w:val="both"/>
        <w:rPr>
          <w:rFonts w:ascii="Times New Roman" w:hAnsi="Times New Roman"/>
          <w:i/>
          <w:i/>
          <w:iCs/>
          <w:sz w:val="20"/>
          <w:szCs w:val="20"/>
          <w:shd w:fill="auto" w:val="clear"/>
        </w:rPr>
      </w:pPr>
      <w:r>
        <w:rPr>
          <w:i/>
          <w:iCs/>
          <w:sz w:val="20"/>
          <w:szCs w:val="20"/>
          <w:shd w:fill="auto" w:val="clear"/>
        </w:rPr>
      </w:r>
    </w:p>
    <w:p>
      <w:pPr>
        <w:pStyle w:val="Normal"/>
        <w:spacing w:lineRule="auto" w:line="240" w:before="0" w:after="0"/>
        <w:ind w:left="0" w:right="2947" w:firstLine="720"/>
        <w:jc w:val="both"/>
        <w:rPr>
          <w:rFonts w:ascii="Times New Roman" w:hAnsi="Times New Roman"/>
          <w:sz w:val="20"/>
          <w:szCs w:val="20"/>
          <w:shd w:fill="auto" w:val="clear"/>
        </w:rPr>
      </w:pPr>
      <w:r>
        <w:rPr>
          <w:sz w:val="20"/>
          <w:szCs w:val="20"/>
          <w:shd w:fill="auto" w:val="clear"/>
        </w:rPr>
        <w:t>Заказчик __________________________________________________________________________________</w:t>
      </w:r>
    </w:p>
    <w:p>
      <w:pPr>
        <w:pStyle w:val="Normal"/>
        <w:spacing w:lineRule="auto" w:line="240" w:before="0" w:after="0"/>
        <w:ind w:left="0" w:right="2947" w:firstLine="720"/>
        <w:jc w:val="center"/>
        <w:rPr>
          <w:rFonts w:ascii="Times New Roman" w:hAnsi="Times New Roman"/>
          <w:i/>
          <w:i/>
          <w:iCs/>
          <w:sz w:val="20"/>
          <w:szCs w:val="20"/>
          <w:shd w:fill="auto" w:val="clear"/>
        </w:rPr>
      </w:pPr>
      <w:bookmarkStart w:id="114" w:name="_Hlk152600818"/>
      <w:r>
        <w:rPr>
          <w:i/>
          <w:iCs/>
          <w:sz w:val="20"/>
          <w:szCs w:val="20"/>
          <w:shd w:fill="auto" w:val="clear"/>
        </w:rPr>
        <w:t>[должность, подпись (инициалы, фамилия)]</w:t>
      </w:r>
      <w:bookmarkEnd w:id="114"/>
    </w:p>
    <w:p>
      <w:pPr>
        <w:pStyle w:val="Normal"/>
        <w:spacing w:lineRule="auto" w:line="240" w:before="0" w:after="0"/>
        <w:ind w:left="0" w:right="0" w:hanging="567"/>
        <w:jc w:val="center"/>
        <w:rPr>
          <w:rFonts w:ascii="Times New Roman" w:hAnsi="Times New Roman"/>
          <w:b/>
          <w:sz w:val="20"/>
          <w:szCs w:val="20"/>
          <w:shd w:fill="auto" w:val="clear"/>
        </w:rPr>
      </w:pPr>
      <w:r>
        <w:rPr>
          <w:b/>
          <w:sz w:val="20"/>
          <w:szCs w:val="20"/>
          <w:shd w:fill="auto" w:val="clear"/>
        </w:rPr>
      </w:r>
    </w:p>
    <w:p>
      <w:pPr>
        <w:sectPr>
          <w:headerReference w:type="default" r:id="rId61"/>
          <w:headerReference w:type="first" r:id="rId62"/>
          <w:footerReference w:type="default" r:id="rId63"/>
          <w:footerReference w:type="first" r:id="rId64"/>
          <w:type w:val="nextPage"/>
          <w:pgSz w:orient="landscape" w:w="16838" w:h="11906"/>
          <w:pgMar w:left="1134" w:right="1134" w:gutter="0" w:header="0" w:top="1134" w:footer="0" w:bottom="1134"/>
          <w:pgNumType w:fmt="decimal"/>
          <w:formProt w:val="false"/>
          <w:textDirection w:val="lrTb"/>
          <w:docGrid w:type="default" w:linePitch="100" w:charSpace="0"/>
        </w:sectPr>
        <w:pStyle w:val="Normal"/>
        <w:spacing w:lineRule="auto" w:line="240" w:before="0" w:after="0"/>
        <w:ind w:left="284" w:right="0" w:firstLine="720"/>
        <w:rPr/>
      </w:pPr>
      <w:r>
        <w:rPr/>
        <w:object>
          <v:shapetype id="_x0000_tole_rId59" coordsize="21600,21600" o:spt="ole_rId5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9" type="_x0000_tole_rId59" style="width:79.45pt;height:50.65pt;mso-wrap-distance-right:0pt" filled="f" o:ole="">
            <v:imagedata r:id="rId60" o:title=""/>
          </v:shape>
          <o:OLEObject Type="Embed" ProgID="Excel.Sheet.12" ShapeID="ole_rId59" DrawAspect="Icon" ObjectID="_1387460731" r:id="rId59"/>
        </w:object>
      </w:r>
    </w:p>
    <w:p>
      <w:pPr>
        <w:pStyle w:val="Normal"/>
        <w:jc w:val="right"/>
        <w:rPr>
          <w:rFonts w:ascii="Times New Roman" w:hAnsi="Times New Roman"/>
        </w:rPr>
      </w:pPr>
      <w:r>
        <w:rPr/>
        <w:t>Приложение №2.3</w:t>
      </w:r>
    </w:p>
    <w:p>
      <w:pPr>
        <w:pStyle w:val="Normal"/>
        <w:jc w:val="right"/>
        <w:rPr>
          <w:rFonts w:ascii="Times New Roman" w:hAnsi="Times New Roman"/>
        </w:rPr>
      </w:pPr>
      <w:r>
        <w:rPr/>
        <w:t>к пояснительной записке</w:t>
      </w:r>
    </w:p>
    <w:p>
      <w:pPr>
        <w:pStyle w:val="Normal"/>
        <w:jc w:val="right"/>
        <w:rPr>
          <w:rFonts w:ascii="Times New Roman" w:hAnsi="Times New Roman"/>
        </w:rPr>
      </w:pPr>
      <w:r>
        <w:rPr/>
        <w:t xml:space="preserve"> </w:t>
      </w:r>
      <w:r>
        <w:rPr/>
        <w:t>по заполнению формы 3П</w:t>
      </w:r>
    </w:p>
    <w:p>
      <w:pPr>
        <w:pStyle w:val="Normal"/>
        <w:tabs>
          <w:tab w:val="clear" w:pos="708"/>
          <w:tab w:val="left" w:pos="900" w:leader="none"/>
        </w:tabs>
        <w:jc w:val="right"/>
        <w:rPr>
          <w:rFonts w:ascii="Times New Roman" w:hAnsi="Times New Roman"/>
        </w:rPr>
      </w:pPr>
      <w:r>
        <w:rPr/>
      </w:r>
    </w:p>
    <w:p>
      <w:pPr>
        <w:pStyle w:val="Normal"/>
        <w:shd w:val="clear" w:fill="FFFFFF"/>
        <w:ind w:left="5530" w:right="0" w:hanging="0"/>
        <w:rPr>
          <w:rFonts w:ascii="Times New Roman" w:hAnsi="Times New Roman"/>
        </w:rPr>
      </w:pPr>
      <w:r>
        <w:rPr/>
        <w:tab/>
        <w:t xml:space="preserve">Приложение №   к договору №   </w:t>
      </w:r>
    </w:p>
    <w:p>
      <w:pPr>
        <w:pStyle w:val="Normal"/>
        <w:shd w:val="clear" w:fill="FFFFFF"/>
        <w:ind w:left="5530" w:right="0" w:hanging="0"/>
        <w:rPr>
          <w:rFonts w:ascii="Times New Roman" w:hAnsi="Times New Roman"/>
        </w:rPr>
      </w:pPr>
      <w:r>
        <w:rPr/>
        <w:t>от    ________</w:t>
      </w:r>
    </w:p>
    <w:p>
      <w:pPr>
        <w:pStyle w:val="Normal"/>
        <w:shd w:val="clear" w:fill="FFFFFF"/>
        <w:ind w:left="5530" w:right="0" w:hanging="0"/>
        <w:rPr>
          <w:rFonts w:ascii="Times New Roman" w:hAnsi="Times New Roman"/>
        </w:rPr>
      </w:pPr>
      <w:r>
        <w:rPr/>
      </w:r>
    </w:p>
    <w:tbl>
      <w:tblPr>
        <w:tblW w:w="8904" w:type="dxa"/>
        <w:jc w:val="left"/>
        <w:tblInd w:w="304" w:type="dxa"/>
        <w:tblLayout w:type="fixed"/>
        <w:tblCellMar>
          <w:top w:w="0" w:type="dxa"/>
          <w:left w:w="108" w:type="dxa"/>
          <w:bottom w:w="0" w:type="dxa"/>
          <w:right w:w="108" w:type="dxa"/>
        </w:tblCellMar>
      </w:tblPr>
      <w:tblGrid>
        <w:gridCol w:w="4112"/>
        <w:gridCol w:w="4791"/>
      </w:tblGrid>
      <w:tr>
        <w:trPr>
          <w:trHeight w:val="417" w:hRule="atLeast"/>
        </w:trPr>
        <w:tc>
          <w:tcPr>
            <w:tcW w:w="4112" w:type="dxa"/>
            <w:tcBorders/>
            <w:vAlign w:val="bottom"/>
          </w:tcPr>
          <w:p>
            <w:pPr>
              <w:pStyle w:val="Normal"/>
              <w:widowControl w:val="false"/>
              <w:rPr>
                <w:rFonts w:ascii="Times New Roman" w:hAnsi="Times New Roman"/>
                <w:b/>
                <w:bCs/>
              </w:rPr>
            </w:pPr>
            <w:r>
              <w:rPr>
                <w:b/>
                <w:bCs/>
              </w:rPr>
              <w:t>СОГЛАСОВАНО:</w:t>
            </w:r>
          </w:p>
          <w:p>
            <w:pPr>
              <w:pStyle w:val="Normal"/>
              <w:widowControl w:val="false"/>
              <w:rPr>
                <w:rFonts w:ascii="Times New Roman" w:hAnsi="Times New Roman"/>
              </w:rPr>
            </w:pPr>
            <w:r>
              <w:rPr/>
              <w:t>_________________(Подрядчик)</w:t>
            </w:r>
          </w:p>
          <w:p>
            <w:pPr>
              <w:pStyle w:val="Normal"/>
              <w:widowControl w:val="false"/>
              <w:rPr>
                <w:rFonts w:ascii="Times New Roman" w:hAnsi="Times New Roman"/>
              </w:rPr>
            </w:pPr>
            <w:r>
              <w:rPr/>
              <w:t>_________________И.О.Ф.</w:t>
            </w:r>
          </w:p>
          <w:p>
            <w:pPr>
              <w:pStyle w:val="Normal"/>
              <w:widowControl w:val="false"/>
              <w:rPr>
                <w:rFonts w:ascii="Times New Roman" w:hAnsi="Times New Roman"/>
              </w:rPr>
            </w:pPr>
            <w:r>
              <w:rPr/>
            </w:r>
          </w:p>
        </w:tc>
        <w:tc>
          <w:tcPr>
            <w:tcW w:w="4791" w:type="dxa"/>
            <w:tcBorders/>
          </w:tcPr>
          <w:p>
            <w:pPr>
              <w:pStyle w:val="Normal"/>
              <w:widowControl w:val="false"/>
              <w:ind w:left="1460" w:right="0" w:hanging="0"/>
              <w:rPr>
                <w:b/>
                <w:bCs/>
              </w:rPr>
            </w:pPr>
            <w:r>
              <w:rPr>
                <w:b/>
                <w:bCs/>
              </w:rPr>
              <w:t>УТВЕРЖДАЮ:</w:t>
            </w:r>
          </w:p>
          <w:p>
            <w:pPr>
              <w:pStyle w:val="Normal"/>
              <w:widowControl w:val="false"/>
              <w:ind w:left="1460" w:right="0" w:hanging="0"/>
              <w:rPr>
                <w:bCs/>
              </w:rPr>
            </w:pPr>
            <w:r>
              <w:rPr>
                <w:bCs/>
              </w:rPr>
              <w:t>_________________(За</w:t>
              <w:softHyphen/>
              <w:t>казчик)</w:t>
            </w:r>
          </w:p>
          <w:p>
            <w:pPr>
              <w:pStyle w:val="Normal"/>
              <w:widowControl w:val="false"/>
              <w:ind w:left="1460" w:right="0" w:hanging="0"/>
              <w:rPr>
                <w:rFonts w:ascii="Times New Roman" w:hAnsi="Times New Roman"/>
              </w:rPr>
            </w:pPr>
            <w:r>
              <w:rPr/>
              <w:t>_________________И.О.Ф.</w:t>
            </w:r>
          </w:p>
          <w:p>
            <w:pPr>
              <w:pStyle w:val="Normal"/>
              <w:widowControl w:val="false"/>
              <w:rPr>
                <w:rFonts w:ascii="Times New Roman" w:hAnsi="Times New Roman"/>
                <w:b/>
                <w:bCs/>
              </w:rPr>
            </w:pPr>
            <w:r>
              <w:rPr>
                <w:b/>
                <w:bCs/>
              </w:rPr>
            </w:r>
          </w:p>
        </w:tc>
      </w:tr>
    </w:tbl>
    <w:p>
      <w:pPr>
        <w:pStyle w:val="Normal"/>
        <w:shd w:val="clear" w:fill="FFFFFF"/>
        <w:spacing w:before="480" w:after="0"/>
        <w:jc w:val="center"/>
        <w:rPr>
          <w:b/>
          <w:bCs/>
        </w:rPr>
      </w:pPr>
      <w:r>
        <w:rPr>
          <w:b/>
          <w:bCs/>
        </w:rPr>
        <w:t xml:space="preserve">СВОДНАЯ СМЕТА № </w:t>
        <w:br/>
        <w:t>на работы по программе эксплуатации</w:t>
      </w:r>
    </w:p>
    <w:p>
      <w:pPr>
        <w:pStyle w:val="Normal"/>
        <w:shd w:val="clear" w:fill="FFFFFF"/>
        <w:spacing w:before="480" w:after="0"/>
        <w:jc w:val="center"/>
        <w:rPr>
          <w:rFonts w:ascii="Times New Roman" w:hAnsi="Times New Roman"/>
        </w:rPr>
      </w:pPr>
      <w:r>
        <w:rPr/>
      </w:r>
    </w:p>
    <w:p>
      <w:pPr>
        <w:pStyle w:val="Normal"/>
        <w:shd w:val="clear" w:fill="FFFFFF"/>
        <w:rPr>
          <w:rFonts w:ascii="Times New Roman" w:hAnsi="Times New Roman"/>
        </w:rPr>
      </w:pPr>
      <w:r>
        <w:rPr/>
        <w:t>Наименование вида работ___________________________________________________________</w:t>
      </w:r>
    </w:p>
    <w:p>
      <w:pPr>
        <w:pStyle w:val="Normal"/>
        <w:shd w:val="clear" w:fill="FFFFFF"/>
        <w:rPr>
          <w:rFonts w:ascii="Times New Roman" w:hAnsi="Times New Roman"/>
        </w:rPr>
      </w:pPr>
      <w:r>
        <w:rPr/>
        <w:t>__________________________________________________________________</w:t>
      </w:r>
    </w:p>
    <w:p>
      <w:pPr>
        <w:pStyle w:val="Normal"/>
        <w:shd w:val="clear" w:fill="FFFFFF"/>
        <w:rPr>
          <w:rFonts w:ascii="Times New Roman" w:hAnsi="Times New Roman"/>
        </w:rPr>
      </w:pPr>
      <w:r>
        <w:rPr/>
        <w:t>Наименование подрядной организации_________________________________</w:t>
      </w:r>
    </w:p>
    <w:p>
      <w:pPr>
        <w:pStyle w:val="Normal"/>
        <w:shd w:val="clear" w:fill="FFFFFF"/>
        <w:rPr>
          <w:rFonts w:ascii="Times New Roman" w:hAnsi="Times New Roman"/>
        </w:rPr>
      </w:pPr>
      <w:r>
        <w:rPr/>
        <w:t>__________________________________________________________________</w:t>
      </w:r>
    </w:p>
    <w:p>
      <w:pPr>
        <w:pStyle w:val="Normal"/>
        <w:shd w:val="clear" w:fill="FFFFFF"/>
        <w:rPr>
          <w:rFonts w:ascii="Times New Roman" w:hAnsi="Times New Roman"/>
        </w:rPr>
      </w:pPr>
      <w:r>
        <w:rPr/>
        <w:t>Наименование организации заказчика_________________________________</w:t>
      </w:r>
    </w:p>
    <w:p>
      <w:pPr>
        <w:pStyle w:val="Normal"/>
        <w:shd w:val="clear" w:fill="FFFFFF"/>
        <w:rPr>
          <w:rFonts w:ascii="Times New Roman" w:hAnsi="Times New Roman"/>
        </w:rPr>
      </w:pPr>
      <w:r>
        <w:rPr/>
        <w:t>__________________________________________________________________</w:t>
      </w:r>
    </w:p>
    <w:p>
      <w:pPr>
        <w:pStyle w:val="Normal"/>
        <w:jc w:val="right"/>
        <w:rPr>
          <w:rFonts w:ascii="Times New Roman" w:hAnsi="Times New Roman"/>
        </w:rPr>
      </w:pPr>
      <w:r>
        <w:rPr/>
      </w:r>
    </w:p>
    <w:p>
      <w:pPr>
        <w:pStyle w:val="Normal"/>
        <w:jc w:val="right"/>
        <w:rPr>
          <w:rFonts w:ascii="Times New Roman" w:hAnsi="Times New Roman"/>
        </w:rPr>
      </w:pPr>
      <w:r>
        <w:rPr/>
        <w:t>руб.</w:t>
      </w:r>
    </w:p>
    <w:tbl>
      <w:tblPr>
        <w:tblW w:w="5000" w:type="pct"/>
        <w:jc w:val="center"/>
        <w:tblInd w:w="0" w:type="dxa"/>
        <w:tblLayout w:type="fixed"/>
        <w:tblCellMar>
          <w:top w:w="0" w:type="dxa"/>
          <w:left w:w="28" w:type="dxa"/>
          <w:bottom w:w="0" w:type="dxa"/>
          <w:right w:w="28" w:type="dxa"/>
        </w:tblCellMar>
      </w:tblPr>
      <w:tblGrid>
        <w:gridCol w:w="513"/>
        <w:gridCol w:w="3979"/>
        <w:gridCol w:w="1653"/>
        <w:gridCol w:w="3775"/>
      </w:tblGrid>
      <w:tr>
        <w:trPr>
          <w:tblHeader w:val="true"/>
          <w:trHeight w:val="873" w:hRule="atLeast"/>
        </w:trPr>
        <w:tc>
          <w:tcPr>
            <w:tcW w:w="513" w:type="dxa"/>
            <w:tcBorders>
              <w:top w:val="single" w:sz="6" w:space="0" w:color="000000"/>
              <w:left w:val="single" w:sz="6" w:space="0" w:color="000000"/>
              <w:bottom w:val="single" w:sz="6" w:space="0" w:color="000000"/>
              <w:right w:val="single" w:sz="2" w:space="0" w:color="000000"/>
            </w:tcBorders>
            <w:shd w:fill="FFFFFF" w:val="clear"/>
            <w:vAlign w:val="center"/>
          </w:tcPr>
          <w:p>
            <w:pPr>
              <w:pStyle w:val="Normal"/>
              <w:widowControl w:val="false"/>
              <w:shd w:val="clear" w:fill="FFFFFF"/>
              <w:jc w:val="center"/>
              <w:rPr>
                <w:rFonts w:ascii="Times New Roman" w:hAnsi="Times New Roman"/>
              </w:rPr>
            </w:pPr>
            <w:r>
              <w:rPr/>
              <w:t xml:space="preserve">№ </w:t>
            </w:r>
            <w:r>
              <w:rPr/>
              <w:t>п.п.</w:t>
            </w:r>
          </w:p>
        </w:tc>
        <w:tc>
          <w:tcPr>
            <w:tcW w:w="3979" w:type="dxa"/>
            <w:tcBorders>
              <w:top w:val="single" w:sz="6" w:space="0" w:color="000000"/>
              <w:left w:val="single" w:sz="2" w:space="0" w:color="000000"/>
              <w:bottom w:val="single" w:sz="6" w:space="0" w:color="000000"/>
              <w:right w:val="single" w:sz="2" w:space="0" w:color="000000"/>
            </w:tcBorders>
            <w:shd w:fill="FFFFFF" w:val="clear"/>
            <w:vAlign w:val="center"/>
          </w:tcPr>
          <w:p>
            <w:pPr>
              <w:pStyle w:val="Normal"/>
              <w:widowControl w:val="false"/>
              <w:shd w:val="clear" w:fill="FFFFFF"/>
              <w:jc w:val="center"/>
              <w:rPr>
                <w:rFonts w:ascii="Times New Roman" w:hAnsi="Times New Roman"/>
              </w:rPr>
            </w:pPr>
            <w:r>
              <w:rPr/>
              <w:t>Перечень (наименование) вы</w:t>
              <w:softHyphen/>
              <w:t>полняемых работ</w:t>
            </w:r>
          </w:p>
        </w:tc>
        <w:tc>
          <w:tcPr>
            <w:tcW w:w="1653" w:type="dxa"/>
            <w:tcBorders>
              <w:top w:val="single" w:sz="6" w:space="0" w:color="000000"/>
              <w:left w:val="single" w:sz="2" w:space="0" w:color="000000"/>
              <w:bottom w:val="single" w:sz="6" w:space="0" w:color="000000"/>
              <w:right w:val="single" w:sz="6" w:space="0" w:color="000000"/>
            </w:tcBorders>
            <w:shd w:fill="FFFFFF" w:val="clear"/>
            <w:vAlign w:val="center"/>
          </w:tcPr>
          <w:p>
            <w:pPr>
              <w:pStyle w:val="Normal"/>
              <w:widowControl w:val="false"/>
              <w:shd w:val="clear" w:fill="FFFFFF"/>
              <w:jc w:val="center"/>
              <w:rPr>
                <w:rFonts w:ascii="Times New Roman" w:hAnsi="Times New Roman"/>
              </w:rPr>
            </w:pPr>
            <w:r>
              <w:rPr/>
              <w:t>Ссылка на № смет и расче</w:t>
              <w:softHyphen/>
              <w:t>тов</w:t>
            </w:r>
          </w:p>
        </w:tc>
        <w:tc>
          <w:tcPr>
            <w:tcW w:w="3775" w:type="dxa"/>
            <w:tcBorders>
              <w:top w:val="single" w:sz="6" w:space="0" w:color="000000"/>
              <w:left w:val="single" w:sz="6" w:space="0" w:color="000000"/>
              <w:bottom w:val="single" w:sz="2" w:space="0" w:color="000000"/>
              <w:right w:val="single" w:sz="6" w:space="0" w:color="000000"/>
            </w:tcBorders>
            <w:shd w:fill="FFFFFF" w:val="clear"/>
            <w:vAlign w:val="center"/>
          </w:tcPr>
          <w:p>
            <w:pPr>
              <w:pStyle w:val="Normal"/>
              <w:widowControl w:val="false"/>
              <w:shd w:val="clear" w:fill="FFFFFF"/>
              <w:jc w:val="center"/>
              <w:rPr>
                <w:rFonts w:ascii="Times New Roman" w:hAnsi="Times New Roman"/>
              </w:rPr>
            </w:pPr>
            <w:r>
              <w:rPr/>
              <w:t>Стоимость работ</w:t>
            </w:r>
          </w:p>
          <w:p>
            <w:pPr>
              <w:pStyle w:val="Normal"/>
              <w:widowControl w:val="false"/>
              <w:shd w:val="clear" w:fill="FFFFFF"/>
              <w:jc w:val="center"/>
              <w:rPr>
                <w:rFonts w:ascii="Times New Roman" w:hAnsi="Times New Roman"/>
              </w:rPr>
            </w:pPr>
            <w:r>
              <w:rPr/>
            </w:r>
          </w:p>
        </w:tc>
      </w:tr>
      <w:tr>
        <w:trPr>
          <w:tblHeader w:val="true"/>
        </w:trPr>
        <w:tc>
          <w:tcPr>
            <w:tcW w:w="513" w:type="dxa"/>
            <w:tcBorders>
              <w:top w:val="single" w:sz="6" w:space="0" w:color="000000"/>
              <w:left w:val="single" w:sz="6" w:space="0" w:color="000000"/>
              <w:bottom w:val="single" w:sz="6" w:space="0" w:color="000000"/>
              <w:right w:val="single" w:sz="2" w:space="0" w:color="000000"/>
            </w:tcBorders>
            <w:shd w:fill="FFFFFF" w:val="clear"/>
            <w:vAlign w:val="center"/>
          </w:tcPr>
          <w:p>
            <w:pPr>
              <w:pStyle w:val="Normal"/>
              <w:widowControl w:val="false"/>
              <w:shd w:val="clear" w:fill="FFFFFF"/>
              <w:jc w:val="center"/>
              <w:rPr>
                <w:rFonts w:ascii="Times New Roman" w:hAnsi="Times New Roman"/>
              </w:rPr>
            </w:pPr>
            <w:r>
              <w:rPr/>
              <w:t>1</w:t>
            </w:r>
          </w:p>
        </w:tc>
        <w:tc>
          <w:tcPr>
            <w:tcW w:w="3979" w:type="dxa"/>
            <w:tcBorders>
              <w:top w:val="single" w:sz="6" w:space="0" w:color="000000"/>
              <w:left w:val="single" w:sz="2" w:space="0" w:color="000000"/>
              <w:bottom w:val="single" w:sz="6" w:space="0" w:color="000000"/>
              <w:right w:val="single" w:sz="2" w:space="0" w:color="000000"/>
            </w:tcBorders>
            <w:shd w:fill="FFFFFF" w:val="clear"/>
            <w:vAlign w:val="center"/>
          </w:tcPr>
          <w:p>
            <w:pPr>
              <w:pStyle w:val="Normal"/>
              <w:widowControl w:val="false"/>
              <w:shd w:val="clear" w:fill="FFFFFF"/>
              <w:jc w:val="center"/>
              <w:rPr>
                <w:lang w:val="en-US"/>
              </w:rPr>
            </w:pPr>
            <w:r>
              <w:rPr/>
              <w:t>2</w:t>
            </w:r>
          </w:p>
        </w:tc>
        <w:tc>
          <w:tcPr>
            <w:tcW w:w="1653" w:type="dxa"/>
            <w:tcBorders>
              <w:top w:val="single" w:sz="6" w:space="0" w:color="000000"/>
              <w:left w:val="single" w:sz="2" w:space="0" w:color="000000"/>
              <w:bottom w:val="single" w:sz="6" w:space="0" w:color="000000"/>
              <w:right w:val="single" w:sz="6" w:space="0" w:color="000000"/>
            </w:tcBorders>
            <w:shd w:fill="FFFFFF" w:val="clear"/>
            <w:vAlign w:val="center"/>
          </w:tcPr>
          <w:p>
            <w:pPr>
              <w:pStyle w:val="Normal"/>
              <w:widowControl w:val="false"/>
              <w:shd w:val="clear" w:fill="FFFFFF"/>
              <w:jc w:val="center"/>
              <w:rPr>
                <w:rFonts w:ascii="Times New Roman" w:hAnsi="Times New Roman"/>
              </w:rPr>
            </w:pPr>
            <w:r>
              <w:rPr/>
              <w:t>3</w:t>
            </w:r>
          </w:p>
        </w:tc>
        <w:tc>
          <w:tcPr>
            <w:tcW w:w="3775" w:type="dxa"/>
            <w:tcBorders>
              <w:top w:val="single" w:sz="6" w:space="0" w:color="000000"/>
              <w:left w:val="single" w:sz="6" w:space="0" w:color="000000"/>
              <w:bottom w:val="single" w:sz="6" w:space="0" w:color="000000"/>
              <w:right w:val="single" w:sz="6" w:space="0" w:color="000000"/>
            </w:tcBorders>
            <w:shd w:fill="FFFFFF" w:val="clear"/>
            <w:vAlign w:val="center"/>
          </w:tcPr>
          <w:p>
            <w:pPr>
              <w:pStyle w:val="Normal"/>
              <w:widowControl w:val="false"/>
              <w:shd w:val="clear" w:fill="FFFFFF"/>
              <w:jc w:val="center"/>
              <w:rPr>
                <w:lang w:val="en-US"/>
              </w:rPr>
            </w:pPr>
            <w:r>
              <w:rPr/>
              <w:t>4</w:t>
            </w:r>
          </w:p>
        </w:tc>
      </w:tr>
      <w:tr>
        <w:trPr>
          <w:trHeight w:val="1" w:hRule="exact"/>
        </w:trPr>
        <w:tc>
          <w:tcPr>
            <w:tcW w:w="513" w:type="dxa"/>
            <w:tcBorders>
              <w:top w:val="single" w:sz="6" w:space="0" w:color="000000"/>
              <w:left w:val="single" w:sz="6" w:space="0" w:color="000000"/>
              <w:bottom w:val="single" w:sz="2" w:space="0" w:color="000000"/>
              <w:right w:val="single" w:sz="2" w:space="0" w:color="000000"/>
            </w:tcBorders>
            <w:shd w:fill="FFFFFF" w:val="clear"/>
          </w:tcPr>
          <w:p>
            <w:pPr>
              <w:pStyle w:val="Normal"/>
              <w:widowControl w:val="false"/>
              <w:shd w:val="clear" w:fill="FFFFFF"/>
              <w:rPr>
                <w:rFonts w:ascii="Times New Roman" w:hAnsi="Times New Roman"/>
              </w:rPr>
            </w:pPr>
            <w:r>
              <w:rPr/>
            </w:r>
          </w:p>
        </w:tc>
        <w:tc>
          <w:tcPr>
            <w:tcW w:w="3979" w:type="dxa"/>
            <w:tcBorders>
              <w:top w:val="single" w:sz="6" w:space="0" w:color="000000"/>
              <w:left w:val="single" w:sz="2" w:space="0" w:color="000000"/>
              <w:bottom w:val="single" w:sz="2" w:space="0" w:color="000000"/>
              <w:right w:val="single" w:sz="2" w:space="0" w:color="000000"/>
            </w:tcBorders>
            <w:shd w:fill="FFFFFF" w:val="clear"/>
          </w:tcPr>
          <w:p>
            <w:pPr>
              <w:pStyle w:val="Normal"/>
              <w:widowControl w:val="false"/>
              <w:shd w:val="clear" w:fill="FFFFFF"/>
              <w:rPr>
                <w:rFonts w:ascii="Times New Roman" w:hAnsi="Times New Roman"/>
              </w:rPr>
            </w:pPr>
            <w:r>
              <w:rPr/>
            </w:r>
          </w:p>
        </w:tc>
        <w:tc>
          <w:tcPr>
            <w:tcW w:w="1653" w:type="dxa"/>
            <w:tcBorders>
              <w:top w:val="single" w:sz="6" w:space="0" w:color="000000"/>
              <w:left w:val="single" w:sz="2" w:space="0" w:color="000000"/>
              <w:bottom w:val="single" w:sz="2" w:space="0" w:color="000000"/>
              <w:right w:val="single" w:sz="6" w:space="0" w:color="000000"/>
            </w:tcBorders>
            <w:shd w:fill="FFFFFF" w:val="clear"/>
          </w:tcPr>
          <w:p>
            <w:pPr>
              <w:pStyle w:val="Normal"/>
              <w:widowControl w:val="false"/>
              <w:shd w:val="clear" w:fill="FFFFFF"/>
              <w:rPr>
                <w:rFonts w:ascii="Times New Roman" w:hAnsi="Times New Roman"/>
              </w:rPr>
            </w:pPr>
            <w:r>
              <w:rPr/>
            </w:r>
          </w:p>
        </w:tc>
        <w:tc>
          <w:tcPr>
            <w:tcW w:w="3775" w:type="dxa"/>
            <w:tcBorders>
              <w:top w:val="single" w:sz="6" w:space="0" w:color="000000"/>
              <w:left w:val="single" w:sz="6" w:space="0" w:color="000000"/>
              <w:bottom w:val="single" w:sz="2" w:space="0" w:color="000000"/>
              <w:right w:val="single" w:sz="6" w:space="0" w:color="000000"/>
            </w:tcBorders>
            <w:shd w:fill="FFFFFF" w:val="clear"/>
          </w:tcPr>
          <w:p>
            <w:pPr>
              <w:pStyle w:val="Normal"/>
              <w:widowControl w:val="false"/>
              <w:shd w:val="clear" w:fill="FFFFFF"/>
              <w:rPr>
                <w:rFonts w:ascii="Times New Roman" w:hAnsi="Times New Roman"/>
              </w:rPr>
            </w:pPr>
            <w:r>
              <w:rPr/>
            </w:r>
          </w:p>
        </w:tc>
      </w:tr>
      <w:tr>
        <w:trPr>
          <w:trHeight w:val="1" w:hRule="exact"/>
        </w:trPr>
        <w:tc>
          <w:tcPr>
            <w:tcW w:w="513" w:type="dxa"/>
            <w:tcBorders>
              <w:top w:val="single" w:sz="2" w:space="0" w:color="000000"/>
              <w:left w:val="single" w:sz="6" w:space="0" w:color="000000"/>
              <w:bottom w:val="single" w:sz="6" w:space="0" w:color="000000"/>
              <w:right w:val="single" w:sz="2" w:space="0" w:color="000000"/>
            </w:tcBorders>
            <w:shd w:fill="FFFFFF" w:val="clear"/>
          </w:tcPr>
          <w:p>
            <w:pPr>
              <w:pStyle w:val="Normal"/>
              <w:widowControl w:val="false"/>
              <w:shd w:val="clear" w:fill="FFFFFF"/>
              <w:rPr>
                <w:rFonts w:ascii="Times New Roman" w:hAnsi="Times New Roman"/>
              </w:rPr>
            </w:pPr>
            <w:r>
              <w:rPr/>
            </w:r>
          </w:p>
        </w:tc>
        <w:tc>
          <w:tcPr>
            <w:tcW w:w="3979" w:type="dxa"/>
            <w:tcBorders>
              <w:top w:val="single" w:sz="2" w:space="0" w:color="000000"/>
              <w:left w:val="single" w:sz="2" w:space="0" w:color="000000"/>
              <w:bottom w:val="single" w:sz="6" w:space="0" w:color="000000"/>
              <w:right w:val="single" w:sz="2" w:space="0" w:color="000000"/>
            </w:tcBorders>
            <w:shd w:fill="FFFFFF" w:val="clear"/>
          </w:tcPr>
          <w:p>
            <w:pPr>
              <w:pStyle w:val="Normal"/>
              <w:widowControl w:val="false"/>
              <w:shd w:val="clear" w:fill="FFFFFF"/>
              <w:rPr>
                <w:rFonts w:ascii="Times New Roman" w:hAnsi="Times New Roman"/>
              </w:rPr>
            </w:pPr>
            <w:r>
              <w:rPr/>
            </w:r>
          </w:p>
        </w:tc>
        <w:tc>
          <w:tcPr>
            <w:tcW w:w="1653" w:type="dxa"/>
            <w:tcBorders>
              <w:top w:val="single" w:sz="2" w:space="0" w:color="000000"/>
              <w:left w:val="single" w:sz="2" w:space="0" w:color="000000"/>
              <w:bottom w:val="single" w:sz="6" w:space="0" w:color="000000"/>
              <w:right w:val="single" w:sz="6" w:space="0" w:color="000000"/>
            </w:tcBorders>
            <w:shd w:fill="FFFFFF" w:val="clear"/>
          </w:tcPr>
          <w:p>
            <w:pPr>
              <w:pStyle w:val="Normal"/>
              <w:widowControl w:val="false"/>
              <w:shd w:val="clear" w:fill="FFFFFF"/>
              <w:rPr>
                <w:rFonts w:ascii="Times New Roman" w:hAnsi="Times New Roman"/>
              </w:rPr>
            </w:pPr>
            <w:r>
              <w:rPr/>
            </w:r>
          </w:p>
        </w:tc>
        <w:tc>
          <w:tcPr>
            <w:tcW w:w="3775" w:type="dxa"/>
            <w:tcBorders>
              <w:top w:val="single" w:sz="2" w:space="0" w:color="000000"/>
              <w:left w:val="single" w:sz="6" w:space="0" w:color="000000"/>
              <w:bottom w:val="single" w:sz="6" w:space="0" w:color="000000"/>
              <w:right w:val="single" w:sz="6" w:space="0" w:color="000000"/>
            </w:tcBorders>
            <w:shd w:fill="FFFFFF" w:val="clear"/>
          </w:tcPr>
          <w:p>
            <w:pPr>
              <w:pStyle w:val="Normal"/>
              <w:widowControl w:val="false"/>
              <w:shd w:val="clear" w:fill="FFFFFF"/>
              <w:rPr>
                <w:rFonts w:ascii="Times New Roman" w:hAnsi="Times New Roman"/>
              </w:rPr>
            </w:pPr>
            <w:r>
              <w:rPr/>
            </w:r>
          </w:p>
        </w:tc>
      </w:tr>
    </w:tbl>
    <w:p>
      <w:pPr>
        <w:pStyle w:val="Normal"/>
        <w:shd w:val="clear" w:fill="FFFFFF"/>
        <w:rPr>
          <w:rFonts w:ascii="Times New Roman" w:hAnsi="Times New Roman"/>
        </w:rPr>
      </w:pPr>
      <w:r>
        <w:rPr/>
      </w:r>
    </w:p>
    <w:p>
      <w:pPr>
        <w:pStyle w:val="Normal"/>
        <w:shd w:val="clear" w:fill="FFFFFF"/>
        <w:rPr>
          <w:rFonts w:ascii="Times New Roman" w:hAnsi="Times New Roman"/>
        </w:rPr>
      </w:pPr>
      <w:r>
        <w:rPr/>
        <w:t>Итого по смете ___________________________________________________</w:t>
      </w:r>
    </w:p>
    <w:p>
      <w:pPr>
        <w:pStyle w:val="Normal"/>
        <w:shd w:val="clear" w:fill="FFFFFF"/>
        <w:ind w:left="0" w:right="0" w:firstLine="1845"/>
        <w:jc w:val="center"/>
        <w:rPr>
          <w:rFonts w:ascii="Times New Roman" w:hAnsi="Times New Roman"/>
        </w:rPr>
      </w:pPr>
      <w:r>
        <w:rPr/>
        <w:t>(сумма прописью)</w:t>
      </w:r>
    </w:p>
    <w:p>
      <w:pPr>
        <w:pStyle w:val="Normal"/>
        <w:shd w:val="clear" w:fill="FFFFFF"/>
        <w:spacing w:before="480" w:after="0"/>
        <w:rPr>
          <w:rFonts w:ascii="Times New Roman" w:hAnsi="Times New Roman"/>
        </w:rPr>
      </w:pPr>
      <w:r>
        <w:rPr/>
        <w:t>Составил:            /должность, организация/                     /подпись/   /расшифровка подписи/</w:t>
      </w:r>
    </w:p>
    <w:p>
      <w:pPr>
        <w:pStyle w:val="Normal"/>
        <w:shd w:val="clear" w:fill="FFFFFF"/>
        <w:spacing w:before="480" w:after="0"/>
        <w:rPr>
          <w:rFonts w:ascii="Times New Roman" w:hAnsi="Times New Roman"/>
        </w:rPr>
      </w:pPr>
      <w:r>
        <w:rPr/>
      </w:r>
    </w:p>
    <w:p>
      <w:pPr>
        <w:sectPr>
          <w:headerReference w:type="default" r:id="rId65"/>
          <w:headerReference w:type="first" r:id="rId66"/>
          <w:footerReference w:type="default" r:id="rId67"/>
          <w:footerReference w:type="first" r:id="rId68"/>
          <w:type w:val="nextPage"/>
          <w:pgSz w:w="11906" w:h="16838"/>
          <w:pgMar w:left="1134" w:right="851" w:gutter="0" w:header="680" w:top="1134" w:footer="0" w:bottom="992"/>
          <w:pgNumType w:fmt="decimal"/>
          <w:formProt w:val="false"/>
          <w:textDirection w:val="lrTb"/>
          <w:docGrid w:type="default" w:linePitch="360" w:charSpace="0"/>
        </w:sectPr>
        <w:pStyle w:val="Normal"/>
        <w:jc w:val="left"/>
        <w:rPr>
          <w:rFonts w:ascii="Times New Roman" w:hAnsi="Times New Roman"/>
          <w:lang w:val="en-US"/>
        </w:rPr>
      </w:pPr>
      <w:r>
        <w:rPr>
          <w:rStyle w:val="Style15"/>
          <w:lang w:val="en-US"/>
        </w:rPr>
        <w:t>Проверил:            /должность, организация/                 /подпись/   /расшифровка подписи/</w:t>
      </w:r>
    </w:p>
    <w:p>
      <w:pPr>
        <w:pStyle w:val="Normal"/>
        <w:jc w:val="right"/>
        <w:rPr>
          <w:rStyle w:val="Style15"/>
          <w:rFonts w:ascii="Times New Roman" w:hAnsi="Times New Roman"/>
        </w:rPr>
      </w:pPr>
      <w:r>
        <w:rPr/>
      </w:r>
      <w:bookmarkStart w:id="115" w:name="_Hlk136866684"/>
      <w:bookmarkStart w:id="116" w:name="_Hlk136866684"/>
      <w:bookmarkEnd w:id="116"/>
    </w:p>
    <w:tbl>
      <w:tblPr>
        <w:tblW w:w="15213" w:type="dxa"/>
        <w:jc w:val="left"/>
        <w:tblInd w:w="-30" w:type="dxa"/>
        <w:tblLayout w:type="fixed"/>
        <w:tblCellMar>
          <w:top w:w="0" w:type="dxa"/>
          <w:left w:w="30" w:type="dxa"/>
          <w:bottom w:w="0" w:type="dxa"/>
          <w:right w:w="30" w:type="dxa"/>
        </w:tblCellMar>
      </w:tblPr>
      <w:tblGrid>
        <w:gridCol w:w="429"/>
        <w:gridCol w:w="1244"/>
        <w:gridCol w:w="788"/>
        <w:gridCol w:w="563"/>
        <w:gridCol w:w="1314"/>
        <w:gridCol w:w="1123"/>
        <w:gridCol w:w="1202"/>
        <w:gridCol w:w="785"/>
        <w:gridCol w:w="569"/>
        <w:gridCol w:w="1021"/>
        <w:gridCol w:w="1250"/>
        <w:gridCol w:w="962"/>
        <w:gridCol w:w="961"/>
        <w:gridCol w:w="1138"/>
        <w:gridCol w:w="514"/>
        <w:gridCol w:w="624"/>
        <w:gridCol w:w="726"/>
      </w:tblGrid>
      <w:tr>
        <w:trPr/>
        <w:tc>
          <w:tcPr>
            <w:tcW w:w="15213" w:type="dxa"/>
            <w:gridSpan w:val="17"/>
            <w:tcBorders/>
          </w:tcPr>
          <w:p>
            <w:pPr>
              <w:pStyle w:val="Normal"/>
              <w:widowControl w:val="false"/>
              <w:spacing w:before="0" w:after="200"/>
              <w:jc w:val="right"/>
              <w:rPr>
                <w:b w:val="false"/>
                <w:bCs w:val="false"/>
                <w:sz w:val="16"/>
                <w:szCs w:val="16"/>
                <w:shd w:fill="auto" w:val="clear"/>
              </w:rPr>
            </w:pPr>
            <w:r>
              <w:rPr>
                <w:b w:val="false"/>
                <w:bCs w:val="false"/>
                <w:sz w:val="16"/>
                <w:szCs w:val="16"/>
                <w:shd w:fill="auto" w:val="clear"/>
              </w:rPr>
              <w:t>Приложение № 3</w:t>
            </w:r>
          </w:p>
        </w:tc>
      </w:tr>
      <w:tr>
        <w:trPr/>
        <w:tc>
          <w:tcPr>
            <w:tcW w:w="15213" w:type="dxa"/>
            <w:gridSpan w:val="17"/>
            <w:tcBorders/>
          </w:tcPr>
          <w:p>
            <w:pPr>
              <w:pStyle w:val="BodyText"/>
              <w:widowControl w:val="false"/>
              <w:spacing w:lineRule="atLeast" w:line="0"/>
              <w:jc w:val="right"/>
              <w:rPr>
                <w:sz w:val="20"/>
                <w:szCs w:val="20"/>
                <w:shd w:fill="auto" w:val="clear"/>
              </w:rPr>
            </w:pPr>
            <w:r>
              <w:rPr>
                <w:sz w:val="20"/>
                <w:szCs w:val="20"/>
                <w:shd w:fill="auto" w:val="clear"/>
              </w:rPr>
              <w:t xml:space="preserve">к Требованиям к оформлению и составлению сметной документации </w:t>
            </w:r>
          </w:p>
          <w:p>
            <w:pPr>
              <w:pStyle w:val="BodyText"/>
              <w:widowControl w:val="false"/>
              <w:spacing w:lineRule="atLeast" w:line="0"/>
              <w:jc w:val="right"/>
              <w:rPr/>
            </w:pPr>
            <w:r>
              <w:rPr>
                <w:sz w:val="20"/>
                <w:szCs w:val="20"/>
                <w:shd w:fill="auto" w:val="clear"/>
              </w:rPr>
              <w:t xml:space="preserve">на работы по </w:t>
            </w:r>
            <w:r>
              <w:rPr>
                <w:b w:val="false"/>
                <w:bCs w:val="false"/>
                <w:sz w:val="20"/>
                <w:szCs w:val="20"/>
                <w:shd w:fill="auto" w:val="clear"/>
              </w:rPr>
              <w:t>программе</w:t>
            </w:r>
            <w:r>
              <w:rPr>
                <w:sz w:val="20"/>
                <w:szCs w:val="20"/>
                <w:shd w:fill="auto" w:val="clear"/>
              </w:rPr>
              <w:t xml:space="preserve"> </w:t>
            </w:r>
            <w:r>
              <w:rPr>
                <w:rStyle w:val="Style15"/>
                <w:color w:val="000000"/>
                <w:sz w:val="20"/>
                <w:szCs w:val="20"/>
                <w:shd w:fill="auto" w:val="clear"/>
              </w:rPr>
              <w:t xml:space="preserve">ремонтов, реконструкции и </w:t>
            </w:r>
          </w:p>
          <w:p>
            <w:pPr>
              <w:pStyle w:val="BodyText"/>
              <w:widowControl w:val="false"/>
              <w:spacing w:lineRule="atLeast" w:line="0" w:before="0" w:after="120"/>
              <w:jc w:val="right"/>
              <w:rPr/>
            </w:pPr>
            <w:r>
              <w:rPr>
                <w:rStyle w:val="Style15"/>
                <w:sz w:val="20"/>
                <w:szCs w:val="20"/>
                <w:shd w:fill="auto" w:val="clear"/>
              </w:rPr>
              <w:t>техническому перевооружению</w:t>
            </w:r>
          </w:p>
        </w:tc>
      </w:tr>
      <w:tr>
        <w:trPr/>
        <w:tc>
          <w:tcPr>
            <w:tcW w:w="13863" w:type="dxa"/>
            <w:gridSpan w:val="15"/>
            <w:tcBorders/>
          </w:tcPr>
          <w:p>
            <w:pPr>
              <w:pStyle w:val="Normal"/>
              <w:widowControl w:val="false"/>
              <w:spacing w:before="0" w:after="200"/>
              <w:jc w:val="center"/>
              <w:rPr>
                <w:sz w:val="20"/>
                <w:szCs w:val="20"/>
                <w:shd w:fill="auto" w:val="clear"/>
              </w:rPr>
            </w:pPr>
            <w:r>
              <w:rPr>
                <w:rFonts w:eastAsia="Calibri" w:cs="Calibri"/>
                <w:b w:val="false"/>
                <w:bCs w:val="false"/>
                <w:i/>
                <w:sz w:val="20"/>
                <w:szCs w:val="20"/>
                <w:shd w:fill="auto" w:val="clear"/>
              </w:rPr>
              <w:t xml:space="preserve">                                                </w:t>
            </w:r>
            <w:r>
              <w:rPr>
                <w:b w:val="false"/>
                <w:bCs w:val="false"/>
                <w:i/>
                <w:sz w:val="20"/>
                <w:szCs w:val="20"/>
                <w:shd w:fill="auto" w:val="clear"/>
              </w:rPr>
              <w:t>ПРИМЕР</w:t>
            </w:r>
          </w:p>
        </w:tc>
        <w:tc>
          <w:tcPr>
            <w:tcW w:w="1350" w:type="dxa"/>
            <w:gridSpan w:val="2"/>
            <w:tcBorders/>
          </w:tcPr>
          <w:p>
            <w:pPr>
              <w:pStyle w:val="Normal"/>
              <w:widowControl w:val="false"/>
              <w:snapToGrid w:val="false"/>
              <w:spacing w:before="0" w:after="200"/>
              <w:jc w:val="left"/>
              <w:rPr>
                <w:b w:val="false"/>
                <w:bCs w:val="false"/>
                <w:sz w:val="20"/>
                <w:szCs w:val="20"/>
                <w:shd w:fill="auto" w:val="clear"/>
              </w:rPr>
            </w:pPr>
            <w:r>
              <w:rPr>
                <w:b w:val="false"/>
                <w:bCs w:val="false"/>
                <w:sz w:val="20"/>
                <w:szCs w:val="20"/>
                <w:shd w:fill="auto" w:val="clear"/>
              </w:rPr>
            </w:r>
          </w:p>
        </w:tc>
      </w:tr>
      <w:tr>
        <w:trPr/>
        <w:tc>
          <w:tcPr>
            <w:tcW w:w="15213" w:type="dxa"/>
            <w:gridSpan w:val="17"/>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Расчет метода анализа ТКП</w:t>
            </w:r>
          </w:p>
        </w:tc>
      </w:tr>
      <w:tr>
        <w:trPr/>
        <w:tc>
          <w:tcPr>
            <w:tcW w:w="429"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4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8"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563"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13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23"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0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5"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59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50"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1"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38"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5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pacing w:before="0" w:after="200"/>
              <w:jc w:val="center"/>
              <w:rPr>
                <w:shd w:fill="auto" w:val="clear"/>
              </w:rPr>
            </w:pPr>
            <w:r>
              <w:rPr>
                <w:b w:val="false"/>
                <w:bCs w:val="false"/>
                <w:sz w:val="16"/>
                <w:szCs w:val="16"/>
                <w:shd w:fill="auto" w:val="clear"/>
              </w:rPr>
              <w:t>№</w:t>
            </w:r>
            <w:r>
              <w:rPr>
                <w:rFonts w:eastAsia="Calibri" w:cs="Calibri"/>
                <w:b w:val="false"/>
                <w:bCs w:val="false"/>
                <w:sz w:val="16"/>
                <w:szCs w:val="16"/>
                <w:shd w:fill="auto" w:val="clear"/>
              </w:rPr>
              <w:t xml:space="preserve"> </w:t>
            </w:r>
            <w:r>
              <w:rPr>
                <w:b w:val="false"/>
                <w:bCs w:val="false"/>
                <w:sz w:val="16"/>
                <w:szCs w:val="16"/>
                <w:shd w:fill="auto" w:val="clear"/>
              </w:rPr>
              <w:t>п/п</w:t>
            </w:r>
          </w:p>
        </w:tc>
        <w:tc>
          <w:tcPr>
            <w:tcW w:w="1244"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Наименование планируемой к закупке продук</w:t>
              <w:softHyphen/>
              <w:t>ции</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Единица измерения</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Требуемое коли</w:t>
              <w:softHyphen/>
              <w:t>чество</w:t>
            </w:r>
          </w:p>
        </w:tc>
        <w:tc>
          <w:tcPr>
            <w:tcW w:w="3639" w:type="dxa"/>
            <w:gridSpan w:val="3"/>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Источник информации-1</w:t>
            </w:r>
          </w:p>
        </w:tc>
        <w:tc>
          <w:tcPr>
            <w:tcW w:w="3625" w:type="dxa"/>
            <w:gridSpan w:val="4"/>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Источник информации-2</w:t>
            </w:r>
          </w:p>
        </w:tc>
        <w:tc>
          <w:tcPr>
            <w:tcW w:w="3061" w:type="dxa"/>
            <w:gridSpan w:val="3"/>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Источник информации-3</w:t>
            </w:r>
          </w:p>
        </w:tc>
        <w:tc>
          <w:tcPr>
            <w:tcW w:w="1138" w:type="dxa"/>
            <w:gridSpan w:val="2"/>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Сметная цена за единицу, руб. без НДС</w:t>
              <w:br/>
            </w:r>
          </w:p>
        </w:tc>
        <w:tc>
          <w:tcPr>
            <w:tcW w:w="726"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КОММЕНТАРИЙ</w:t>
            </w:r>
          </w:p>
        </w:tc>
      </w:tr>
      <w:tr>
        <w:trPr/>
        <w:tc>
          <w:tcPr>
            <w:tcW w:w="429"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1244"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788"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563"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1314"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Наименование ис</w:t>
              <w:softHyphen/>
              <w:t>точника информа</w:t>
              <w:softHyphen/>
              <w:t>ции</w:t>
            </w:r>
          </w:p>
        </w:tc>
        <w:tc>
          <w:tcPr>
            <w:tcW w:w="112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Стоимость продукции (за единицу), руб. без НДС</w:t>
            </w:r>
          </w:p>
        </w:tc>
        <w:tc>
          <w:tcPr>
            <w:tcW w:w="1202"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Стоимость про</w:t>
              <w:softHyphen/>
              <w:t>дукции (за весь объем), руб. без НДС</w:t>
            </w:r>
          </w:p>
        </w:tc>
        <w:tc>
          <w:tcPr>
            <w:tcW w:w="1354" w:type="dxa"/>
            <w:gridSpan w:val="2"/>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Наименование ис</w:t>
              <w:softHyphen/>
              <w:t>точника информа</w:t>
              <w:softHyphen/>
              <w:t>ции</w:t>
            </w:r>
          </w:p>
        </w:tc>
        <w:tc>
          <w:tcPr>
            <w:tcW w:w="1021"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Стоимость продукции (за единицу), руб. без НДС</w:t>
            </w:r>
          </w:p>
        </w:tc>
        <w:tc>
          <w:tcPr>
            <w:tcW w:w="1250"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Стоимость про</w:t>
              <w:softHyphen/>
              <w:t>дукции (за весь объем), руб. без НДС</w:t>
            </w:r>
          </w:p>
        </w:tc>
        <w:tc>
          <w:tcPr>
            <w:tcW w:w="962"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Наименование источни</w:t>
              <w:softHyphen/>
              <w:t>ка информа</w:t>
              <w:softHyphen/>
              <w:t>ции</w:t>
            </w:r>
          </w:p>
        </w:tc>
        <w:tc>
          <w:tcPr>
            <w:tcW w:w="961"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Стоимость продукции (за единицу) с учетом ценообразующ</w:t>
              <w:softHyphen/>
              <w:t>их факто</w:t>
              <w:softHyphen/>
              <w:t>ров, тыс. руб. без НДС</w:t>
            </w:r>
          </w:p>
        </w:tc>
        <w:tc>
          <w:tcPr>
            <w:tcW w:w="113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Стоимость про</w:t>
              <w:softHyphen/>
              <w:t>дукции (за весь объем) с уче</w:t>
              <w:softHyphen/>
              <w:t>том ценообра</w:t>
              <w:softHyphen/>
              <w:t>зующих факто</w:t>
              <w:softHyphen/>
              <w:t>ров, руб. без НДС</w:t>
            </w:r>
          </w:p>
        </w:tc>
        <w:tc>
          <w:tcPr>
            <w:tcW w:w="1138" w:type="dxa"/>
            <w:gridSpan w:val="2"/>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726"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w:t>
            </w:r>
          </w:p>
        </w:tc>
        <w:tc>
          <w:tcPr>
            <w:tcW w:w="1244"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2</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3</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4</w:t>
            </w:r>
          </w:p>
        </w:tc>
        <w:tc>
          <w:tcPr>
            <w:tcW w:w="1314"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5</w:t>
            </w:r>
          </w:p>
        </w:tc>
        <w:tc>
          <w:tcPr>
            <w:tcW w:w="112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6</w:t>
            </w:r>
          </w:p>
        </w:tc>
        <w:tc>
          <w:tcPr>
            <w:tcW w:w="1202"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7</w:t>
            </w:r>
          </w:p>
        </w:tc>
        <w:tc>
          <w:tcPr>
            <w:tcW w:w="785"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8</w:t>
            </w:r>
          </w:p>
        </w:tc>
        <w:tc>
          <w:tcPr>
            <w:tcW w:w="1590" w:type="dxa"/>
            <w:gridSpan w:val="2"/>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9</w:t>
            </w:r>
          </w:p>
        </w:tc>
        <w:tc>
          <w:tcPr>
            <w:tcW w:w="1250"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10</w:t>
            </w:r>
          </w:p>
        </w:tc>
        <w:tc>
          <w:tcPr>
            <w:tcW w:w="962"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11</w:t>
            </w:r>
          </w:p>
        </w:tc>
        <w:tc>
          <w:tcPr>
            <w:tcW w:w="961"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12</w:t>
            </w:r>
          </w:p>
        </w:tc>
        <w:tc>
          <w:tcPr>
            <w:tcW w:w="113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13</w:t>
            </w:r>
          </w:p>
        </w:tc>
        <w:tc>
          <w:tcPr>
            <w:tcW w:w="1138" w:type="dxa"/>
            <w:gridSpan w:val="2"/>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14</w:t>
            </w:r>
          </w:p>
        </w:tc>
        <w:tc>
          <w:tcPr>
            <w:tcW w:w="726"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15</w:t>
            </w:r>
          </w:p>
        </w:tc>
      </w:tr>
      <w:tr>
        <w:trPr/>
        <w:tc>
          <w:tcPr>
            <w:tcW w:w="429"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w:t>
            </w:r>
          </w:p>
        </w:tc>
        <w:tc>
          <w:tcPr>
            <w:tcW w:w="124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ГАЗ-34039-32 стандартный СБХ</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маш.час</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20,00</w:t>
            </w:r>
          </w:p>
        </w:tc>
        <w:tc>
          <w:tcPr>
            <w:tcW w:w="13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ТКП ООО"___" от _____</w:t>
            </w:r>
          </w:p>
        </w:tc>
        <w:tc>
          <w:tcPr>
            <w:tcW w:w="112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500,00</w:t>
            </w:r>
          </w:p>
        </w:tc>
        <w:tc>
          <w:tcPr>
            <w:tcW w:w="1202"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10 000,00</w:t>
            </w:r>
          </w:p>
        </w:tc>
        <w:tc>
          <w:tcPr>
            <w:tcW w:w="785"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ТКП ООО"___" от _____</w:t>
            </w:r>
          </w:p>
        </w:tc>
        <w:tc>
          <w:tcPr>
            <w:tcW w:w="1590" w:type="dxa"/>
            <w:gridSpan w:val="2"/>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650,00</w:t>
            </w:r>
          </w:p>
        </w:tc>
        <w:tc>
          <w:tcPr>
            <w:tcW w:w="1250"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13 000,00</w:t>
            </w:r>
          </w:p>
        </w:tc>
        <w:tc>
          <w:tcPr>
            <w:tcW w:w="96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ТКП ООО"___" от _____</w:t>
            </w:r>
          </w:p>
        </w:tc>
        <w:tc>
          <w:tcPr>
            <w:tcW w:w="961"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580,00</w:t>
            </w:r>
          </w:p>
        </w:tc>
        <w:tc>
          <w:tcPr>
            <w:tcW w:w="113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11 600,00</w:t>
            </w:r>
          </w:p>
        </w:tc>
        <w:tc>
          <w:tcPr>
            <w:tcW w:w="514"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576,67</w:t>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2</w:t>
            </w:r>
          </w:p>
        </w:tc>
        <w:tc>
          <w:tcPr>
            <w:tcW w:w="124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Снегоболотоход  ТГ-126-06 "Ир</w:t>
              <w:softHyphen/>
              <w:t>кут"</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маш.час</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1,00</w:t>
            </w:r>
          </w:p>
        </w:tc>
        <w:tc>
          <w:tcPr>
            <w:tcW w:w="13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23"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0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785"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590" w:type="dxa"/>
            <w:gridSpan w:val="2"/>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50"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1"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38"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5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3</w:t>
            </w:r>
          </w:p>
        </w:tc>
        <w:tc>
          <w:tcPr>
            <w:tcW w:w="124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Бурильная ма</w:t>
              <w:softHyphen/>
              <w:t>шина БМ-205В на шасси МТЗ-82.1</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маш.час</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1,00</w:t>
            </w:r>
          </w:p>
        </w:tc>
        <w:tc>
          <w:tcPr>
            <w:tcW w:w="13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23"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0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785"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590" w:type="dxa"/>
            <w:gridSpan w:val="2"/>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50"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1"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38"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5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4</w:t>
            </w:r>
          </w:p>
        </w:tc>
        <w:tc>
          <w:tcPr>
            <w:tcW w:w="124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Вилочный по</w:t>
              <w:softHyphen/>
              <w:t>грузчик ТВЕКС ВП-05</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маш.час</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1,00</w:t>
            </w:r>
          </w:p>
        </w:tc>
        <w:tc>
          <w:tcPr>
            <w:tcW w:w="13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23"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0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785"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590" w:type="dxa"/>
            <w:gridSpan w:val="2"/>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50"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1"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38"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5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5</w:t>
            </w:r>
          </w:p>
        </w:tc>
        <w:tc>
          <w:tcPr>
            <w:tcW w:w="124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Шкаф автомати</w:t>
              <w:softHyphen/>
              <w:t>зации</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шт.</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1,00</w:t>
            </w:r>
          </w:p>
        </w:tc>
        <w:tc>
          <w:tcPr>
            <w:tcW w:w="13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23"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0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785"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590" w:type="dxa"/>
            <w:gridSpan w:val="2"/>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50"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1"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38"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5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6</w:t>
            </w:r>
          </w:p>
        </w:tc>
        <w:tc>
          <w:tcPr>
            <w:tcW w:w="124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Кабель силовой …..</w:t>
            </w:r>
          </w:p>
        </w:tc>
        <w:tc>
          <w:tcPr>
            <w:tcW w:w="788"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шт.</w:t>
            </w:r>
          </w:p>
        </w:tc>
        <w:tc>
          <w:tcPr>
            <w:tcW w:w="563" w:type="dxa"/>
            <w:tcBorders/>
          </w:tcPr>
          <w:p>
            <w:pPr>
              <w:pStyle w:val="Normal"/>
              <w:widowControl w:val="false"/>
              <w:spacing w:before="0" w:after="200"/>
              <w:jc w:val="center"/>
              <w:rPr>
                <w:b w:val="false"/>
                <w:bCs w:val="false"/>
                <w:sz w:val="16"/>
                <w:szCs w:val="16"/>
                <w:shd w:fill="auto" w:val="clear"/>
              </w:rPr>
            </w:pPr>
            <w:r>
              <w:rPr>
                <w:b w:val="false"/>
                <w:bCs w:val="false"/>
                <w:sz w:val="16"/>
                <w:szCs w:val="16"/>
                <w:shd w:fill="auto" w:val="clear"/>
              </w:rPr>
              <w:t>1,00</w:t>
            </w:r>
          </w:p>
        </w:tc>
        <w:tc>
          <w:tcPr>
            <w:tcW w:w="13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23"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0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785"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590" w:type="dxa"/>
            <w:gridSpan w:val="2"/>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250"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2"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961"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138"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514" w:type="dxa"/>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w:t>
            </w:r>
            <w:r>
              <w:rPr>
                <w:b w:val="false"/>
                <w:bCs w:val="false"/>
                <w:sz w:val="16"/>
                <w:szCs w:val="16"/>
                <w:shd w:fill="auto" w:val="clear"/>
              </w:rPr>
              <w:t>..</w:t>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4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8"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563"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13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23"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0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5"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59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50"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1"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38"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5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4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8"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563"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13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23"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0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5"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59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50"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1"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38"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5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4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8"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563" w:type="dxa"/>
            <w:tcBorders/>
          </w:tcPr>
          <w:p>
            <w:pPr>
              <w:pStyle w:val="Normal"/>
              <w:widowControl w:val="false"/>
              <w:snapToGrid w:val="false"/>
              <w:spacing w:before="0" w:after="200"/>
              <w:jc w:val="center"/>
              <w:rPr>
                <w:b w:val="false"/>
                <w:bCs w:val="false"/>
                <w:sz w:val="16"/>
                <w:szCs w:val="16"/>
                <w:shd w:fill="auto" w:val="clear"/>
              </w:rPr>
            </w:pPr>
            <w:r>
              <w:rPr>
                <w:b w:val="false"/>
                <w:bCs w:val="false"/>
                <w:sz w:val="16"/>
                <w:szCs w:val="16"/>
                <w:shd w:fill="auto" w:val="clear"/>
              </w:rPr>
            </w:r>
          </w:p>
        </w:tc>
        <w:tc>
          <w:tcPr>
            <w:tcW w:w="13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23"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0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785"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59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250"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2"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961"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138"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514"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350" w:type="dxa"/>
            <w:gridSpan w:val="2"/>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r>
      <w:tr>
        <w:trPr/>
        <w:tc>
          <w:tcPr>
            <w:tcW w:w="429" w:type="dxa"/>
            <w:tcBorders/>
          </w:tcPr>
          <w:p>
            <w:pPr>
              <w:pStyle w:val="Normal"/>
              <w:widowControl w:val="false"/>
              <w:snapToGrid w:val="false"/>
              <w:spacing w:before="0" w:after="200"/>
              <w:jc w:val="left"/>
              <w:rPr>
                <w:b w:val="false"/>
                <w:bCs w:val="false"/>
                <w:sz w:val="16"/>
                <w:szCs w:val="16"/>
                <w:shd w:fill="auto" w:val="clear"/>
              </w:rPr>
            </w:pPr>
            <w:r>
              <w:rPr>
                <w:b w:val="false"/>
                <w:bCs w:val="false"/>
                <w:sz w:val="16"/>
                <w:szCs w:val="16"/>
                <w:shd w:fill="auto" w:val="clear"/>
              </w:rPr>
            </w:r>
          </w:p>
        </w:tc>
        <w:tc>
          <w:tcPr>
            <w:tcW w:w="14784" w:type="dxa"/>
            <w:gridSpan w:val="16"/>
            <w:tcBorders/>
          </w:tcPr>
          <w:p>
            <w:pPr>
              <w:pStyle w:val="Normal"/>
              <w:widowControl w:val="false"/>
              <w:spacing w:before="0" w:after="200"/>
              <w:jc w:val="left"/>
              <w:rPr>
                <w:b w:val="false"/>
                <w:bCs w:val="false"/>
                <w:sz w:val="16"/>
                <w:szCs w:val="16"/>
                <w:shd w:fill="auto" w:val="clear"/>
              </w:rPr>
            </w:pPr>
            <w:r>
              <w:rPr>
                <w:b w:val="false"/>
                <w:bCs w:val="false"/>
                <w:sz w:val="16"/>
                <w:szCs w:val="16"/>
                <w:shd w:fill="auto" w:val="clear"/>
              </w:rPr>
              <w:t>* Если, в связи с условиями рынка получение ценовой информации из трех и более источников информации невозможно – рассчитать цену, как среднее арифметическое из полученных предложений (при олиго</w:t>
              <w:softHyphen/>
              <w:t>польном рынке) или принять единственное предложение (при монопольном рынке) (с указанием соответствующих пояснений).</w:t>
            </w:r>
          </w:p>
        </w:tc>
      </w:tr>
    </w:tbl>
    <w:p>
      <w:pPr>
        <w:pStyle w:val="Normal"/>
        <w:rPr/>
      </w:pPr>
      <w:r>
        <w:rPr/>
      </w:r>
    </w:p>
    <w:p>
      <w:pPr>
        <w:pStyle w:val="Normal"/>
        <w:pageBreakBefore w:val="false"/>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08"/>
        </w:tabs>
        <w:jc w:val="right"/>
        <w:rPr/>
      </w:pPr>
      <w:r>
        <w:rPr/>
        <w:t>Приложение № 4</w:t>
      </w:r>
    </w:p>
    <w:p>
      <w:pPr>
        <w:pStyle w:val="Normal"/>
        <w:tabs>
          <w:tab w:val="clear" w:pos="708"/>
        </w:tabs>
        <w:jc w:val="right"/>
        <w:rPr/>
      </w:pPr>
      <w:r>
        <w:rPr/>
        <w:t xml:space="preserve">к Требованиям к оформлению и составлению </w:t>
      </w:r>
    </w:p>
    <w:p>
      <w:pPr>
        <w:pStyle w:val="Normal"/>
        <w:tabs>
          <w:tab w:val="clear" w:pos="708"/>
        </w:tabs>
        <w:jc w:val="right"/>
        <w:rPr/>
      </w:pPr>
      <w:r>
        <w:rPr/>
        <w:t xml:space="preserve">сметной документации на выполнение работ </w:t>
      </w:r>
    </w:p>
    <w:p>
      <w:pPr>
        <w:pStyle w:val="Normal"/>
        <w:tabs>
          <w:tab w:val="clear" w:pos="708"/>
        </w:tabs>
        <w:jc w:val="right"/>
        <w:rPr/>
      </w:pPr>
      <w:r>
        <w:rPr/>
        <w:t xml:space="preserve"> </w:t>
      </w:r>
      <w:r>
        <w:rPr/>
        <w:t xml:space="preserve">по программе ремонтов </w:t>
      </w:r>
      <w:r>
        <w:rPr>
          <w:rFonts w:eastAsia="Arial" w:cs="Times New Roman"/>
          <w:b w:val="false"/>
          <w:bCs w:val="false"/>
        </w:rPr>
        <w:t>с учетом работы в ИС «Максимо»</w:t>
      </w:r>
    </w:p>
    <w:p>
      <w:pPr>
        <w:pStyle w:val="Normal"/>
        <w:tabs>
          <w:tab w:val="clear" w:pos="708"/>
        </w:tabs>
        <w:jc w:val="center"/>
        <w:rPr/>
      </w:pPr>
      <w:r>
        <w:rPr/>
      </w:r>
    </w:p>
    <w:p>
      <w:pPr>
        <w:pStyle w:val="Normal"/>
        <w:tabs>
          <w:tab w:val="clear" w:pos="708"/>
        </w:tabs>
        <w:jc w:val="center"/>
        <w:rPr>
          <w:b/>
          <w:u w:val="single"/>
        </w:rPr>
      </w:pPr>
      <w:r>
        <w:rPr>
          <w:b/>
          <w:u w:val="single"/>
        </w:rPr>
        <w:t>Основные условия ценообразования к договору</w:t>
      </w:r>
    </w:p>
    <w:p>
      <w:pPr>
        <w:pStyle w:val="Normal"/>
        <w:tabs>
          <w:tab w:val="clear" w:pos="708"/>
        </w:tabs>
        <w:jc w:val="center"/>
        <w:rPr/>
      </w:pPr>
      <w:r>
        <w:rPr/>
      </w:r>
    </w:p>
    <w:tbl>
      <w:tblPr>
        <w:tblW w:w="14939" w:type="dxa"/>
        <w:jc w:val="center"/>
        <w:tblInd w:w="0" w:type="dxa"/>
        <w:tblLayout w:type="fixed"/>
        <w:tblCellMar>
          <w:top w:w="55" w:type="dxa"/>
          <w:left w:w="55" w:type="dxa"/>
          <w:bottom w:w="55" w:type="dxa"/>
          <w:right w:w="55" w:type="dxa"/>
        </w:tblCellMar>
      </w:tblPr>
      <w:tblGrid>
        <w:gridCol w:w="599"/>
        <w:gridCol w:w="2654"/>
        <w:gridCol w:w="3722"/>
        <w:gridCol w:w="1694"/>
        <w:gridCol w:w="1964"/>
        <w:gridCol w:w="4305"/>
      </w:tblGrid>
      <w:tr>
        <w:trPr>
          <w:tblHeader w:val="true"/>
        </w:trPr>
        <w:tc>
          <w:tcPr>
            <w:tcW w:w="599" w:type="dxa"/>
            <w:tcBorders>
              <w:top w:val="single" w:sz="4" w:space="0" w:color="000000"/>
              <w:left w:val="single" w:sz="4" w:space="0" w:color="000000"/>
              <w:bottom w:val="single" w:sz="4" w:space="0" w:color="000000"/>
            </w:tcBorders>
            <w:vAlign w:val="center"/>
          </w:tcPr>
          <w:p>
            <w:pPr>
              <w:pStyle w:val="Normal"/>
              <w:widowControl w:val="false"/>
              <w:tabs>
                <w:tab w:val="clear" w:pos="708"/>
              </w:tabs>
              <w:jc w:val="center"/>
              <w:rPr>
                <w:b/>
              </w:rPr>
            </w:pPr>
            <w:r>
              <w:rPr>
                <w:b/>
              </w:rPr>
              <w:t xml:space="preserve">№ </w:t>
            </w:r>
            <w:r>
              <w:rPr>
                <w:b/>
              </w:rPr>
              <w:t>п.п.</w:t>
            </w:r>
          </w:p>
        </w:tc>
        <w:tc>
          <w:tcPr>
            <w:tcW w:w="2654" w:type="dxa"/>
            <w:tcBorders>
              <w:top w:val="single" w:sz="4" w:space="0" w:color="000000"/>
              <w:left w:val="single" w:sz="4" w:space="0" w:color="000000"/>
              <w:bottom w:val="single" w:sz="4" w:space="0" w:color="000000"/>
            </w:tcBorders>
            <w:vAlign w:val="center"/>
          </w:tcPr>
          <w:p>
            <w:pPr>
              <w:pStyle w:val="Normal"/>
              <w:widowControl w:val="false"/>
              <w:tabs>
                <w:tab w:val="clear" w:pos="708"/>
              </w:tabs>
              <w:jc w:val="center"/>
              <w:rPr>
                <w:b/>
              </w:rPr>
            </w:pPr>
            <w:r>
              <w:rPr>
                <w:b/>
              </w:rPr>
              <w:t>Раздел требований</w:t>
            </w:r>
          </w:p>
        </w:tc>
        <w:tc>
          <w:tcPr>
            <w:tcW w:w="7380" w:type="dxa"/>
            <w:gridSpan w:val="3"/>
            <w:tcBorders>
              <w:top w:val="single" w:sz="4" w:space="0" w:color="000000"/>
              <w:left w:val="single" w:sz="4" w:space="0" w:color="000000"/>
              <w:bottom w:val="single" w:sz="4" w:space="0" w:color="000000"/>
            </w:tcBorders>
            <w:vAlign w:val="center"/>
          </w:tcPr>
          <w:p>
            <w:pPr>
              <w:pStyle w:val="Normal"/>
              <w:widowControl w:val="false"/>
              <w:tabs>
                <w:tab w:val="clear" w:pos="708"/>
              </w:tabs>
              <w:jc w:val="center"/>
              <w:rPr>
                <w:b/>
              </w:rPr>
            </w:pPr>
            <w:r>
              <w:rPr>
                <w:b/>
              </w:rPr>
              <w:t>Значение требований</w:t>
            </w:r>
          </w:p>
        </w:tc>
        <w:tc>
          <w:tcPr>
            <w:tcW w:w="430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s>
              <w:jc w:val="center"/>
              <w:rPr>
                <w:b/>
              </w:rPr>
            </w:pPr>
            <w:r>
              <w:rPr>
                <w:b/>
              </w:rPr>
              <w:t>Примечание/Обоснование</w:t>
            </w:r>
          </w:p>
        </w:tc>
      </w:tr>
      <w:tr>
        <w:trPr/>
        <w:tc>
          <w:tcPr>
            <w:tcW w:w="3253" w:type="dxa"/>
            <w:gridSpan w:val="2"/>
            <w:tcBorders>
              <w:left w:val="single" w:sz="4" w:space="0" w:color="000000"/>
              <w:bottom w:val="single" w:sz="4" w:space="0" w:color="000000"/>
            </w:tcBorders>
            <w:vAlign w:val="center"/>
          </w:tcPr>
          <w:p>
            <w:pPr>
              <w:pStyle w:val="Normal"/>
              <w:widowControl w:val="false"/>
              <w:tabs>
                <w:tab w:val="clear" w:pos="708"/>
              </w:tabs>
              <w:jc w:val="center"/>
              <w:rPr>
                <w:b/>
              </w:rPr>
            </w:pPr>
            <w:r>
              <w:rPr>
                <w:b/>
              </w:rPr>
              <w:t xml:space="preserve">Требования </w:t>
            </w:r>
          </w:p>
        </w:tc>
        <w:tc>
          <w:tcPr>
            <w:tcW w:w="11685" w:type="dxa"/>
            <w:gridSpan w:val="4"/>
            <w:tcBorders>
              <w:left w:val="single" w:sz="4" w:space="0" w:color="000000"/>
              <w:bottom w:val="single" w:sz="4" w:space="0" w:color="000000"/>
              <w:right w:val="single" w:sz="4" w:space="0" w:color="000000"/>
            </w:tcBorders>
            <w:vAlign w:val="center"/>
          </w:tcPr>
          <w:p>
            <w:pPr>
              <w:pStyle w:val="Normal"/>
              <w:widowControl w:val="false"/>
              <w:tabs>
                <w:tab w:val="clear" w:pos="708"/>
              </w:tabs>
              <w:jc w:val="left"/>
              <w:rPr>
                <w:b/>
              </w:rPr>
            </w:pPr>
            <w:r>
              <w:rPr>
                <w:b/>
              </w:rPr>
              <w:t>на составление сметной документации на работы по программе эксплуатации</w:t>
            </w:r>
          </w:p>
        </w:tc>
      </w:tr>
      <w:tr>
        <w:trPr/>
        <w:tc>
          <w:tcPr>
            <w:tcW w:w="599"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2654" w:type="dxa"/>
            <w:tcBorders>
              <w:left w:val="single" w:sz="4" w:space="0" w:color="000000"/>
              <w:bottom w:val="single" w:sz="4" w:space="0" w:color="000000"/>
            </w:tcBorders>
            <w:vAlign w:val="center"/>
          </w:tcPr>
          <w:p>
            <w:pPr>
              <w:pStyle w:val="Normal"/>
              <w:widowControl w:val="false"/>
              <w:tabs>
                <w:tab w:val="clear" w:pos="708"/>
              </w:tabs>
              <w:jc w:val="center"/>
              <w:rPr/>
            </w:pPr>
            <w:r>
              <w:rPr/>
              <w:t>Версия ПК «Гранд-Смета»</w:t>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left"/>
              <w:rPr/>
            </w:pPr>
            <w:r>
              <w:rPr/>
              <w:t>Не ниже 2025.2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pPr>
            <w:r>
              <w:rPr/>
            </w:r>
          </w:p>
        </w:tc>
      </w:tr>
      <w:tr>
        <w:trPr/>
        <w:tc>
          <w:tcPr>
            <w:tcW w:w="599" w:type="dxa"/>
            <w:tcBorders>
              <w:left w:val="single" w:sz="4" w:space="0" w:color="000000"/>
              <w:bottom w:val="single" w:sz="4" w:space="0" w:color="000000"/>
            </w:tcBorders>
            <w:vAlign w:val="center"/>
          </w:tcPr>
          <w:p>
            <w:pPr>
              <w:pStyle w:val="Normal"/>
              <w:widowControl w:val="false"/>
              <w:tabs>
                <w:tab w:val="clear" w:pos="708"/>
              </w:tabs>
              <w:jc w:val="center"/>
              <w:rPr/>
            </w:pPr>
            <w:r>
              <w:rPr/>
              <w:t>1</w:t>
            </w:r>
          </w:p>
        </w:tc>
        <w:tc>
          <w:tcPr>
            <w:tcW w:w="2654" w:type="dxa"/>
            <w:tcBorders>
              <w:left w:val="single" w:sz="4" w:space="0" w:color="000000"/>
              <w:bottom w:val="single" w:sz="4" w:space="0" w:color="000000"/>
            </w:tcBorders>
            <w:vAlign w:val="center"/>
          </w:tcPr>
          <w:p>
            <w:pPr>
              <w:pStyle w:val="Normal"/>
              <w:widowControl w:val="false"/>
              <w:tabs>
                <w:tab w:val="clear" w:pos="708"/>
              </w:tabs>
              <w:jc w:val="center"/>
              <w:rPr/>
            </w:pPr>
            <w:r>
              <w:rPr/>
              <w:t>Метод определения сметной стоимости работ</w:t>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center"/>
              <w:rPr/>
            </w:pPr>
            <w:r>
              <w:rPr/>
              <w:t>Ресурсно-индексный (приоритетный)- с использованием сметных норм, сметных цен строительных ресурсов в базис</w:t>
              <w:softHyphen/>
              <w:t>ном уровне цен и одновременным применением сметных цен строительных ресурсов в текущем уровне цен, инфор</w:t>
              <w:softHyphen/>
              <w:t>мации об индексах изменения сметной стоимости строи</w:t>
              <w:softHyphen/>
              <w:t>тельства по группам однородных строительных ресурсов и с учетом иной информации, используемой для определения сметной стоимости строительства, размещенных в феде</w:t>
              <w:softHyphen/>
              <w:t>ральной государственной информационной системе ценооб</w:t>
              <w:softHyphen/>
              <w:t>разования в строительстве (далее - ФГИС ЦС). Сметная стои</w:t>
              <w:softHyphen/>
              <w:t>мость, определенная с применением ресурсно-индекс</w:t>
              <w:softHyphen/>
              <w:t>ного метода, приводится в ЛСР (ЛС) в текущем уровне цен</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2</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Применение сметно-нормативной базы</w:t>
            </w:r>
          </w:p>
        </w:tc>
        <w:tc>
          <w:tcPr>
            <w:tcW w:w="5416" w:type="dxa"/>
            <w:gridSpan w:val="2"/>
            <w:tcBorders>
              <w:left w:val="single" w:sz="4" w:space="0" w:color="000000"/>
              <w:bottom w:val="single" w:sz="4" w:space="0" w:color="000000"/>
            </w:tcBorders>
            <w:vAlign w:val="center"/>
          </w:tcPr>
          <w:p>
            <w:pPr>
              <w:pStyle w:val="Normal"/>
              <w:widowControl w:val="false"/>
              <w:tabs>
                <w:tab w:val="clear" w:pos="708"/>
              </w:tabs>
              <w:jc w:val="right"/>
              <w:rPr/>
            </w:pPr>
            <w:r>
              <w:rPr/>
              <w:t>ФСНБ-2022</w:t>
            </w:r>
          </w:p>
        </w:tc>
        <w:tc>
          <w:tcPr>
            <w:tcW w:w="1964" w:type="dxa"/>
            <w:tcBorders>
              <w:left w:val="single" w:sz="4" w:space="0" w:color="000000"/>
              <w:bottom w:val="single" w:sz="4" w:space="0" w:color="000000"/>
            </w:tcBorders>
            <w:vAlign w:val="center"/>
          </w:tcPr>
          <w:p>
            <w:pPr>
              <w:pStyle w:val="Normal"/>
              <w:widowControl w:val="false"/>
              <w:tabs>
                <w:tab w:val="clear" w:pos="708"/>
              </w:tabs>
              <w:jc w:val="left"/>
              <w:rPr/>
            </w:pPr>
            <w:r>
              <w:rPr/>
              <w:t>с изм. 1-19</w:t>
            </w:r>
          </w:p>
        </w:tc>
        <w:tc>
          <w:tcPr>
            <w:tcW w:w="4305" w:type="dxa"/>
            <w:vMerge w:val="restart"/>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pPr>
            <w:r>
              <w:rPr>
                <w:i/>
              </w:rPr>
              <w:t>В случае отсутствия единичных расценок в действующей СНБ воз</w:t>
              <w:softHyphen/>
              <w:t>можно определение сметной стои</w:t>
              <w:softHyphen/>
              <w:t>мости с применением ГЭСН) сборников СНБ ФСНБ-2022 (ак</w:t>
              <w:softHyphen/>
              <w:t>туальной на момент составления сметной документации), смет</w:t>
              <w:softHyphen/>
              <w:t>ных норм сборников  ЕНиР и ВНиР. При этом уровень оплаты труда для ГЭСН, ЕНиР и ВНиР определять аналогично применен</w:t>
              <w:softHyphen/>
              <w:t>ному в сметной документации ме</w:t>
              <w:softHyphen/>
              <w:t>тоду расчета в соответствии с тарифными ставками сборника «Показатели часовой оплаты труда» (далее - ТС 2001), внесен</w:t>
              <w:softHyphen/>
              <w:t>ного в ФРСН. Применение смет</w:t>
              <w:softHyphen/>
              <w:t>ных норм сборников ГЭСН яв</w:t>
              <w:softHyphen/>
              <w:t>ляется приоритетным.</w:t>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5416" w:type="dxa"/>
            <w:gridSpan w:val="2"/>
            <w:tcBorders>
              <w:left w:val="single" w:sz="4" w:space="0" w:color="000000"/>
              <w:bottom w:val="single" w:sz="4" w:space="0" w:color="000000"/>
            </w:tcBorders>
            <w:vAlign w:val="center"/>
          </w:tcPr>
          <w:p>
            <w:pPr>
              <w:pStyle w:val="Normal"/>
              <w:widowControl w:val="false"/>
              <w:tabs>
                <w:tab w:val="clear" w:pos="708"/>
              </w:tabs>
              <w:jc w:val="right"/>
              <w:rPr/>
            </w:pPr>
            <w:r>
              <w:rPr/>
              <w:t>Ремонт энергетического оборудования (с доп.1-12; ЦКБ Энергоремонт)</w:t>
            </w:r>
          </w:p>
        </w:tc>
        <w:tc>
          <w:tcPr>
            <w:tcW w:w="1964" w:type="dxa"/>
            <w:tcBorders>
              <w:left w:val="single" w:sz="4" w:space="0" w:color="000000"/>
              <w:bottom w:val="single" w:sz="4" w:space="0" w:color="000000"/>
            </w:tcBorders>
            <w:vAlign w:val="center"/>
          </w:tcPr>
          <w:p>
            <w:pPr>
              <w:pStyle w:val="Normal"/>
              <w:widowControl w:val="false"/>
              <w:tabs>
                <w:tab w:val="clear" w:pos="708"/>
              </w:tabs>
              <w:jc w:val="left"/>
              <w:rPr/>
            </w:pPr>
            <w:r>
              <w:rPr/>
            </w:r>
          </w:p>
        </w:tc>
        <w:tc>
          <w:tcPr>
            <w:tcW w:w="43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5416" w:type="dxa"/>
            <w:gridSpan w:val="2"/>
            <w:tcBorders>
              <w:left w:val="single" w:sz="4" w:space="0" w:color="000000"/>
              <w:bottom w:val="single" w:sz="4" w:space="0" w:color="000000"/>
            </w:tcBorders>
            <w:vAlign w:val="center"/>
          </w:tcPr>
          <w:p>
            <w:pPr>
              <w:pStyle w:val="Normal"/>
              <w:widowControl w:val="false"/>
              <w:tabs>
                <w:tab w:val="clear" w:pos="708"/>
              </w:tabs>
              <w:jc w:val="right"/>
              <w:rPr/>
            </w:pPr>
            <w:r>
              <w:rPr/>
              <w:t>ГЭСН, ЕНиР и ВНиР</w:t>
            </w:r>
          </w:p>
        </w:tc>
        <w:tc>
          <w:tcPr>
            <w:tcW w:w="1964" w:type="dxa"/>
            <w:tcBorders>
              <w:left w:val="single" w:sz="4" w:space="0" w:color="000000"/>
              <w:bottom w:val="single" w:sz="4" w:space="0" w:color="000000"/>
            </w:tcBorders>
            <w:vAlign w:val="center"/>
          </w:tcPr>
          <w:p>
            <w:pPr>
              <w:pStyle w:val="Normal"/>
              <w:widowControl w:val="false"/>
              <w:tabs>
                <w:tab w:val="clear" w:pos="708"/>
              </w:tabs>
              <w:jc w:val="left"/>
              <w:rPr/>
            </w:pPr>
            <w:r>
              <w:rPr/>
            </w:r>
          </w:p>
        </w:tc>
        <w:tc>
          <w:tcPr>
            <w:tcW w:w="43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3</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Применение индек</w:t>
              <w:softHyphen/>
              <w:t>сов пересчета в теку</w:t>
              <w:softHyphen/>
              <w:t>щие цены</w:t>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left"/>
              <w:rPr/>
            </w:pPr>
            <w:r>
              <w:rPr/>
              <w:t xml:space="preserve">• </w:t>
            </w:r>
            <w:r>
              <w:rPr/>
              <w:t>индексы к отдельным строительным ресурсам, индексы к группам строительных ресурсов (индексы к сметной стои</w:t>
              <w:softHyphen/>
              <w:t>мости отдельных материалов, изделий, конструкций, обору</w:t>
              <w:softHyphen/>
              <w:t>дования, эксплуатации машин и механизмов или к стоимо</w:t>
              <w:softHyphen/>
              <w:t>сти однородных групп таких строительных ресурсов);</w:t>
              <w:br/>
              <w:t>• индексы изменения сметных цен на перевозку грузов – применяются к сметной стоимости затрат на перевозку гру</w:t>
              <w:softHyphen/>
              <w:t>зов для строительства автомобильным транспортом, в том числе на дополнительное расстояние, сверх учтенного смет</w:t>
              <w:softHyphen/>
              <w:t>ными ценами на материальные ресурсы и оборудование, в соответствии с типом автотранспортных средств;</w:t>
              <w:br/>
              <w:t>• индексы изменения сметной стоимости оборудования – применяются к сметной стоимости оборудования;</w:t>
              <w:br/>
              <w:t>• индексы изменения сметной стоимости, рассчитываемые для применения к сметной стоимости отдельных видов про</w:t>
              <w:softHyphen/>
              <w:t>чих работ и затрат;</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left"/>
              <w:rPr/>
            </w:pPr>
            <w:r>
              <w:rPr/>
              <w:t>Поправочный индекс к Базовым ценам учитывать в соответ</w:t>
              <w:softHyphen/>
              <w:t>ствии со Служебной запиской «О размере поправочных ин</w:t>
              <w:softHyphen/>
              <w:t>дексов к сборникам базовых цен на ремонт энергооборудо</w:t>
              <w:softHyphen/>
              <w:t>вания» от 24.09.2024 № ВН-10834.38:</w:t>
              <w:br/>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Наименование частей Базо</w:t>
              <w:softHyphen/>
              <w:t>вых цен</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ConsPlusNormal"/>
              <w:widowControl w:val="false"/>
              <w:tabs>
                <w:tab w:val="clear" w:pos="708"/>
                <w:tab w:val="left" w:pos="426" w:leader="none"/>
                <w:tab w:val="left" w:pos="1134" w:leader="none"/>
              </w:tabs>
              <w:ind w:left="0" w:right="0" w:hanging="0"/>
              <w:jc w:val="center"/>
              <w:rPr>
                <w:rFonts w:ascii="Times New Roman" w:hAnsi="Times New Roman" w:cs="Times New Roman"/>
                <w:sz w:val="24"/>
                <w:szCs w:val="24"/>
              </w:rPr>
            </w:pPr>
            <w:r>
              <w:rPr>
                <w:rFonts w:cs="Times New Roman" w:ascii="Times New Roman" w:hAnsi="Times New Roman"/>
                <w:sz w:val="24"/>
                <w:szCs w:val="24"/>
              </w:rPr>
              <w:t>2027 год</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9,12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2</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8,64</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3</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9,12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4</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6,99</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5</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8,44</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6</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8,44</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7</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8,62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8</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9,59</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9</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8,62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10 (разделы / подразде</w:t>
              <w:softHyphen/>
              <w:t>лы 01, 02, 0301, 0303-0312, 04, 05, 06, 09)</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8,28</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10 (подраздел 0302)</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6,29</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10 (разделы 07,08,10,11)</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6,82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11</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9,12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12</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9,12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13</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9,33</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14</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10,24</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15</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9,53</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16</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10,63</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17</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9,12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18</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8,62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bottom"/>
          </w:tcPr>
          <w:p>
            <w:pPr>
              <w:pStyle w:val="Normal"/>
              <w:widowControl w:val="false"/>
              <w:tabs>
                <w:tab w:val="clear" w:pos="708"/>
              </w:tabs>
              <w:jc w:val="center"/>
              <w:rPr/>
            </w:pPr>
            <w:r>
              <w:rPr/>
              <w:t>Часть 19</w:t>
            </w:r>
          </w:p>
        </w:tc>
        <w:tc>
          <w:tcPr>
            <w:tcW w:w="1694" w:type="dxa"/>
            <w:tcBorders>
              <w:left w:val="single" w:sz="4" w:space="0" w:color="000000"/>
              <w:bottom w:val="single" w:sz="4" w:space="0" w:color="000000"/>
            </w:tcBorders>
            <w:vAlign w:val="bottom"/>
          </w:tcPr>
          <w:p>
            <w:pPr>
              <w:pStyle w:val="Normal"/>
              <w:widowControl w:val="false"/>
              <w:tabs>
                <w:tab w:val="clear" w:pos="708"/>
              </w:tabs>
              <w:jc w:val="center"/>
              <w:rPr/>
            </w:pPr>
            <w:r>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9,22</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2654"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3722"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Часть 20</w:t>
            </w:r>
          </w:p>
        </w:tc>
        <w:tc>
          <w:tcPr>
            <w:tcW w:w="169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sz w:val="24"/>
                <w:szCs w:val="24"/>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9,20</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2654"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3722"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Часть 21</w:t>
            </w:r>
          </w:p>
        </w:tc>
        <w:tc>
          <w:tcPr>
            <w:tcW w:w="169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sz w:val="24"/>
                <w:szCs w:val="24"/>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9,05</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2654"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3722"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Часть 22</w:t>
            </w:r>
          </w:p>
        </w:tc>
        <w:tc>
          <w:tcPr>
            <w:tcW w:w="169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sz w:val="24"/>
                <w:szCs w:val="24"/>
              </w:rPr>
            </w:r>
          </w:p>
        </w:tc>
        <w:tc>
          <w:tcPr>
            <w:tcW w:w="1964" w:type="dxa"/>
            <w:tcBorders>
              <w:left w:val="single" w:sz="4" w:space="0" w:color="000000"/>
              <w:bottom w:val="single" w:sz="4" w:space="0" w:color="000000"/>
            </w:tcBorders>
            <w:vAlign w:val="center"/>
          </w:tcPr>
          <w:p>
            <w:pPr>
              <w:pStyle w:val="Normal"/>
              <w:widowControl w:val="false"/>
              <w:spacing w:lineRule="auto" w:line="240" w:before="0" w:after="200"/>
              <w:jc w:val="center"/>
              <w:rPr>
                <w:rFonts w:ascii="Times New Roman" w:hAnsi="Times New Roman"/>
                <w:sz w:val="24"/>
                <w:szCs w:val="24"/>
              </w:rPr>
            </w:pPr>
            <w:r>
              <w:rPr>
                <w:bCs/>
                <w:sz w:val="24"/>
                <w:szCs w:val="24"/>
              </w:rPr>
              <w:t>9,15</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4</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Применение индексов-дефлятор</w:t>
              <w:softHyphen/>
              <w:t>ов</w:t>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center"/>
              <w:rPr/>
            </w:pPr>
            <w:r>
              <w:rPr/>
              <w:t>В сметных расчетах на этап работ применяются индексы-дефляторы Министерства экономического развития россий</w:t>
              <w:softHyphen/>
              <w:t>ской Федерации. Индексы-дефляторы применяются для пересчета сметной стоимости строительства из уровня цен на дату определения стоимости работ в уровень цен, соот</w:t>
              <w:softHyphen/>
              <w:t>ветствующих периоду выполнения работ по договору.</w:t>
            </w:r>
          </w:p>
        </w:tc>
        <w:tc>
          <w:tcPr>
            <w:tcW w:w="4305" w:type="dxa"/>
            <w:vMerge w:val="restart"/>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t>1) если срок выполнения работ указан в целом по договору (дата начала работ – дата окончание работ), применяется единый де</w:t>
              <w:softHyphen/>
              <w:t>флятор, в соответствии с фор</w:t>
              <w:softHyphen/>
              <w:t>мулой (2)</w:t>
              <w:br/>
              <w:t>2) если договором предусмотрен график выполнения работ с раз</w:t>
              <w:softHyphen/>
              <w:t>бивкой на этапы (дата начала ра</w:t>
              <w:softHyphen/>
              <w:t>бот по этапу – дата окончания работ по этапу), дефлятор при</w:t>
              <w:softHyphen/>
              <w:t>меняется в соответствии с та</w:t>
              <w:softHyphen/>
              <w:t>ким графиком, и рассчитывается на каждый этап, в соответствии с формулой (2).</w:t>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5416" w:type="dxa"/>
            <w:gridSpan w:val="2"/>
            <w:tcBorders>
              <w:left w:val="single" w:sz="4" w:space="0" w:color="000000"/>
              <w:bottom w:val="single" w:sz="4" w:space="0" w:color="000000"/>
            </w:tcBorders>
            <w:vAlign w:val="center"/>
          </w:tcPr>
          <w:p>
            <w:pPr>
              <w:pStyle w:val="Normal"/>
              <w:widowControl w:val="false"/>
              <w:tabs>
                <w:tab w:val="clear" w:pos="708"/>
              </w:tabs>
              <w:jc w:val="right"/>
              <w:rPr/>
            </w:pPr>
            <w:r>
              <w:rPr/>
              <w:t>Ремонт, ТО, охрана (индексы дефляторы принимаются по данным макроэкономиче</w:t>
              <w:softHyphen/>
              <w:t>ских показателей (вариант - базовый), Ми</w:t>
              <w:softHyphen/>
              <w:t>нистерства экономического развития Рос</w:t>
              <w:softHyphen/>
              <w:t>сийской Федерации, по строке -      Индекс-дефлятор (по сопоставимому кругу пред</w:t>
              <w:softHyphen/>
              <w:t>приятий)).</w:t>
            </w:r>
          </w:p>
        </w:tc>
        <w:tc>
          <w:tcPr>
            <w:tcW w:w="1964" w:type="dxa"/>
            <w:tcBorders>
              <w:left w:val="single" w:sz="4" w:space="0" w:color="000000"/>
              <w:bottom w:val="single" w:sz="4" w:space="0" w:color="000000"/>
            </w:tcBorders>
            <w:vAlign w:val="center"/>
          </w:tcPr>
          <w:p>
            <w:pPr>
              <w:pStyle w:val="Normal"/>
              <w:widowControl w:val="false"/>
              <w:tabs>
                <w:tab w:val="clear" w:pos="708"/>
              </w:tabs>
              <w:jc w:val="center"/>
              <w:rPr/>
            </w:pPr>
            <w:r>
              <w:rPr/>
              <w:t>на 2026 год — 7,1%; 2027 — 5%; 2028 — 4,6%, 2029- 4,2% (Прогноз МЭР от 24.09.2026)</w:t>
            </w:r>
          </w:p>
        </w:tc>
        <w:tc>
          <w:tcPr>
            <w:tcW w:w="43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Style36"/>
              <w:widowControl w:val="false"/>
              <w:jc w:val="center"/>
              <w:rPr>
                <w:rFonts w:ascii="Times New Roman" w:hAnsi="Times New Roman"/>
                <w:sz w:val="24"/>
              </w:rPr>
            </w:pPr>
            <w:r>
              <w:rPr>
                <w:sz w:val="24"/>
              </w:rPr>
              <w:t>В случае, если планируемый период выполнения работ составляет до одного календарного года и сметная документация составлена в уров</w:t>
              <w:softHyphen/>
              <w:t>не цен того же года, индекс прогнозной инфляции на один месяц осу</w:t>
              <w:softHyphen/>
              <w:t>ществляется извлечением квадратного корня двенадцатой степени из индекса прогнозной установленного в целом за год:</w:t>
              <w:br/>
              <w:t>И</w:t>
            </w:r>
            <w:r>
              <w:rPr>
                <w:sz w:val="24"/>
                <w:vertAlign w:val="subscript"/>
              </w:rPr>
              <w:t>инфл мес</w:t>
            </w:r>
            <w:r>
              <w:rPr>
                <w:sz w:val="24"/>
              </w:rPr>
              <w:t>=√(12&amp;И</w:t>
            </w:r>
            <w:r>
              <w:rPr>
                <w:sz w:val="24"/>
                <w:vertAlign w:val="subscript"/>
              </w:rPr>
              <w:t>инфл год</w:t>
            </w:r>
            <w:r>
              <w:rPr>
                <w:sz w:val="24"/>
              </w:rPr>
              <w:t>)</w:t>
              <w:br/>
              <w:t>И инфл мес – индекс прогнозной инфляции на один месяц, получен</w:t>
              <w:softHyphen/>
              <w:t>ное значение округляется до 4 знаков после запятой;</w:t>
              <w:br/>
              <w:t>И инфл год – индекс-дефлятор Министерства экономического разви</w:t>
              <w:softHyphen/>
              <w:t>тия Российской Федерации.</w:t>
            </w:r>
          </w:p>
        </w:tc>
        <w:tc>
          <w:tcPr>
            <w:tcW w:w="43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center"/>
              <w:rPr/>
            </w:pPr>
            <w:r>
              <w:rPr/>
              <w:t>Для определения размера индекса прогнозной инфляции пе</w:t>
              <w:softHyphen/>
              <w:t>риодом в несколько месяцев, величина индекса прогнозной инфляции на один месяц возводится в степень размер кото</w:t>
              <w:softHyphen/>
              <w:t>рой соответствует количеству месяцев от даты определения стоимости работ до даты окончания работ. Индекс прогноз</w:t>
              <w:softHyphen/>
              <w:t>ной инфляции для периода выполнения работ, не превышаю</w:t>
              <w:softHyphen/>
              <w:t>щего один календарный год рассчитывается по формуле:</w:t>
            </w:r>
          </w:p>
          <w:p>
            <w:pPr>
              <w:pStyle w:val="Normal"/>
              <w:widowControl w:val="false"/>
              <w:tabs>
                <w:tab w:val="clear" w:pos="708"/>
              </w:tabs>
              <w:jc w:val="center"/>
              <w:rPr/>
            </w:pPr>
            <w:r>
              <w:rPr/>
              <w:t xml:space="preserve">И </w:t>
            </w:r>
            <w:r>
              <w:rPr>
                <w:vertAlign w:val="subscript"/>
              </w:rPr>
              <w:t>инфл пер</w:t>
            </w:r>
            <w:r>
              <w:rPr/>
              <w:t>=(([И</w:t>
            </w:r>
            <w:r>
              <w:rPr>
                <w:vertAlign w:val="subscript"/>
              </w:rPr>
              <w:t>инфл мес</w:t>
            </w:r>
            <w:r>
              <w:rPr>
                <w:position w:val="0"/>
                <w:sz w:val="28"/>
                <w:sz w:val="28"/>
                <w:vertAlign w:val="baseline"/>
              </w:rPr>
              <w:t>]^n-1)/2)+1                      (1)</w:t>
            </w:r>
          </w:p>
          <w:p>
            <w:pPr>
              <w:pStyle w:val="Normal"/>
              <w:widowControl w:val="false"/>
              <w:tabs>
                <w:tab w:val="clear" w:pos="708"/>
              </w:tabs>
              <w:jc w:val="center"/>
              <w:rPr/>
            </w:pPr>
            <w:r>
              <w:rPr/>
              <w:t>И инф пер – индекс прогнозной инфляции для периода вы</w:t>
              <w:softHyphen/>
              <w:t>полнения работ, полученное значение округляется до 4 зна</w:t>
              <w:softHyphen/>
              <w:t>ков после запятой.</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center"/>
              <w:rPr/>
            </w:pPr>
            <w:r>
              <w:rPr/>
              <w:t>В случае если срок выполнения работ превышает календар</w:t>
              <w:softHyphen/>
              <w:t>ный год, то индекс прогнозной инфляции для второго и по</w:t>
              <w:softHyphen/>
              <w:t xml:space="preserve">следующих годов, определяется с учетом установленных договором сроков строительства по формуле: </w:t>
              <w:br/>
              <w:t xml:space="preserve">  Цд=С * Иинфл                         (2)</w:t>
              <w:br/>
              <w:t xml:space="preserve">Цд – стоимость договора; С - сметная стоимость подрядных работ, подлежащих выполнению подрядчиком; </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center"/>
              <w:rPr/>
            </w:pPr>
            <w:r>
              <w:rPr/>
              <w:t xml:space="preserve">Иинф – индекс инфляции, рассчитываемый по формуле: </w:t>
              <w:br/>
              <w:t>И инф = Д1*К1+Д2*К2+...+Дi*Кi                 (3)</w:t>
              <w:br/>
              <w:t>Д1,Д2,Дi - доля сметной стоимости работ, подлежащих вы</w:t>
              <w:softHyphen/>
              <w:t>полнению соответственно в 1-й, 2-й, 3-й, i-ый годы строи</w:t>
              <w:softHyphen/>
              <w:t>тельства;</w:t>
              <w:br/>
              <w:t>i - год завершения строительства объекта;</w:t>
              <w:br/>
              <w:t>К1 - индекс прогнозной инфляции за первый год строитель</w:t>
              <w:softHyphen/>
              <w:t>ства объекта,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w:t>
              <w:br/>
              <w:t>К2 - индекс прогнозной инфляции, учитывающий инфля</w:t>
              <w:softHyphen/>
              <w:t>цию за первый и второй годы строительства объекта. Рас</w:t>
              <w:softHyphen/>
              <w:t>считывается как произведение индекса прогнозной инфля</w:t>
              <w:softHyphen/>
              <w:t>ции, устанавливаемого нарастающим итогом на декабрь первого года строительства объекта, и индекса прогнозной инфляции на второй год строительства объекта, определен</w:t>
              <w:softHyphen/>
              <w:t>ного как среднее арифметическое между индексом прогноз</w:t>
              <w:softHyphen/>
              <w:t>ной инфляции на январь второго года строительства объек</w:t>
              <w:softHyphen/>
              <w:t>та и индекса прогнозной инфляции на декабрь второго года строительства объекта;</w:t>
              <w:br/>
              <w:t>К3 - индекс прогнозной инфляции, учитывающий инфля</w:t>
              <w:softHyphen/>
              <w:t>цию за весь период строительства объекта. Указанный ин</w:t>
              <w:softHyphen/>
              <w:t>декс рассчитывается как произведение индекса прогнозной инфляции, устанавливаемого нарастающим итогом на де</w:t>
              <w:softHyphen/>
              <w:t>кабрь предшествующего года строительства объекта, и ин</w:t>
              <w:softHyphen/>
              <w:t>декса прогнозной инфляции на последний год строитель</w:t>
              <w:softHyphen/>
              <w:t>ства объекта, определенного как среднее арифметическое между индексом прогнозной инфляции на январь последне</w:t>
              <w:softHyphen/>
              <w:t>го года строительства объекта и индексом прогнозной ин</w:t>
              <w:softHyphen/>
              <w:t>фляции на дату окончания строительства объекта в послед</w:t>
              <w:softHyphen/>
              <w:t xml:space="preserve">нем году. </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tcBorders>
              <w:left w:val="single" w:sz="4" w:space="0" w:color="000000"/>
              <w:bottom w:val="single" w:sz="4" w:space="0" w:color="000000"/>
            </w:tcBorders>
            <w:vAlign w:val="center"/>
          </w:tcPr>
          <w:p>
            <w:pPr>
              <w:pStyle w:val="Normal"/>
              <w:widowControl w:val="false"/>
              <w:tabs>
                <w:tab w:val="clear" w:pos="708"/>
              </w:tabs>
              <w:jc w:val="center"/>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center"/>
              <w:rPr/>
            </w:pPr>
            <w:r>
              <w:rPr/>
              <w:t>Если для определения ПЦ используется сметная документа</w:t>
              <w:softHyphen/>
              <w:t>ция, разработанная на основании СНБ применяемой на дату формирования ПЦ, то пересчет сметной стоимости работ в уровень цен на дату определения ПЦ осуществляется с ис</w:t>
              <w:softHyphen/>
              <w:t>пользованием индексов изменения сметной стоимости, раз</w:t>
              <w:softHyphen/>
              <w:t>мещенных Минстроем России в ФРСН, действующих на да</w:t>
              <w:softHyphen/>
              <w:t xml:space="preserve">ту определения ПЦ. </w:t>
              <w:br/>
              <w:t>В случае если сметная документация разработана в СНБ не применяемой на дату определения ПЦ, то пересчет сметной стоимости работ в уровень цен на дату определения ПЦ осуществляется с использованием индекса фактической ин</w:t>
              <w:softHyphen/>
              <w:t>фляции (опубликованный на сайте https://www.fedstat.ru/, индексы цен на продукцию (затраты, услуги) инвестици</w:t>
              <w:softHyphen/>
              <w:t>онного назначения с 2017г., по Российской Федерации в це</w:t>
              <w:softHyphen/>
              <w:t>лом, с учетом вида экономической деятельности).</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5</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Транспортные затра</w:t>
              <w:softHyphen/>
              <w:t>ты</w:t>
            </w:r>
          </w:p>
        </w:tc>
        <w:tc>
          <w:tcPr>
            <w:tcW w:w="3722" w:type="dxa"/>
            <w:tcBorders>
              <w:left w:val="single" w:sz="4" w:space="0" w:color="000000"/>
              <w:bottom w:val="single" w:sz="4" w:space="0" w:color="000000"/>
            </w:tcBorders>
            <w:vAlign w:val="center"/>
          </w:tcPr>
          <w:p>
            <w:pPr>
              <w:pStyle w:val="Normal"/>
              <w:widowControl w:val="false"/>
              <w:tabs>
                <w:tab w:val="clear" w:pos="708"/>
              </w:tabs>
              <w:jc w:val="left"/>
              <w:rPr/>
            </w:pPr>
            <w:r>
              <w:rPr/>
              <w:t>По доставке материальных ресурсов</w:t>
            </w:r>
          </w:p>
        </w:tc>
        <w:tc>
          <w:tcPr>
            <w:tcW w:w="3658" w:type="dxa"/>
            <w:gridSpan w:val="2"/>
            <w:tcBorders>
              <w:left w:val="single" w:sz="4" w:space="0" w:color="000000"/>
              <w:bottom w:val="single" w:sz="4" w:space="0" w:color="000000"/>
            </w:tcBorders>
            <w:vAlign w:val="center"/>
          </w:tcPr>
          <w:p>
            <w:pPr>
              <w:pStyle w:val="Normal"/>
              <w:widowControl w:val="false"/>
              <w:tabs>
                <w:tab w:val="clear" w:pos="708"/>
              </w:tabs>
              <w:jc w:val="left"/>
              <w:rPr/>
            </w:pPr>
            <w:r>
              <w:rPr/>
              <w:t>в размере до 3-х процентов от отпускной цены матери</w:t>
              <w:softHyphen/>
              <w:t>альных ресурсов (при невоз</w:t>
              <w:softHyphen/>
              <w:t>можности определить затра</w:t>
              <w:softHyphen/>
              <w:t>ты расчетом или по результа</w:t>
              <w:softHyphen/>
              <w:t>там конъюнктурного анали</w:t>
              <w:softHyphen/>
              <w:t>за), по решению заказчика.</w:t>
            </w:r>
          </w:p>
        </w:tc>
        <w:tc>
          <w:tcPr>
            <w:tcW w:w="4305" w:type="dxa"/>
            <w:vMerge w:val="restart"/>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t>Только для МТР и индивидуально</w:t>
              <w:softHyphen/>
              <w:t>го стандартизированного (адап</w:t>
              <w:softHyphen/>
              <w:t>тированного) оборудования в те</w:t>
              <w:softHyphen/>
              <w:t>кущем уровне цен, информация о которых отсутствует во ФГИС ЦС и ФРСН</w:t>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center"/>
          </w:tcPr>
          <w:p>
            <w:pPr>
              <w:pStyle w:val="Normal"/>
              <w:widowControl w:val="false"/>
              <w:tabs>
                <w:tab w:val="clear" w:pos="708"/>
              </w:tabs>
              <w:jc w:val="left"/>
              <w:rPr/>
            </w:pPr>
            <w:r>
              <w:rPr/>
              <w:t>По доставке оборудования</w:t>
            </w:r>
          </w:p>
        </w:tc>
        <w:tc>
          <w:tcPr>
            <w:tcW w:w="3658" w:type="dxa"/>
            <w:gridSpan w:val="2"/>
            <w:tcBorders>
              <w:left w:val="single" w:sz="4" w:space="0" w:color="000000"/>
              <w:bottom w:val="single" w:sz="4" w:space="0" w:color="000000"/>
            </w:tcBorders>
            <w:vAlign w:val="center"/>
          </w:tcPr>
          <w:p>
            <w:pPr>
              <w:pStyle w:val="Normal"/>
              <w:widowControl w:val="false"/>
              <w:tabs>
                <w:tab w:val="clear" w:pos="708"/>
              </w:tabs>
              <w:jc w:val="left"/>
              <w:rPr/>
            </w:pPr>
            <w:r>
              <w:rPr/>
              <w:t>в размере до 3-х процентов от отпускной цены оборудо</w:t>
              <w:softHyphen/>
              <w:t>вания (при невозможности определить затраты расчетом или по результатам конъ</w:t>
              <w:softHyphen/>
              <w:t>юнктурного анализа), по ре</w:t>
              <w:softHyphen/>
              <w:t>шению заказчика.</w:t>
            </w:r>
          </w:p>
        </w:tc>
        <w:tc>
          <w:tcPr>
            <w:tcW w:w="43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6</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Заготовительно-складские расходы</w:t>
            </w:r>
          </w:p>
        </w:tc>
        <w:tc>
          <w:tcPr>
            <w:tcW w:w="3722" w:type="dxa"/>
            <w:tcBorders>
              <w:left w:val="single" w:sz="4" w:space="0" w:color="000000"/>
              <w:bottom w:val="single" w:sz="4" w:space="0" w:color="000000"/>
            </w:tcBorders>
            <w:vAlign w:val="center"/>
          </w:tcPr>
          <w:p>
            <w:pPr>
              <w:pStyle w:val="Normal"/>
              <w:widowControl w:val="false"/>
              <w:tabs>
                <w:tab w:val="clear" w:pos="708"/>
              </w:tabs>
              <w:jc w:val="left"/>
              <w:rPr/>
            </w:pPr>
            <w:r>
              <w:rPr/>
              <w:t>По доставке материальных ресурсов</w:t>
            </w:r>
          </w:p>
        </w:tc>
        <w:tc>
          <w:tcPr>
            <w:tcW w:w="3658" w:type="dxa"/>
            <w:gridSpan w:val="2"/>
            <w:tcBorders>
              <w:left w:val="single" w:sz="4" w:space="0" w:color="000000"/>
              <w:bottom w:val="single" w:sz="4" w:space="0" w:color="000000"/>
            </w:tcBorders>
            <w:vAlign w:val="center"/>
          </w:tcPr>
          <w:p>
            <w:pPr>
              <w:pStyle w:val="Normal"/>
              <w:widowControl w:val="false"/>
              <w:tabs>
                <w:tab w:val="clear" w:pos="708"/>
              </w:tabs>
              <w:jc w:val="left"/>
              <w:rPr/>
            </w:pPr>
            <w:r>
              <w:rPr/>
              <w:t xml:space="preserve">• </w:t>
            </w:r>
            <w:r>
              <w:rPr/>
              <w:t>2% от отпускной цены ма</w:t>
              <w:softHyphen/>
              <w:t>териальных ресурсов (кроме металлоконструкций);</w:t>
              <w:br/>
              <w:t>• 0,75% от отпускной цены для металлоконструкций,</w:t>
            </w:r>
          </w:p>
        </w:tc>
        <w:tc>
          <w:tcPr>
            <w:tcW w:w="4305" w:type="dxa"/>
            <w:vMerge w:val="restart"/>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t>Только для МТР и индивидуально</w:t>
              <w:softHyphen/>
              <w:t>го стандартизированного (адап</w:t>
              <w:softHyphen/>
              <w:t>тированного) оборудования в те</w:t>
              <w:softHyphen/>
              <w:t>кущем уровне цен, информация о которых отсутствует во ФГИС ЦС и ФРСН</w:t>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center"/>
          </w:tcPr>
          <w:p>
            <w:pPr>
              <w:pStyle w:val="Normal"/>
              <w:widowControl w:val="false"/>
              <w:tabs>
                <w:tab w:val="clear" w:pos="708"/>
              </w:tabs>
              <w:jc w:val="left"/>
              <w:rPr/>
            </w:pPr>
            <w:r>
              <w:rPr/>
              <w:t>По доставке оборудования</w:t>
            </w:r>
          </w:p>
        </w:tc>
        <w:tc>
          <w:tcPr>
            <w:tcW w:w="3658" w:type="dxa"/>
            <w:gridSpan w:val="2"/>
            <w:tcBorders>
              <w:left w:val="single" w:sz="4" w:space="0" w:color="000000"/>
              <w:bottom w:val="single" w:sz="4" w:space="0" w:color="000000"/>
            </w:tcBorders>
            <w:vAlign w:val="center"/>
          </w:tcPr>
          <w:p>
            <w:pPr>
              <w:pStyle w:val="Normal"/>
              <w:widowControl w:val="false"/>
              <w:tabs>
                <w:tab w:val="clear" w:pos="708"/>
              </w:tabs>
              <w:jc w:val="left"/>
              <w:rPr/>
            </w:pPr>
            <w:r>
              <w:rPr/>
              <w:t xml:space="preserve">• </w:t>
            </w:r>
            <w:r>
              <w:rPr/>
              <w:t>1,2% от отпускной цены оборудования.</w:t>
            </w:r>
          </w:p>
        </w:tc>
        <w:tc>
          <w:tcPr>
            <w:tcW w:w="43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7</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Определение стои</w:t>
              <w:softHyphen/>
              <w:t>мости дополнитель</w:t>
              <w:softHyphen/>
              <w:t xml:space="preserve">ных работ </w:t>
            </w:r>
          </w:p>
        </w:tc>
        <w:tc>
          <w:tcPr>
            <w:tcW w:w="3722" w:type="dxa"/>
            <w:tcBorders>
              <w:left w:val="single" w:sz="4" w:space="0" w:color="000000"/>
              <w:bottom w:val="single" w:sz="4" w:space="0" w:color="000000"/>
            </w:tcBorders>
            <w:vAlign w:val="center"/>
          </w:tcPr>
          <w:p>
            <w:pPr>
              <w:pStyle w:val="Normal"/>
              <w:widowControl w:val="false"/>
              <w:tabs>
                <w:tab w:val="clear" w:pos="708"/>
              </w:tabs>
              <w:jc w:val="left"/>
              <w:rPr/>
            </w:pPr>
            <w:r>
              <w:rPr/>
              <w:t>работы, входящие в договор</w:t>
              <w:softHyphen/>
              <w:t>ную стоимость (в т.ч. непред</w:t>
              <w:softHyphen/>
              <w:t>виденные работы и затраты и пр.)</w:t>
            </w:r>
          </w:p>
        </w:tc>
        <w:tc>
          <w:tcPr>
            <w:tcW w:w="3658" w:type="dxa"/>
            <w:gridSpan w:val="2"/>
            <w:tcBorders>
              <w:left w:val="single" w:sz="4" w:space="0" w:color="000000"/>
              <w:bottom w:val="single" w:sz="4" w:space="0" w:color="000000"/>
            </w:tcBorders>
            <w:vAlign w:val="center"/>
          </w:tcPr>
          <w:p>
            <w:pPr>
              <w:pStyle w:val="Normal"/>
              <w:widowControl w:val="false"/>
              <w:tabs>
                <w:tab w:val="clear" w:pos="708"/>
              </w:tabs>
              <w:jc w:val="center"/>
              <w:rPr/>
            </w:pPr>
            <w:r>
              <w:rPr/>
              <w:t>При составлении сметной до</w:t>
              <w:softHyphen/>
              <w:t>кументации необходимо ру</w:t>
              <w:softHyphen/>
              <w:t>ководствоваться условиями ценообразования, учтенными в сметной документации к основному договору (допол</w:t>
              <w:softHyphen/>
              <w:t>нительному соглашению) в том числе: сметно-норматив</w:t>
              <w:softHyphen/>
              <w:t>ная база, индексы перевода в текущие цены, понижающие договорные коэффициенты, индексы-дефляторы.</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center"/>
          </w:tcPr>
          <w:p>
            <w:pPr>
              <w:pStyle w:val="Normal"/>
              <w:widowControl w:val="false"/>
              <w:tabs>
                <w:tab w:val="clear" w:pos="708"/>
              </w:tabs>
              <w:jc w:val="left"/>
              <w:rPr/>
            </w:pPr>
            <w:r>
              <w:rPr/>
              <w:t>работы, не учтенных основ</w:t>
              <w:softHyphen/>
              <w:t>ным договором</w:t>
            </w:r>
          </w:p>
        </w:tc>
        <w:tc>
          <w:tcPr>
            <w:tcW w:w="3658" w:type="dxa"/>
            <w:gridSpan w:val="2"/>
            <w:tcBorders>
              <w:left w:val="single" w:sz="4" w:space="0" w:color="000000"/>
              <w:bottom w:val="single" w:sz="4" w:space="0" w:color="000000"/>
            </w:tcBorders>
            <w:vAlign w:val="center"/>
          </w:tcPr>
          <w:p>
            <w:pPr>
              <w:pStyle w:val="Normal"/>
              <w:widowControl w:val="false"/>
              <w:tabs>
                <w:tab w:val="clear" w:pos="708"/>
              </w:tabs>
              <w:jc w:val="center"/>
              <w:rPr/>
            </w:pPr>
            <w:r>
              <w:rPr/>
              <w:t>При составлении сметной до</w:t>
              <w:softHyphen/>
              <w:t>кументации необходимо учи</w:t>
              <w:softHyphen/>
              <w:t>тывать условия ценообразо</w:t>
              <w:softHyphen/>
              <w:t>вания актуальные на момент составления сметной доку</w:t>
              <w:softHyphen/>
              <w:t>ментации</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center"/>
          </w:tcPr>
          <w:p>
            <w:pPr>
              <w:pStyle w:val="Normal"/>
              <w:widowControl w:val="false"/>
              <w:tabs>
                <w:tab w:val="clear" w:pos="708"/>
              </w:tabs>
              <w:jc w:val="left"/>
              <w:rPr/>
            </w:pPr>
            <w:r>
              <w:rPr/>
              <w:t>аварийно-восстановительные работы</w:t>
            </w:r>
          </w:p>
        </w:tc>
        <w:tc>
          <w:tcPr>
            <w:tcW w:w="3658" w:type="dxa"/>
            <w:gridSpan w:val="2"/>
            <w:tcBorders>
              <w:left w:val="single" w:sz="4" w:space="0" w:color="000000"/>
              <w:bottom w:val="single" w:sz="4" w:space="0" w:color="000000"/>
            </w:tcBorders>
            <w:vAlign w:val="center"/>
          </w:tcPr>
          <w:p>
            <w:pPr>
              <w:pStyle w:val="Normal"/>
              <w:widowControl w:val="false"/>
              <w:tabs>
                <w:tab w:val="clear" w:pos="708"/>
              </w:tabs>
              <w:jc w:val="center"/>
              <w:rPr/>
            </w:pPr>
            <w:r>
              <w:rPr/>
              <w:t>При составлении сметной до</w:t>
              <w:softHyphen/>
              <w:t>кументации руководство</w:t>
              <w:softHyphen/>
              <w:t>ваться ЛНА Заказчика</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8</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Резерв средств на непредвиденные ра</w:t>
              <w:softHyphen/>
              <w:t xml:space="preserve">боты и затраты </w:t>
              <w:br/>
            </w:r>
          </w:p>
        </w:tc>
        <w:tc>
          <w:tcPr>
            <w:tcW w:w="5416" w:type="dxa"/>
            <w:gridSpan w:val="2"/>
            <w:tcBorders>
              <w:left w:val="single" w:sz="4" w:space="0" w:color="000000"/>
              <w:bottom w:val="single" w:sz="4" w:space="0" w:color="000000"/>
            </w:tcBorders>
            <w:vAlign w:val="center"/>
          </w:tcPr>
          <w:p>
            <w:pPr>
              <w:pStyle w:val="Normal"/>
              <w:widowControl w:val="false"/>
              <w:tabs>
                <w:tab w:val="clear" w:pos="708"/>
              </w:tabs>
              <w:jc w:val="center"/>
              <w:rPr/>
            </w:pPr>
            <w:r>
              <w:rPr/>
              <w:t>Начислять в смете / ССР в процентах, в со</w:t>
              <w:softHyphen/>
              <w:t xml:space="preserve">ответствии с указаниями в утвержденных ТТ. </w:t>
            </w:r>
          </w:p>
        </w:tc>
        <w:tc>
          <w:tcPr>
            <w:tcW w:w="1964" w:type="dxa"/>
            <w:tcBorders>
              <w:left w:val="single" w:sz="4" w:space="0" w:color="000000"/>
              <w:bottom w:val="single" w:sz="4" w:space="0" w:color="000000"/>
            </w:tcBorders>
            <w:vAlign w:val="center"/>
          </w:tcPr>
          <w:p>
            <w:pPr>
              <w:pStyle w:val="Normal"/>
              <w:widowControl w:val="false"/>
              <w:tabs>
                <w:tab w:val="clear" w:pos="708"/>
              </w:tabs>
              <w:jc w:val="center"/>
              <w:rPr/>
            </w:pPr>
            <w:r>
              <w:rPr/>
              <w:t>3%</w:t>
            </w:r>
          </w:p>
        </w:tc>
        <w:tc>
          <w:tcPr>
            <w:tcW w:w="4305" w:type="dxa"/>
            <w:vMerge w:val="restart"/>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t>Порядок расчета за непредвиден</w:t>
              <w:softHyphen/>
              <w:t>ные работы и затраты оговари</w:t>
              <w:softHyphen/>
              <w:t>вать в договоре подряда.</w:t>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center"/>
              <w:rPr/>
            </w:pPr>
            <w:r>
              <w:rPr/>
              <w:t>Сметная документация на непредвиденные работы и затра</w:t>
              <w:softHyphen/>
              <w:t xml:space="preserve">ты составляется на основании ведомостей объемов работ, проектной/рабочей либо иной технической документации. </w:t>
            </w:r>
          </w:p>
        </w:tc>
        <w:tc>
          <w:tcPr>
            <w:tcW w:w="4305" w:type="dxa"/>
            <w:vMerge w:val="continue"/>
            <w:tcBorders>
              <w:left w:val="single" w:sz="4" w:space="0" w:color="000000"/>
              <w:bottom w:val="single" w:sz="4" w:space="0" w:color="000000"/>
              <w:right w:val="single" w:sz="4" w:space="0" w:color="000000"/>
            </w:tcBorders>
            <w:vAlign w:val="center"/>
          </w:tcPr>
          <w:p>
            <w:pPr>
              <w:pStyle w:val="Normal"/>
              <w:widowControl w:val="false"/>
              <w:rPr/>
            </w:pPr>
            <w:r>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9</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Командировочные расходы</w:t>
              <w:br/>
              <w:t>При необходимости учета командировоч</w:t>
              <w:softHyphen/>
              <w:t>ных расходов в сметной документа</w:t>
              <w:softHyphen/>
              <w:t xml:space="preserve">ции составляется расчет. </w:t>
            </w:r>
          </w:p>
        </w:tc>
        <w:tc>
          <w:tcPr>
            <w:tcW w:w="3722" w:type="dxa"/>
            <w:tcBorders>
              <w:left w:val="single" w:sz="4" w:space="0" w:color="000000"/>
              <w:bottom w:val="single" w:sz="4" w:space="0" w:color="000000"/>
            </w:tcBorders>
            <w:vAlign w:val="center"/>
          </w:tcPr>
          <w:p>
            <w:pPr>
              <w:pStyle w:val="Normal"/>
              <w:widowControl w:val="false"/>
              <w:tabs>
                <w:tab w:val="clear" w:pos="708"/>
              </w:tabs>
              <w:jc w:val="center"/>
              <w:rPr/>
            </w:pPr>
            <w:r>
              <w:rPr/>
              <w:t>Суточные</w:t>
            </w:r>
          </w:p>
        </w:tc>
        <w:tc>
          <w:tcPr>
            <w:tcW w:w="1694" w:type="dxa"/>
            <w:tcBorders>
              <w:left w:val="single" w:sz="4" w:space="0" w:color="000000"/>
              <w:bottom w:val="single" w:sz="4" w:space="0" w:color="000000"/>
            </w:tcBorders>
            <w:vAlign w:val="center"/>
          </w:tcPr>
          <w:p>
            <w:pPr>
              <w:pStyle w:val="Normal"/>
              <w:widowControl w:val="false"/>
              <w:tabs>
                <w:tab w:val="clear" w:pos="708"/>
              </w:tabs>
              <w:jc w:val="center"/>
              <w:rPr/>
            </w:pPr>
            <w:r>
              <w:rPr/>
              <w:t>СМР, ПНР, ТО, при командирован</w:t>
              <w:softHyphen/>
              <w:t>ии на территории не относящиеся к районам Крайнего Севера</w:t>
            </w:r>
          </w:p>
        </w:tc>
        <w:tc>
          <w:tcPr>
            <w:tcW w:w="1964" w:type="dxa"/>
            <w:tcBorders>
              <w:left w:val="single" w:sz="4" w:space="0" w:color="000000"/>
              <w:bottom w:val="single" w:sz="4" w:space="0" w:color="000000"/>
            </w:tcBorders>
            <w:vAlign w:val="center"/>
          </w:tcPr>
          <w:p>
            <w:pPr>
              <w:pStyle w:val="Normal"/>
              <w:widowControl w:val="false"/>
              <w:tabs>
                <w:tab w:val="clear" w:pos="708"/>
              </w:tabs>
              <w:jc w:val="right"/>
              <w:rPr/>
            </w:pPr>
            <w:r>
              <w:rPr/>
              <w:t>700</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pPr>
            <w:r>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3722" w:type="dxa"/>
            <w:tcBorders>
              <w:left w:val="single" w:sz="4" w:space="0" w:color="000000"/>
              <w:bottom w:val="single" w:sz="4" w:space="0" w:color="000000"/>
            </w:tcBorders>
            <w:vAlign w:val="center"/>
          </w:tcPr>
          <w:p>
            <w:pPr>
              <w:pStyle w:val="Normal"/>
              <w:widowControl w:val="false"/>
              <w:tabs>
                <w:tab w:val="clear" w:pos="708"/>
              </w:tabs>
              <w:jc w:val="center"/>
              <w:rPr/>
            </w:pPr>
            <w:r>
              <w:rPr/>
              <w:t>Проживание</w:t>
            </w:r>
          </w:p>
        </w:tc>
        <w:tc>
          <w:tcPr>
            <w:tcW w:w="1694" w:type="dxa"/>
            <w:tcBorders>
              <w:left w:val="single" w:sz="4" w:space="0" w:color="000000"/>
              <w:bottom w:val="single" w:sz="4" w:space="0" w:color="000000"/>
            </w:tcBorders>
            <w:vAlign w:val="center"/>
          </w:tcPr>
          <w:p>
            <w:pPr>
              <w:pStyle w:val="Normal"/>
              <w:widowControl w:val="false"/>
              <w:tabs>
                <w:tab w:val="clear" w:pos="708"/>
              </w:tabs>
              <w:jc w:val="center"/>
              <w:rPr/>
            </w:pPr>
            <w:r>
              <w:rPr/>
              <w:t>СМР, ПНР, ТО, при командирован</w:t>
              <w:softHyphen/>
              <w:t>ии на тер</w:t>
              <w:softHyphen/>
              <w:t>ритории не относящиеся к районам Крайнего Севера</w:t>
            </w:r>
          </w:p>
        </w:tc>
        <w:tc>
          <w:tcPr>
            <w:tcW w:w="1964" w:type="dxa"/>
            <w:tcBorders>
              <w:left w:val="single" w:sz="4" w:space="0" w:color="000000"/>
              <w:bottom w:val="single" w:sz="4" w:space="0" w:color="000000"/>
            </w:tcBorders>
            <w:vAlign w:val="center"/>
          </w:tcPr>
          <w:p>
            <w:pPr>
              <w:pStyle w:val="Normal"/>
              <w:widowControl w:val="false"/>
              <w:tabs>
                <w:tab w:val="clear" w:pos="708"/>
              </w:tabs>
              <w:jc w:val="right"/>
              <w:rPr/>
            </w:pPr>
            <w:r>
              <w:rPr/>
              <w:t>500</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5416" w:type="dxa"/>
            <w:gridSpan w:val="2"/>
            <w:tcBorders>
              <w:left w:val="single" w:sz="4" w:space="0" w:color="000000"/>
              <w:bottom w:val="single" w:sz="4" w:space="0" w:color="000000"/>
            </w:tcBorders>
            <w:vAlign w:val="center"/>
          </w:tcPr>
          <w:p>
            <w:pPr>
              <w:pStyle w:val="Normal"/>
              <w:widowControl w:val="false"/>
              <w:tabs>
                <w:tab w:val="clear" w:pos="708"/>
              </w:tabs>
              <w:jc w:val="left"/>
              <w:rPr/>
            </w:pPr>
            <w:r>
              <w:rPr/>
              <w:t>Проезд: поезд (купе) или самолет (класс–эконом с багажом до 20 (двадцати) кг, руч</w:t>
              <w:softHyphen/>
              <w:t>ная кладь до 10 (десяти) кг).</w:t>
              <w:br/>
              <w:t>Документы обосновывающие стоимость проезда прикладываютсся в обязательном порядке</w:t>
            </w:r>
          </w:p>
        </w:tc>
        <w:tc>
          <w:tcPr>
            <w:tcW w:w="1964" w:type="dxa"/>
            <w:tcBorders>
              <w:left w:val="single" w:sz="4" w:space="0" w:color="000000"/>
              <w:bottom w:val="single" w:sz="4" w:space="0" w:color="000000"/>
            </w:tcBorders>
            <w:vAlign w:val="center"/>
          </w:tcPr>
          <w:p>
            <w:pPr>
              <w:pStyle w:val="Normal"/>
              <w:widowControl w:val="false"/>
              <w:tabs>
                <w:tab w:val="clear" w:pos="708"/>
              </w:tabs>
              <w:jc w:val="left"/>
              <w:rPr/>
            </w:pPr>
            <w:r>
              <w:rPr/>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i/>
                <w:i/>
              </w:rPr>
            </w:pPr>
            <w:r>
              <w:rPr>
                <w:i/>
              </w:rPr>
            </w:r>
          </w:p>
        </w:tc>
      </w:tr>
      <w:tr>
        <w:trPr/>
        <w:tc>
          <w:tcPr>
            <w:tcW w:w="599"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11</w:t>
            </w:r>
          </w:p>
        </w:tc>
        <w:tc>
          <w:tcPr>
            <w:tcW w:w="2654" w:type="dxa"/>
            <w:vMerge w:val="restart"/>
            <w:tcBorders>
              <w:left w:val="single" w:sz="4" w:space="0" w:color="000000"/>
              <w:bottom w:val="single" w:sz="4" w:space="0" w:color="000000"/>
            </w:tcBorders>
            <w:vAlign w:val="center"/>
          </w:tcPr>
          <w:p>
            <w:pPr>
              <w:pStyle w:val="Normal"/>
              <w:widowControl w:val="false"/>
              <w:tabs>
                <w:tab w:val="clear" w:pos="708"/>
              </w:tabs>
              <w:jc w:val="center"/>
              <w:rPr/>
            </w:pPr>
            <w:r>
              <w:rPr/>
              <w:t>Исключение затрат из норм и расценок в соответствии с усло</w:t>
              <w:softHyphen/>
              <w:t>виями ТТ</w:t>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left"/>
              <w:rPr/>
            </w:pPr>
            <w:r>
              <w:rPr/>
              <w:t>По предоставляемой электроэнергии (в том числе, в составе стоимости машино-часа):</w:t>
              <w:br/>
              <w:t>- Рассчитанная сумма возврата стоимости электрической энергии (со знаком «–») учитывается в последней главе ССРСС, где имеется смета на СМР (как правило, в главах 1-7, если затраты по главе 8 определены на основании смет, то сумма возврата стоимости электрической энергии учиты</w:t>
              <w:softHyphen/>
              <w:t>вается в главе 8).</w:t>
              <w:br/>
              <w:t>- Индекс пересчета в текущие цены применять аналогичный примененному в сметной документации.</w:t>
              <w:br/>
              <w:t>- При применении индексов по статьям затрат в сметной до</w:t>
              <w:softHyphen/>
              <w:t>кументации для данного ресурса применять индекс на мате</w:t>
              <w:softHyphen/>
              <w:t>риалы.</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pPr>
            <w:r>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left"/>
              <w:rPr/>
            </w:pPr>
            <w:r>
              <w:rPr/>
              <w:t xml:space="preserve">По предоставляемому сжатому воздуху из норм и расценок исключать стоимость компрессоров. </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pPr>
            <w:r>
              <w:rPr/>
            </w:r>
          </w:p>
        </w:tc>
      </w:tr>
      <w:tr>
        <w:trPr/>
        <w:tc>
          <w:tcPr>
            <w:tcW w:w="599" w:type="dxa"/>
            <w:vMerge w:val="continue"/>
            <w:tcBorders>
              <w:left w:val="single" w:sz="4" w:space="0" w:color="000000"/>
              <w:bottom w:val="single" w:sz="4" w:space="0" w:color="000000"/>
            </w:tcBorders>
            <w:vAlign w:val="center"/>
          </w:tcPr>
          <w:p>
            <w:pPr>
              <w:pStyle w:val="Normal"/>
              <w:widowControl w:val="false"/>
              <w:rPr/>
            </w:pPr>
            <w:r>
              <w:rPr/>
            </w:r>
          </w:p>
        </w:tc>
        <w:tc>
          <w:tcPr>
            <w:tcW w:w="2654" w:type="dxa"/>
            <w:vMerge w:val="continue"/>
            <w:tcBorders>
              <w:left w:val="single" w:sz="4" w:space="0" w:color="000000"/>
              <w:bottom w:val="single" w:sz="4" w:space="0" w:color="000000"/>
            </w:tcBorders>
            <w:vAlign w:val="center"/>
          </w:tcPr>
          <w:p>
            <w:pPr>
              <w:pStyle w:val="Normal"/>
              <w:widowControl w:val="false"/>
              <w:rPr/>
            </w:pPr>
            <w:r>
              <w:rPr/>
            </w:r>
          </w:p>
        </w:tc>
        <w:tc>
          <w:tcPr>
            <w:tcW w:w="7380" w:type="dxa"/>
            <w:gridSpan w:val="3"/>
            <w:tcBorders>
              <w:left w:val="single" w:sz="4" w:space="0" w:color="000000"/>
              <w:bottom w:val="single" w:sz="4" w:space="0" w:color="000000"/>
            </w:tcBorders>
            <w:vAlign w:val="center"/>
          </w:tcPr>
          <w:p>
            <w:pPr>
              <w:pStyle w:val="Normal"/>
              <w:widowControl w:val="false"/>
              <w:tabs>
                <w:tab w:val="clear" w:pos="708"/>
              </w:tabs>
              <w:jc w:val="left"/>
              <w:rPr/>
            </w:pPr>
            <w:r>
              <w:rPr/>
              <w:t>Учтенные в составе накладных расходов:</w:t>
              <w:br/>
              <w:t>- расходы по обеспечению санитарно-гигиенических и бы</w:t>
              <w:softHyphen/>
              <w:t>товых условий (удельный вес статьи затрат в накладных расходах - 3,1%);</w:t>
              <w:br/>
              <w:t>- содержание пожарной и сторожевой охраны (удельный вес статьи затрат в накладных расходах -2,0%);</w:t>
              <w:br/>
              <w:t>- расходы по благоустройству и содержанию строительных площадок (удельный вес статьи затрат в накладных расхо</w:t>
              <w:softHyphen/>
              <w:t xml:space="preserve">дах -1,7%) </w:t>
              <w:br/>
              <w:t>исключаются путем применения понижающего коэффици</w:t>
              <w:softHyphen/>
              <w:t>ента к нормативам накладных расходов на строительные ра</w:t>
              <w:softHyphen/>
              <w:t>боты в размере 0,93. Понижающий коэффициент не приме</w:t>
              <w:softHyphen/>
              <w:t>няется к нормативам накладных расходов на ремонтно-строительные работы, работы по реконструкции зданий и сооружений (ГЭСН/ФЕР/ТЕР-2001-46), монтажные и пуско</w:t>
              <w:softHyphen/>
              <w:t>наладочные работы.</w:t>
            </w:r>
          </w:p>
        </w:tc>
        <w:tc>
          <w:tcPr>
            <w:tcW w:w="4305" w:type="dxa"/>
            <w:tcBorders>
              <w:left w:val="single" w:sz="4" w:space="0" w:color="000000"/>
              <w:bottom w:val="single" w:sz="4" w:space="0" w:color="000000"/>
              <w:right w:val="single" w:sz="4" w:space="0" w:color="000000"/>
            </w:tcBorders>
            <w:vAlign w:val="center"/>
          </w:tcPr>
          <w:p>
            <w:pPr>
              <w:pStyle w:val="Normal"/>
              <w:widowControl w:val="false"/>
              <w:tabs>
                <w:tab w:val="clear" w:pos="708"/>
              </w:tabs>
              <w:jc w:val="center"/>
              <w:rPr/>
            </w:pPr>
            <w:r>
              <w:rPr/>
            </w:r>
          </w:p>
        </w:tc>
      </w:tr>
    </w:tbl>
    <w:p>
      <w:pPr>
        <w:pStyle w:val="Normal"/>
        <w:rPr/>
      </w:pPr>
      <w:r>
        <w:rPr/>
      </w:r>
      <w:bookmarkStart w:id="117" w:name="_Ref40301253_Копия_1_Копия_1"/>
      <w:bookmarkStart w:id="118" w:name="_Ref40301253_Копия_1_Копия_1"/>
      <w:bookmarkEnd w:id="118"/>
    </w:p>
    <w:sectPr>
      <w:headerReference w:type="default" r:id="rId69"/>
      <w:headerReference w:type="first" r:id="rId70"/>
      <w:footerReference w:type="default" r:id="rId71"/>
      <w:footerReference w:type="first" r:id="rId72"/>
      <w:type w:val="nextPage"/>
      <w:pgSz w:orient="landscape" w:w="16838" w:h="11906"/>
      <w:pgMar w:left="1134" w:right="1134" w:gutter="0" w:header="0" w:top="500" w:footer="0" w:bottom="1134"/>
      <w:pgNumType w:fmt="decimal"/>
      <w:formProt w:val="false"/>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Book Antiqua">
    <w:charset w:val="01"/>
    <w:family w:val="roman"/>
    <w:pitch w:val="variable"/>
  </w:font>
  <w:font w:name="Courier New">
    <w:charset w:val="01"/>
    <w:family w:val="roman"/>
    <w:pitch w:val="variable"/>
  </w:font>
  <w:font w:name="Symbol">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8</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bullet"/>
      <w:lvlText w:val=""/>
      <w:lvlJc w:val="left"/>
      <w:pPr>
        <w:tabs>
          <w:tab w:val="num" w:pos="0"/>
        </w:tabs>
        <w:ind w:left="1026" w:hanging="360"/>
      </w:pPr>
      <w:rPr>
        <w:rFonts w:ascii="Symbol" w:hAnsi="Symbol" w:cs="Symbol" w:hint="default"/>
      </w:rPr>
    </w:lvl>
    <w:lvl w:ilvl="1">
      <w:start w:val="1"/>
      <w:numFmt w:val="bullet"/>
      <w:lvlText w:val="o"/>
      <w:lvlJc w:val="left"/>
      <w:pPr>
        <w:tabs>
          <w:tab w:val="num" w:pos="0"/>
        </w:tabs>
        <w:ind w:left="1746" w:hanging="360"/>
      </w:pPr>
      <w:rPr>
        <w:rFonts w:ascii="Courier New" w:hAnsi="Courier New" w:cs="Courier New" w:hint="default"/>
      </w:rPr>
    </w:lvl>
    <w:lvl w:ilvl="2">
      <w:start w:val="1"/>
      <w:numFmt w:val="bullet"/>
      <w:lvlText w:val=""/>
      <w:lvlJc w:val="left"/>
      <w:pPr>
        <w:tabs>
          <w:tab w:val="num" w:pos="0"/>
        </w:tabs>
        <w:ind w:left="2466" w:hanging="360"/>
      </w:pPr>
      <w:rPr>
        <w:rFonts w:ascii="Wingdings" w:hAnsi="Wingdings" w:cs="Wingdings" w:hint="default"/>
      </w:rPr>
    </w:lvl>
    <w:lvl w:ilvl="3">
      <w:start w:val="1"/>
      <w:numFmt w:val="bullet"/>
      <w:lvlText w:val=""/>
      <w:lvlJc w:val="left"/>
      <w:pPr>
        <w:tabs>
          <w:tab w:val="num" w:pos="0"/>
        </w:tabs>
        <w:ind w:left="3186" w:hanging="360"/>
      </w:pPr>
      <w:rPr>
        <w:rFonts w:ascii="Symbol" w:hAnsi="Symbol" w:cs="Symbol" w:hint="default"/>
      </w:rPr>
    </w:lvl>
    <w:lvl w:ilvl="4">
      <w:start w:val="1"/>
      <w:numFmt w:val="bullet"/>
      <w:lvlText w:val="o"/>
      <w:lvlJc w:val="left"/>
      <w:pPr>
        <w:tabs>
          <w:tab w:val="num" w:pos="0"/>
        </w:tabs>
        <w:ind w:left="3906" w:hanging="360"/>
      </w:pPr>
      <w:rPr>
        <w:rFonts w:ascii="Courier New" w:hAnsi="Courier New" w:cs="Courier New" w:hint="default"/>
      </w:rPr>
    </w:lvl>
    <w:lvl w:ilvl="5">
      <w:start w:val="1"/>
      <w:numFmt w:val="bullet"/>
      <w:lvlText w:val=""/>
      <w:lvlJc w:val="left"/>
      <w:pPr>
        <w:tabs>
          <w:tab w:val="num" w:pos="0"/>
        </w:tabs>
        <w:ind w:left="4626" w:hanging="360"/>
      </w:pPr>
      <w:rPr>
        <w:rFonts w:ascii="Wingdings" w:hAnsi="Wingdings" w:cs="Wingdings" w:hint="default"/>
      </w:rPr>
    </w:lvl>
    <w:lvl w:ilvl="6">
      <w:start w:val="1"/>
      <w:numFmt w:val="bullet"/>
      <w:lvlText w:val=""/>
      <w:lvlJc w:val="left"/>
      <w:pPr>
        <w:tabs>
          <w:tab w:val="num" w:pos="0"/>
        </w:tabs>
        <w:ind w:left="5346" w:hanging="360"/>
      </w:pPr>
      <w:rPr>
        <w:rFonts w:ascii="Symbol" w:hAnsi="Symbol" w:cs="Symbol" w:hint="default"/>
      </w:rPr>
    </w:lvl>
    <w:lvl w:ilvl="7">
      <w:start w:val="1"/>
      <w:numFmt w:val="bullet"/>
      <w:lvlText w:val="o"/>
      <w:lvlJc w:val="left"/>
      <w:pPr>
        <w:tabs>
          <w:tab w:val="num" w:pos="0"/>
        </w:tabs>
        <w:ind w:left="6066" w:hanging="360"/>
      </w:pPr>
      <w:rPr>
        <w:rFonts w:ascii="Courier New" w:hAnsi="Courier New" w:cs="Courier New" w:hint="default"/>
      </w:rPr>
    </w:lvl>
    <w:lvl w:ilvl="8">
      <w:start w:val="1"/>
      <w:numFmt w:val="bullet"/>
      <w:lvlText w:val=""/>
      <w:lvlJc w:val="left"/>
      <w:pPr>
        <w:tabs>
          <w:tab w:val="num" w:pos="0"/>
        </w:tabs>
        <w:ind w:left="6786"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502" w:hanging="360"/>
      </w:pPr>
      <w:rPr>
        <w:sz w:val="24"/>
        <w:szCs w:val="24"/>
        <w:rFonts w:ascii="Times New Roman" w:hAnsi="Times New Roman"/>
      </w:rPr>
    </w:lvl>
    <w:lvl w:ilvl="1">
      <w:start w:val="1"/>
      <w:numFmt w:val="decimal"/>
      <w:lvlText w:val="%1.%2."/>
      <w:lvlJc w:val="left"/>
      <w:pPr>
        <w:tabs>
          <w:tab w:val="num" w:pos="0"/>
        </w:tabs>
        <w:ind w:left="952" w:hanging="450"/>
      </w:pPr>
      <w:rPr>
        <w:sz w:val="24"/>
        <w:szCs w:val="24"/>
        <w:rFonts w:ascii="Times New Roman" w:hAnsi="Times New Roman"/>
      </w:rPr>
    </w:lvl>
    <w:lvl w:ilvl="2">
      <w:start w:val="1"/>
      <w:numFmt w:val="decimal"/>
      <w:lvlText w:val="%1.%2.%3."/>
      <w:lvlJc w:val="left"/>
      <w:pPr>
        <w:tabs>
          <w:tab w:val="num" w:pos="0"/>
        </w:tabs>
        <w:ind w:left="1582" w:hanging="720"/>
      </w:pPr>
      <w:rPr>
        <w:sz w:val="24"/>
        <w:szCs w:val="24"/>
        <w:rFonts w:ascii="Times New Roman" w:hAnsi="Times New Roman"/>
      </w:rPr>
    </w:lvl>
    <w:lvl w:ilvl="3">
      <w:start w:val="1"/>
      <w:numFmt w:val="decimal"/>
      <w:lvlText w:val="%1.%2.%3.%4."/>
      <w:lvlJc w:val="left"/>
      <w:pPr>
        <w:tabs>
          <w:tab w:val="num" w:pos="0"/>
        </w:tabs>
        <w:ind w:left="1942" w:hanging="720"/>
      </w:pPr>
      <w:rPr>
        <w:sz w:val="24"/>
        <w:szCs w:val="24"/>
        <w:rFonts w:ascii="Times New Roman" w:hAnsi="Times New Roman"/>
      </w:rPr>
    </w:lvl>
    <w:lvl w:ilvl="4">
      <w:start w:val="1"/>
      <w:numFmt w:val="decimal"/>
      <w:lvlText w:val="%1.%2.%3.%4.%5."/>
      <w:lvlJc w:val="left"/>
      <w:pPr>
        <w:tabs>
          <w:tab w:val="num" w:pos="0"/>
        </w:tabs>
        <w:ind w:left="2662" w:hanging="1080"/>
      </w:pPr>
      <w:rPr>
        <w:sz w:val="24"/>
        <w:szCs w:val="24"/>
        <w:rFonts w:ascii="Times New Roman" w:hAnsi="Times New Roman"/>
      </w:rPr>
    </w:lvl>
    <w:lvl w:ilvl="5">
      <w:start w:val="1"/>
      <w:numFmt w:val="decimal"/>
      <w:lvlText w:val="%1.%2.%3.%4.%5.%6."/>
      <w:lvlJc w:val="left"/>
      <w:pPr>
        <w:tabs>
          <w:tab w:val="num" w:pos="0"/>
        </w:tabs>
        <w:ind w:left="3022" w:hanging="1080"/>
      </w:pPr>
      <w:rPr>
        <w:sz w:val="24"/>
        <w:szCs w:val="24"/>
        <w:rFonts w:ascii="Times New Roman" w:hAnsi="Times New Roman"/>
      </w:rPr>
    </w:lvl>
    <w:lvl w:ilvl="6">
      <w:start w:val="1"/>
      <w:numFmt w:val="decimal"/>
      <w:lvlText w:val="%1.%2.%3.%4.%5.%6.%7."/>
      <w:lvlJc w:val="left"/>
      <w:pPr>
        <w:tabs>
          <w:tab w:val="num" w:pos="0"/>
        </w:tabs>
        <w:ind w:left="3382" w:hanging="1080"/>
      </w:pPr>
      <w:rPr>
        <w:sz w:val="24"/>
        <w:szCs w:val="24"/>
        <w:rFonts w:ascii="Times New Roman" w:hAnsi="Times New Roman"/>
      </w:rPr>
    </w:lvl>
    <w:lvl w:ilvl="7">
      <w:start w:val="1"/>
      <w:numFmt w:val="decimal"/>
      <w:lvlText w:val="%1.%2.%3.%4.%5.%6.%7.%8."/>
      <w:lvlJc w:val="left"/>
      <w:pPr>
        <w:tabs>
          <w:tab w:val="num" w:pos="0"/>
        </w:tabs>
        <w:ind w:left="4102" w:hanging="1440"/>
      </w:pPr>
      <w:rPr>
        <w:sz w:val="24"/>
        <w:szCs w:val="24"/>
        <w:rFonts w:ascii="Times New Roman" w:hAnsi="Times New Roman"/>
      </w:rPr>
    </w:lvl>
    <w:lvl w:ilvl="8">
      <w:start w:val="1"/>
      <w:numFmt w:val="decimal"/>
      <w:lvlText w:val="%1.%2.%3.%4.%5.%6.%7.%8.%9."/>
      <w:lvlJc w:val="left"/>
      <w:pPr>
        <w:tabs>
          <w:tab w:val="num" w:pos="0"/>
        </w:tabs>
        <w:ind w:left="4462" w:hanging="1440"/>
      </w:pPr>
      <w:rPr>
        <w:sz w:val="24"/>
        <w:szCs w:val="24"/>
        <w:rFonts w:ascii="Times New Roman" w:hAnsi="Times New Roman"/>
      </w:rPr>
    </w:lvl>
  </w:abstractNum>
  <w:abstractNum w:abstractNumId="10">
    <w:lvl w:ilvl="0">
      <w:start w:val="1"/>
      <w:numFmt w:val="bullet"/>
      <w:lvlText w:val=""/>
      <w:lvlJc w:val="left"/>
      <w:pPr>
        <w:tabs>
          <w:tab w:val="num" w:pos="502"/>
        </w:tabs>
        <w:ind w:left="502" w:hanging="360"/>
      </w:pPr>
      <w:rPr>
        <w:rFonts w:ascii="Symbol" w:hAnsi="Symbol" w:cs="Symbol" w:hint="default"/>
      </w:rPr>
    </w:lvl>
    <w:lvl w:ilvl="1">
      <w:start w:val="1"/>
      <w:numFmt w:val="bullet"/>
      <w:lvlText w:val="◦"/>
      <w:lvlJc w:val="left"/>
      <w:pPr>
        <w:tabs>
          <w:tab w:val="num" w:pos="862"/>
        </w:tabs>
        <w:ind w:left="862" w:hanging="360"/>
      </w:pPr>
      <w:rPr>
        <w:rFonts w:ascii="OpenSymbol" w:hAnsi="OpenSymbol" w:cs="OpenSymbol" w:hint="default"/>
      </w:rPr>
    </w:lvl>
    <w:lvl w:ilvl="2">
      <w:start w:val="1"/>
      <w:numFmt w:val="bullet"/>
      <w:lvlText w:val="▪"/>
      <w:lvlJc w:val="left"/>
      <w:pPr>
        <w:tabs>
          <w:tab w:val="num" w:pos="1222"/>
        </w:tabs>
        <w:ind w:left="1222" w:hanging="360"/>
      </w:pPr>
      <w:rPr>
        <w:rFonts w:ascii="OpenSymbol" w:hAnsi="OpenSymbol" w:cs="OpenSymbol" w:hint="default"/>
      </w:rPr>
    </w:lvl>
    <w:lvl w:ilvl="3">
      <w:start w:val="1"/>
      <w:numFmt w:val="bullet"/>
      <w:lvlText w:val=""/>
      <w:lvlJc w:val="left"/>
      <w:pPr>
        <w:tabs>
          <w:tab w:val="num" w:pos="1582"/>
        </w:tabs>
        <w:ind w:left="1582" w:hanging="360"/>
      </w:pPr>
      <w:rPr>
        <w:rFonts w:ascii="Symbol" w:hAnsi="Symbol" w:cs="Symbol" w:hint="default"/>
      </w:rPr>
    </w:lvl>
    <w:lvl w:ilvl="4">
      <w:start w:val="1"/>
      <w:numFmt w:val="bullet"/>
      <w:lvlText w:val="◦"/>
      <w:lvlJc w:val="left"/>
      <w:pPr>
        <w:tabs>
          <w:tab w:val="num" w:pos="1942"/>
        </w:tabs>
        <w:ind w:left="1942" w:hanging="360"/>
      </w:pPr>
      <w:rPr>
        <w:rFonts w:ascii="OpenSymbol" w:hAnsi="OpenSymbol" w:cs="OpenSymbol" w:hint="default"/>
      </w:rPr>
    </w:lvl>
    <w:lvl w:ilvl="5">
      <w:start w:val="1"/>
      <w:numFmt w:val="bullet"/>
      <w:lvlText w:val="▪"/>
      <w:lvlJc w:val="left"/>
      <w:pPr>
        <w:tabs>
          <w:tab w:val="num" w:pos="2302"/>
        </w:tabs>
        <w:ind w:left="2302" w:hanging="360"/>
      </w:pPr>
      <w:rPr>
        <w:rFonts w:ascii="OpenSymbol" w:hAnsi="OpenSymbol" w:cs="OpenSymbol" w:hint="default"/>
      </w:rPr>
    </w:lvl>
    <w:lvl w:ilvl="6">
      <w:start w:val="1"/>
      <w:numFmt w:val="bullet"/>
      <w:lvlText w:val=""/>
      <w:lvlJc w:val="left"/>
      <w:pPr>
        <w:tabs>
          <w:tab w:val="num" w:pos="2662"/>
        </w:tabs>
        <w:ind w:left="2662" w:hanging="360"/>
      </w:pPr>
      <w:rPr>
        <w:rFonts w:ascii="Symbol" w:hAnsi="Symbol" w:cs="Symbol" w:hint="default"/>
      </w:rPr>
    </w:lvl>
    <w:lvl w:ilvl="7">
      <w:start w:val="1"/>
      <w:numFmt w:val="bullet"/>
      <w:lvlText w:val="◦"/>
      <w:lvlJc w:val="left"/>
      <w:pPr>
        <w:tabs>
          <w:tab w:val="num" w:pos="3022"/>
        </w:tabs>
        <w:ind w:left="3022" w:hanging="360"/>
      </w:pPr>
      <w:rPr>
        <w:rFonts w:ascii="OpenSymbol" w:hAnsi="OpenSymbol" w:cs="OpenSymbol" w:hint="default"/>
      </w:rPr>
    </w:lvl>
    <w:lvl w:ilvl="8">
      <w:start w:val="1"/>
      <w:numFmt w:val="bullet"/>
      <w:lvlText w:val="▪"/>
      <w:lvlJc w:val="left"/>
      <w:pPr>
        <w:tabs>
          <w:tab w:val="num" w:pos="3382"/>
        </w:tabs>
        <w:ind w:left="3382" w:hanging="360"/>
      </w:pPr>
      <w:rPr>
        <w:rFonts w:ascii="OpenSymbol" w:hAnsi="OpenSymbol" w:cs="OpenSymbol" w:hint="default"/>
      </w:rPr>
    </w:lvl>
  </w:abstractNum>
  <w:abstractNum w:abstractNumId="11">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12">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13">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14">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15">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16">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17">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18">
    <w:lvl w:ilvl="0">
      <w:start w:val="1"/>
      <w:numFmt w:val="decimal"/>
      <w:lvlText w:val="%1)"/>
      <w:lvlJc w:val="left"/>
      <w:pPr>
        <w:tabs>
          <w:tab w:val="num" w:pos="0"/>
        </w:tabs>
        <w:ind w:left="2148"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9">
    <w:lvl w:ilvl="0">
      <w:start w:val="1"/>
      <w:numFmt w:val="decimal"/>
      <w:lvlText w:val="%1)"/>
      <w:lvlJc w:val="left"/>
      <w:pPr>
        <w:tabs>
          <w:tab w:val="num" w:pos="0"/>
        </w:tabs>
        <w:ind w:left="360" w:hanging="360"/>
      </w:pPr>
      <w:rPr>
        <w:b w:val="false"/>
        <w:rFonts w:cs="Times New Roman"/>
      </w:rPr>
    </w:lvl>
    <w:lvl w:ilvl="1">
      <w:start w:val="1"/>
      <w:numFmt w:val="lowerLetter"/>
      <w:lvlText w:val="%2."/>
      <w:lvlJc w:val="left"/>
      <w:pPr>
        <w:tabs>
          <w:tab w:val="num" w:pos="0"/>
        </w:tabs>
        <w:ind w:left="77" w:hanging="360"/>
      </w:pPr>
      <w:rPr>
        <w:rFonts w:cs="Times New Roman"/>
      </w:rPr>
    </w:lvl>
    <w:lvl w:ilvl="2">
      <w:start w:val="1"/>
      <w:numFmt w:val="lowerRoman"/>
      <w:lvlText w:val="%3."/>
      <w:lvlJc w:val="right"/>
      <w:pPr>
        <w:tabs>
          <w:tab w:val="num" w:pos="0"/>
        </w:tabs>
        <w:ind w:left="797" w:hanging="180"/>
      </w:pPr>
      <w:rPr>
        <w:rFonts w:cs="Times New Roman"/>
      </w:rPr>
    </w:lvl>
    <w:lvl w:ilvl="3">
      <w:start w:val="1"/>
      <w:numFmt w:val="decimal"/>
      <w:lvlText w:val="%4."/>
      <w:lvlJc w:val="left"/>
      <w:pPr>
        <w:tabs>
          <w:tab w:val="num" w:pos="0"/>
        </w:tabs>
        <w:ind w:left="1517" w:hanging="360"/>
      </w:pPr>
      <w:rPr>
        <w:rFonts w:cs="Times New Roman"/>
      </w:rPr>
    </w:lvl>
    <w:lvl w:ilvl="4">
      <w:start w:val="1"/>
      <w:numFmt w:val="lowerLetter"/>
      <w:lvlText w:val="%5."/>
      <w:lvlJc w:val="left"/>
      <w:pPr>
        <w:tabs>
          <w:tab w:val="num" w:pos="0"/>
        </w:tabs>
        <w:ind w:left="2237" w:hanging="360"/>
      </w:pPr>
      <w:rPr>
        <w:rFonts w:cs="Times New Roman"/>
      </w:rPr>
    </w:lvl>
    <w:lvl w:ilvl="5">
      <w:start w:val="1"/>
      <w:numFmt w:val="lowerRoman"/>
      <w:lvlText w:val="%6."/>
      <w:lvlJc w:val="right"/>
      <w:pPr>
        <w:tabs>
          <w:tab w:val="num" w:pos="0"/>
        </w:tabs>
        <w:ind w:left="2957" w:hanging="180"/>
      </w:pPr>
      <w:rPr>
        <w:rFonts w:cs="Times New Roman"/>
      </w:rPr>
    </w:lvl>
    <w:lvl w:ilvl="6">
      <w:start w:val="1"/>
      <w:numFmt w:val="decimal"/>
      <w:lvlText w:val="%7."/>
      <w:lvlJc w:val="left"/>
      <w:pPr>
        <w:tabs>
          <w:tab w:val="num" w:pos="0"/>
        </w:tabs>
        <w:ind w:left="3677" w:hanging="360"/>
      </w:pPr>
      <w:rPr>
        <w:rFonts w:cs="Times New Roman"/>
      </w:rPr>
    </w:lvl>
    <w:lvl w:ilvl="7">
      <w:start w:val="1"/>
      <w:numFmt w:val="lowerLetter"/>
      <w:lvlText w:val="%8."/>
      <w:lvlJc w:val="left"/>
      <w:pPr>
        <w:tabs>
          <w:tab w:val="num" w:pos="0"/>
        </w:tabs>
        <w:ind w:left="4397" w:hanging="360"/>
      </w:pPr>
      <w:rPr>
        <w:rFonts w:cs="Times New Roman"/>
      </w:rPr>
    </w:lvl>
    <w:lvl w:ilvl="8">
      <w:start w:val="1"/>
      <w:numFmt w:val="lowerRoman"/>
      <w:lvlText w:val="%9."/>
      <w:lvlJc w:val="right"/>
      <w:pPr>
        <w:tabs>
          <w:tab w:val="num" w:pos="0"/>
        </w:tabs>
        <w:ind w:left="5117" w:hanging="180"/>
      </w:pPr>
      <w:rPr>
        <w:rFonts w:cs="Times New Roman"/>
      </w:rPr>
    </w:lvl>
  </w:abstractNum>
  <w:abstractNum w:abstractNumId="20">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21">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22">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23">
    <w:lvl w:ilvl="0">
      <w:start w:val="1"/>
      <w:numFmt w:val="decimal"/>
      <w:lvlText w:val="%1"/>
      <w:lvlJc w:val="left"/>
      <w:pPr>
        <w:tabs>
          <w:tab w:val="num" w:pos="0"/>
        </w:tabs>
        <w:ind w:left="0" w:firstLine="567"/>
      </w:pPr>
      <w:rPr>
        <w:rFonts w:cs="Times New Roman"/>
      </w:rPr>
    </w:lvl>
    <w:lvl w:ilvl="1">
      <w:start w:val="1"/>
      <w:numFmt w:val="decimal"/>
      <w:lvlText w:val="%1.%2"/>
      <w:lvlJc w:val="left"/>
      <w:pPr>
        <w:tabs>
          <w:tab w:val="num" w:pos="0"/>
        </w:tabs>
        <w:ind w:left="0" w:firstLine="567"/>
      </w:pPr>
      <w:rPr>
        <w:i w:val="false"/>
        <w:b w:val="false"/>
        <w:rFonts w:cs="Times New Roman"/>
      </w:rPr>
    </w:lvl>
    <w:lvl w:ilvl="2">
      <w:start w:val="1"/>
      <w:numFmt w:val="decimal"/>
      <w:lvlText w:val="%1.%2.%3"/>
      <w:lvlJc w:val="left"/>
      <w:pPr>
        <w:tabs>
          <w:tab w:val="num" w:pos="0"/>
        </w:tabs>
        <w:ind w:left="0" w:firstLine="567"/>
      </w:pPr>
      <w:rPr>
        <w:rFonts w:cs="Times New Roman"/>
      </w:rPr>
    </w:lvl>
    <w:lvl w:ilvl="3">
      <w:start w:val="1"/>
      <w:numFmt w:val="decimal"/>
      <w:lvlText w:val="%1.%2.%3.%4"/>
      <w:lvlJc w:val="left"/>
      <w:pPr>
        <w:tabs>
          <w:tab w:val="num" w:pos="0"/>
        </w:tabs>
        <w:ind w:left="5671" w:firstLine="567"/>
      </w:pPr>
      <w:rPr>
        <w:rFonts w:cs="Times New Roman"/>
      </w:rPr>
    </w:lvl>
    <w:lvl w:ilvl="4">
      <w:start w:val="1"/>
      <w:numFmt w:val="decimal"/>
      <w:suff w:val="nothing"/>
      <w:lvlText w:val="Приложение %5"/>
      <w:lvlJc w:val="left"/>
      <w:pPr>
        <w:tabs>
          <w:tab w:val="num" w:pos="0"/>
        </w:tabs>
        <w:ind w:left="0" w:hanging="0"/>
      </w:pPr>
      <w:rPr>
        <w:smallCaps w:val="false"/>
        <w:caps w:val="false"/>
        <w:dstrike w:val="false"/>
        <w:strike w:val="false"/>
        <w:vertAlign w:val="baseline"/>
        <w:position w:val="0"/>
        <w:sz w:val="22"/>
        <w:sz w:val="22"/>
        <w:spacing w:val="0"/>
        <w:i w:val="false"/>
        <w:u w:val="none"/>
        <w:b/>
        <w:kern w:val="0"/>
        <w:iCs w:val="false"/>
        <w:bCs w:val="false"/>
        <w:vanish w:val="false"/>
        <w:rFonts w:ascii="Times New Roman" w:hAnsi="Times New Roman" w:cs="Times New Roman"/>
        <w:color w:val="000000"/>
      </w:rPr>
    </w:lvl>
    <w:lvl w:ilvl="5">
      <w:start w:val="1"/>
      <w:numFmt w:val="decimal"/>
      <w:lvlText w:val="%1.%2.%3.%4.%5.%6"/>
      <w:lvlJc w:val="left"/>
      <w:pPr>
        <w:tabs>
          <w:tab w:val="num" w:pos="0"/>
        </w:tabs>
        <w:ind w:left="5671" w:firstLine="567"/>
      </w:pPr>
      <w:rPr>
        <w:rFonts w:cs="Times New Roman"/>
      </w:rPr>
    </w:lvl>
    <w:lvl w:ilvl="6">
      <w:start w:val="1"/>
      <w:numFmt w:val="decimal"/>
      <w:lvlText w:val="%1.%2.%3.%4.%5.%6.%7"/>
      <w:lvlJc w:val="left"/>
      <w:pPr>
        <w:tabs>
          <w:tab w:val="num" w:pos="0"/>
        </w:tabs>
        <w:ind w:left="0" w:firstLine="567"/>
      </w:pPr>
      <w:rPr>
        <w:rFonts w:cs="Times New Roman"/>
      </w:rPr>
    </w:lvl>
    <w:lvl w:ilvl="7">
      <w:start w:val="1"/>
      <w:numFmt w:val="decimal"/>
      <w:lvlText w:val="%1.%2.%3.%4.%5.%6.%7.%8"/>
      <w:lvlJc w:val="left"/>
      <w:pPr>
        <w:tabs>
          <w:tab w:val="num" w:pos="0"/>
        </w:tabs>
        <w:ind w:left="0" w:firstLine="567"/>
      </w:pPr>
      <w:rPr>
        <w:rFonts w:cs="Times New Roman"/>
      </w:rPr>
    </w:lvl>
    <w:lvl w:ilvl="8">
      <w:start w:val="1"/>
      <w:numFmt w:val="none"/>
      <w:suff w:val="nothing"/>
      <w:lvlText w:val="%9-"/>
      <w:lvlJc w:val="left"/>
      <w:pPr>
        <w:tabs>
          <w:tab w:val="num" w:pos="0"/>
        </w:tabs>
        <w:ind w:left="0" w:firstLine="567"/>
      </w:pPr>
      <w:rPr>
        <w:rFonts w:cs="Times New Roman"/>
      </w:rPr>
    </w:lvl>
  </w:abstractNum>
  <w:abstractNum w:abstractNumId="24">
    <w:lvl w:ilvl="0">
      <w:start w:val="1"/>
      <w:numFmt w:val="decimal"/>
      <w:lvlText w:val="%1)"/>
      <w:lvlJc w:val="left"/>
      <w:pPr>
        <w:tabs>
          <w:tab w:val="num" w:pos="0"/>
        </w:tabs>
        <w:ind w:left="360" w:hanging="360"/>
      </w:pPr>
      <w:rPr>
        <w:b w:val="false"/>
        <w:rFonts w:cs="Times New Roman"/>
      </w:rPr>
    </w:lvl>
    <w:lvl w:ilvl="1">
      <w:start w:val="1"/>
      <w:numFmt w:val="lowerLetter"/>
      <w:lvlText w:val="%2."/>
      <w:lvlJc w:val="left"/>
      <w:pPr>
        <w:tabs>
          <w:tab w:val="num" w:pos="0"/>
        </w:tabs>
        <w:ind w:left="77" w:hanging="360"/>
      </w:pPr>
      <w:rPr>
        <w:rFonts w:cs="Times New Roman"/>
      </w:rPr>
    </w:lvl>
    <w:lvl w:ilvl="2">
      <w:start w:val="1"/>
      <w:numFmt w:val="lowerRoman"/>
      <w:lvlText w:val="%3."/>
      <w:lvlJc w:val="right"/>
      <w:pPr>
        <w:tabs>
          <w:tab w:val="num" w:pos="0"/>
        </w:tabs>
        <w:ind w:left="797" w:hanging="180"/>
      </w:pPr>
      <w:rPr>
        <w:rFonts w:cs="Times New Roman"/>
      </w:rPr>
    </w:lvl>
    <w:lvl w:ilvl="3">
      <w:start w:val="1"/>
      <w:numFmt w:val="decimal"/>
      <w:lvlText w:val="%4."/>
      <w:lvlJc w:val="left"/>
      <w:pPr>
        <w:tabs>
          <w:tab w:val="num" w:pos="0"/>
        </w:tabs>
        <w:ind w:left="1517" w:hanging="360"/>
      </w:pPr>
      <w:rPr>
        <w:rFonts w:cs="Times New Roman"/>
      </w:rPr>
    </w:lvl>
    <w:lvl w:ilvl="4">
      <w:start w:val="1"/>
      <w:numFmt w:val="lowerLetter"/>
      <w:lvlText w:val="%5."/>
      <w:lvlJc w:val="left"/>
      <w:pPr>
        <w:tabs>
          <w:tab w:val="num" w:pos="0"/>
        </w:tabs>
        <w:ind w:left="2237" w:hanging="360"/>
      </w:pPr>
      <w:rPr>
        <w:rFonts w:cs="Times New Roman"/>
      </w:rPr>
    </w:lvl>
    <w:lvl w:ilvl="5">
      <w:start w:val="1"/>
      <w:numFmt w:val="lowerRoman"/>
      <w:lvlText w:val="%6."/>
      <w:lvlJc w:val="right"/>
      <w:pPr>
        <w:tabs>
          <w:tab w:val="num" w:pos="0"/>
        </w:tabs>
        <w:ind w:left="2957" w:hanging="180"/>
      </w:pPr>
      <w:rPr>
        <w:rFonts w:cs="Times New Roman"/>
      </w:rPr>
    </w:lvl>
    <w:lvl w:ilvl="6">
      <w:start w:val="1"/>
      <w:numFmt w:val="decimal"/>
      <w:lvlText w:val="%7."/>
      <w:lvlJc w:val="left"/>
      <w:pPr>
        <w:tabs>
          <w:tab w:val="num" w:pos="0"/>
        </w:tabs>
        <w:ind w:left="3677" w:hanging="360"/>
      </w:pPr>
      <w:rPr>
        <w:rFonts w:cs="Times New Roman"/>
      </w:rPr>
    </w:lvl>
    <w:lvl w:ilvl="7">
      <w:start w:val="1"/>
      <w:numFmt w:val="lowerLetter"/>
      <w:lvlText w:val="%8."/>
      <w:lvlJc w:val="left"/>
      <w:pPr>
        <w:tabs>
          <w:tab w:val="num" w:pos="0"/>
        </w:tabs>
        <w:ind w:left="4397" w:hanging="360"/>
      </w:pPr>
      <w:rPr>
        <w:rFonts w:cs="Times New Roman"/>
      </w:rPr>
    </w:lvl>
    <w:lvl w:ilvl="8">
      <w:start w:val="1"/>
      <w:numFmt w:val="lowerRoman"/>
      <w:lvlText w:val="%9."/>
      <w:lvlJc w:val="right"/>
      <w:pPr>
        <w:tabs>
          <w:tab w:val="num" w:pos="0"/>
        </w:tabs>
        <w:ind w:left="5117" w:hanging="180"/>
      </w:pPr>
      <w:rPr>
        <w:rFonts w:cs="Times New Roman"/>
      </w:rPr>
    </w:lvl>
  </w:abstractNum>
  <w:abstractNum w:abstractNumId="2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0"/>
    <w:lvlOverride w:ilvl="0">
      <w:startOverride w:val="1"/>
    </w:lvlOverride>
  </w:num>
  <w:num w:numId="27">
    <w:abstractNumId w:val="20"/>
  </w:num>
  <w:num w:numId="28">
    <w:abstractNumId w:val="12"/>
  </w:num>
  <w:num w:numId="29">
    <w:abstractNumId w:val="13"/>
  </w:num>
  <w:num w:numId="30">
    <w:abstractNumId w:val="19"/>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pPr>
      <w:numPr>
        <w:ilvl w:val="0"/>
        <w:numId w:val="3"/>
      </w:numPr>
      <w:outlineLvl w:val="0"/>
    </w:pPr>
    <w:rPr>
      <w:sz w:val="28"/>
      <w:szCs w:val="28"/>
    </w:rPr>
  </w:style>
  <w:style w:type="paragraph" w:styleId="Heading2">
    <w:name w:val="Heading 2"/>
    <w:basedOn w:val="Heading4"/>
    <w:next w:val="Normal"/>
    <w:link w:val="2"/>
    <w:qFormat/>
    <w:pPr>
      <w:outlineLvl w:val="1"/>
    </w:pPr>
    <w:rPr/>
  </w:style>
  <w:style w:type="paragraph" w:styleId="Heading3">
    <w:name w:val="Heading 3"/>
    <w:basedOn w:val="Normal"/>
    <w:next w:val="Normal"/>
    <w:link w:val="3"/>
    <w:qFormat/>
    <w:pPr>
      <w:keepNext w:val="true"/>
      <w:numPr>
        <w:ilvl w:val="2"/>
        <w:numId w:val="3"/>
      </w:numPr>
      <w:spacing w:before="120" w:after="60"/>
      <w:outlineLvl w:val="2"/>
    </w:pPr>
    <w:rPr>
      <w:rFonts w:eastAsia="Calibri"/>
      <w:b/>
      <w:sz w:val="24"/>
      <w:szCs w:val="24"/>
      <w:lang w:val="x-none" w:eastAsia="x-none"/>
    </w:rPr>
  </w:style>
  <w:style w:type="paragraph" w:styleId="Heading4">
    <w:name w:val="Heading 4"/>
    <w:basedOn w:val="Heading3"/>
    <w:next w:val="Normal"/>
    <w:link w:val="4"/>
    <w:qFormat/>
    <w:pPr>
      <w:numPr>
        <w:ilvl w:val="1"/>
        <w:numId w:val="3"/>
      </w:numPr>
      <w:tabs>
        <w:tab w:val="clear" w:pos="708"/>
      </w:tabs>
      <w:suppressAutoHyphens w:val="false"/>
      <w:outlineLvl w:val="3"/>
    </w:pPr>
    <w:rPr>
      <w:bCs/>
    </w:rPr>
  </w:style>
  <w:style w:type="paragraph" w:styleId="Heading5">
    <w:name w:val="Heading 5"/>
    <w:basedOn w:val="Normal"/>
    <w:next w:val="Normal"/>
    <w:link w:val="5"/>
    <w:qFormat/>
    <w:pPr>
      <w:numPr>
        <w:ilvl w:val="0"/>
        <w:numId w:val="0"/>
      </w:numPr>
      <w:spacing w:before="240" w:after="60"/>
      <w:outlineLvl w:val="4"/>
    </w:pPr>
    <w:rPr>
      <w:b/>
      <w:bCs/>
      <w:i/>
      <w:iCs/>
      <w:sz w:val="26"/>
      <w:szCs w:val="26"/>
      <w:lang w:val="x-none" w:eastAsia="x-none"/>
    </w:rPr>
  </w:style>
  <w:style w:type="paragraph" w:styleId="Heading6">
    <w:name w:val="Heading 6"/>
    <w:basedOn w:val="Normal"/>
    <w:next w:val="Normal"/>
    <w:link w:val="6"/>
    <w:qFormat/>
    <w:pPr>
      <w:keepNext w:val="true"/>
      <w:keepLines/>
      <w:numPr>
        <w:ilvl w:val="0"/>
        <w:numId w:val="0"/>
      </w:numPr>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numPr>
        <w:ilvl w:val="0"/>
        <w:numId w:val="0"/>
      </w:numPr>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numPr>
        <w:ilvl w:val="0"/>
        <w:numId w:val="0"/>
      </w:numPr>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numPr>
        <w:ilvl w:val="0"/>
        <w:numId w:val="0"/>
      </w:numPr>
      <w:spacing w:before="240" w:after="60"/>
      <w:outlineLvl w:val="8"/>
    </w:pPr>
    <w:rPr>
      <w:rFonts w:ascii="Arial" w:hAnsi="Arial"/>
      <w:sz w:val="22"/>
      <w:szCs w:val="22"/>
      <w:lang w:val="x-none" w:eastAsia="x-none"/>
    </w:rPr>
  </w:style>
  <w:style w:type="character" w:styleId="DefaultParagraphFont">
    <w:name w:val="Default Paragraph Font"/>
    <w:qFormat/>
    <w:rPr/>
  </w:style>
  <w:style w:type="character" w:styleId="Style">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
    <w:name w:val="Strong"/>
    <w:qFormat/>
    <w:rPr>
      <w:b/>
      <w:bCs/>
    </w:rPr>
  </w:style>
  <w:style w:type="character" w:styleId="6">
    <w:name w:val="Заголовок 6 Знак"/>
    <w:qFormat/>
    <w:rPr>
      <w:rFonts w:ascii="Cambria" w:hAnsi="Cambria"/>
      <w:i/>
      <w:iCs/>
      <w:color w:val="243F60"/>
      <w:lang w:val="x-none" w:eastAsia="x-none"/>
    </w:rPr>
  </w:style>
  <w:style w:type="character" w:styleId="7">
    <w:name w:val="Заголовок 7 Знак"/>
    <w:qFormat/>
    <w:rPr>
      <w:rFonts w:ascii="Cambria" w:hAnsi="Cambria"/>
      <w:i/>
      <w:iCs/>
      <w:color w:val="404040"/>
      <w:lang w:val="x-none" w:eastAsia="x-none"/>
    </w:rPr>
  </w:style>
  <w:style w:type="character" w:styleId="8">
    <w:name w:val="Заголовок 8 Знак"/>
    <w:qFormat/>
    <w:rPr>
      <w:rFonts w:ascii="Cambria" w:hAnsi="Cambria"/>
      <w:color w:val="4F81BD"/>
      <w:lang w:val="x-none" w:eastAsia="x-none"/>
    </w:rPr>
  </w:style>
  <w:style w:type="character" w:styleId="1">
    <w:name w:val="Заголовок 1 Знак"/>
    <w:qFormat/>
    <w:rPr>
      <w:rFonts w:eastAsia="Calibri"/>
      <w:b/>
      <w:sz w:val="28"/>
      <w:szCs w:val="28"/>
      <w:lang w:val="x-none" w:eastAsia="x-none"/>
    </w:rPr>
  </w:style>
  <w:style w:type="character" w:styleId="2">
    <w:name w:val="Заголовок 2 Знак"/>
    <w:qFormat/>
    <w:rPr>
      <w:rFonts w:eastAsia="Calibri"/>
      <w:b/>
      <w:bCs/>
      <w:sz w:val="24"/>
      <w:szCs w:val="24"/>
      <w:lang w:val="x-none" w:eastAsia="x-none"/>
    </w:rPr>
  </w:style>
  <w:style w:type="character" w:styleId="3">
    <w:name w:val="Заголовок 3 Знак"/>
    <w:qFormat/>
    <w:rPr>
      <w:rFonts w:eastAsia="Calibri"/>
      <w:b/>
      <w:sz w:val="24"/>
      <w:szCs w:val="24"/>
      <w:lang w:val="x-none" w:eastAsia="x-none"/>
    </w:rPr>
  </w:style>
  <w:style w:type="character" w:styleId="4">
    <w:name w:val="Заголовок 4 Знак"/>
    <w:qFormat/>
    <w:rPr>
      <w:rFonts w:eastAsia="Calibri"/>
      <w:b/>
      <w:bCs/>
      <w:sz w:val="24"/>
      <w:szCs w:val="24"/>
      <w:lang w:val="x-none" w:eastAsia="x-none"/>
    </w:rPr>
  </w:style>
  <w:style w:type="character" w:styleId="5">
    <w:name w:val="Заголовок 5 Знак"/>
    <w:qFormat/>
    <w:rPr>
      <w:b/>
      <w:bCs/>
      <w:i/>
      <w:iCs/>
      <w:sz w:val="26"/>
      <w:szCs w:val="26"/>
    </w:rPr>
  </w:style>
  <w:style w:type="character" w:styleId="9">
    <w:name w:val="Заголовок 9 Знак"/>
    <w:qFormat/>
    <w:rPr>
      <w:rFonts w:ascii="Arial" w:hAnsi="Arial" w:cs="Arial"/>
      <w:sz w:val="22"/>
      <w:szCs w:val="22"/>
    </w:rPr>
  </w:style>
  <w:style w:type="character" w:styleId="Style1">
    <w:name w:val="Название Знак"/>
    <w:link w:val="14"/>
    <w:qFormat/>
    <w:rPr>
      <w:sz w:val="28"/>
    </w:rPr>
  </w:style>
  <w:style w:type="character" w:styleId="Style2">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name w:val="Цитата 2 Знак"/>
    <w:link w:val="Quote"/>
    <w:qFormat/>
    <w:rPr>
      <w:rFonts w:ascii="Calibri" w:hAnsi="Calibri" w:eastAsia="Calibri"/>
      <w:i/>
      <w:iCs/>
      <w:color w:val="000000"/>
      <w:lang w:val="x-none" w:eastAsia="x-none"/>
    </w:rPr>
  </w:style>
  <w:style w:type="character" w:styleId="Style3">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name w:val="Электронная подпись Знак"/>
    <w:link w:val="E-mailSignature"/>
    <w:qFormat/>
    <w:rPr>
      <w:rFonts w:eastAsia="Calibri"/>
      <w:sz w:val="24"/>
      <w:szCs w:val="24"/>
    </w:rPr>
  </w:style>
  <w:style w:type="character" w:styleId="11">
    <w:name w:val="Подпункт Знак1"/>
    <w:link w:val="Style23"/>
    <w:qFormat/>
    <w:rPr>
      <w:sz w:val="28"/>
    </w:rPr>
  </w:style>
  <w:style w:type="character" w:styleId="Style5">
    <w:name w:val="Текст сноски Знак"/>
    <w:qFormat/>
    <w:rPr/>
  </w:style>
  <w:style w:type="character" w:styleId="Style6">
    <w:name w:val="Основной текст Знак"/>
    <w:qFormat/>
    <w:rPr>
      <w:sz w:val="28"/>
      <w:szCs w:val="28"/>
    </w:rPr>
  </w:style>
  <w:style w:type="character" w:styleId="Blk">
    <w:name w:val="blk"/>
    <w:qFormat/>
    <w:rPr/>
  </w:style>
  <w:style w:type="character" w:styleId="Style7">
    <w:name w:val="Абзац списка Знак"/>
    <w:link w:val="ListParagraph"/>
    <w:qFormat/>
    <w:rPr>
      <w:rFonts w:eastAsia="Calibri"/>
      <w:sz w:val="24"/>
      <w:szCs w:val="24"/>
    </w:rPr>
  </w:style>
  <w:style w:type="character" w:styleId="Style8">
    <w:name w:val="комментарий"/>
    <w:qFormat/>
    <w:rPr>
      <w:b/>
      <w:i/>
      <w:shd w:fill="FFFF99" w:val="clear"/>
    </w:rPr>
  </w:style>
  <w:style w:type="character" w:styleId="Style9">
    <w:name w:val="Подподпункт Знак"/>
    <w:link w:val="Style31"/>
    <w:qFormat/>
    <w:rPr>
      <w:sz w:val="26"/>
      <w:szCs w:val="26"/>
    </w:rPr>
  </w:style>
  <w:style w:type="character" w:styleId="31">
    <w:name w:val="УРОВЕНЬ_Абзац_тип3 Знак"/>
    <w:link w:val="35"/>
    <w:qFormat/>
    <w:rPr>
      <w:rFonts w:eastAsia="Calibri"/>
      <w:sz w:val="26"/>
      <w:szCs w:val="28"/>
      <w:lang w:eastAsia="en-US"/>
    </w:rPr>
  </w:style>
  <w:style w:type="character" w:styleId="Style10">
    <w:name w:val="Верхний колонтитул Знак"/>
    <w:qFormat/>
    <w:rPr>
      <w:sz w:val="24"/>
      <w:szCs w:val="24"/>
    </w:rPr>
  </w:style>
  <w:style w:type="character" w:styleId="Style11">
    <w:name w:val="Текст примечания Знак"/>
    <w:link w:val="Annotationtext"/>
    <w:qFormat/>
    <w:rPr/>
  </w:style>
  <w:style w:type="character" w:styleId="Style12">
    <w:name w:val="Текст концевой сноски Знак"/>
    <w:basedOn w:val="DefaultParagraphFont"/>
    <w:qFormat/>
    <w:rPr/>
  </w:style>
  <w:style w:type="character" w:styleId="Style13">
    <w:name w:val="Символ концевой сноски"/>
    <w:qFormat/>
    <w:rPr>
      <w:vertAlign w:val="superscript"/>
    </w:rPr>
  </w:style>
  <w:style w:type="character" w:styleId="EndnoteReference">
    <w:name w:val="Endnote Reference"/>
    <w:rPr>
      <w:vertAlign w:val="superscript"/>
    </w:rPr>
  </w:style>
  <w:style w:type="character" w:styleId="22">
    <w:name w:val="Пункт2 Знак"/>
    <w:link w:val="24"/>
    <w:qFormat/>
    <w:rPr>
      <w:b/>
      <w:sz w:val="28"/>
    </w:rPr>
  </w:style>
  <w:style w:type="character" w:styleId="12">
    <w:name w:val="УРОВЕНЬ_1. Знак"/>
    <w:link w:val="18"/>
    <w:qFormat/>
    <w:rPr>
      <w:rFonts w:eastAsia="Calibri"/>
      <w:caps/>
      <w:sz w:val="28"/>
      <w:szCs w:val="28"/>
      <w:lang w:eastAsia="en-US"/>
    </w:rPr>
  </w:style>
  <w:style w:type="character" w:styleId="Style14">
    <w:name w:val="Ссылка указателя"/>
    <w:qFormat/>
    <w:rPr/>
  </w:style>
  <w:style w:type="character" w:styleId="FollowedHyperlink">
    <w:name w:val="FollowedHyperlink"/>
    <w:rPr>
      <w:color w:val="954F72"/>
      <w:u w:val="single"/>
    </w:rPr>
  </w:style>
  <w:style w:type="character" w:styleId="Style15">
    <w:name w:val="Основной шрифт абзаца"/>
    <w:qFormat/>
    <w:rPr/>
  </w:style>
  <w:style w:type="character" w:styleId="Style16">
    <w:name w:val="Маркеры"/>
    <w:qFormat/>
    <w:rPr>
      <w:rFonts w:ascii="OpenSymbol" w:hAnsi="OpenSymbol" w:eastAsia="OpenSymbol" w:cs="OpenSymbol"/>
    </w:rPr>
  </w:style>
  <w:style w:type="character" w:styleId="Internetlink">
    <w:name w:val="Internet link"/>
    <w:qFormat/>
    <w:rPr>
      <w:color w:val="0000FF"/>
      <w:u w:val="single"/>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Style19">
    <w:name w:val="Название раздела инструкции"/>
    <w:basedOn w:val="Normal"/>
    <w:autoRedefine/>
    <w:qFormat/>
    <w:pPr>
      <w:jc w:val="center"/>
    </w:pPr>
    <w:rPr>
      <w:b/>
    </w:rPr>
  </w:style>
  <w:style w:type="paragraph" w:styleId="Style20">
    <w:name w:val="Раздел положения"/>
    <w:basedOn w:val="Normal"/>
    <w:autoRedefine/>
    <w:qFormat/>
    <w:pPr>
      <w:numPr>
        <w:ilvl w:val="0"/>
        <w:numId w:val="1"/>
      </w:numPr>
      <w:spacing w:before="80" w:after="80"/>
      <w:jc w:val="center"/>
    </w:pPr>
    <w:rPr>
      <w:b/>
      <w:sz w:val="32"/>
      <w:szCs w:val="32"/>
    </w:rPr>
  </w:style>
  <w:style w:type="paragraph" w:styleId="Style21">
    <w:name w:val="Подраздел раздела положения"/>
    <w:basedOn w:val="Normal"/>
    <w:autoRedefine/>
    <w:qFormat/>
    <w:pPr>
      <w:numPr>
        <w:ilvl w:val="1"/>
        <w:numId w:val="1"/>
      </w:numPr>
      <w:spacing w:before="80" w:after="80"/>
      <w:jc w:val="both"/>
    </w:pPr>
    <w:rPr/>
  </w:style>
  <w:style w:type="paragraph" w:styleId="FootnoteText">
    <w:name w:val="Footnote Text"/>
    <w:basedOn w:val="Normal"/>
    <w:link w:val="Style5"/>
    <w:pPr/>
    <w:rPr>
      <w:sz w:val="20"/>
      <w:szCs w:val="20"/>
    </w:rPr>
  </w:style>
  <w:style w:type="paragraph" w:styleId="13">
    <w:name w:val="Шапка 1"/>
    <w:basedOn w:val="Normal"/>
    <w:qFormat/>
    <w:pPr>
      <w:pBdr>
        <w:bottom w:val="thickThinSmallGap" w:sz="24" w:space="1" w:color="000000"/>
      </w:pBdr>
      <w:spacing w:before="0" w:after="240"/>
      <w:jc w:val="center"/>
    </w:pPr>
    <w:rPr>
      <w:sz w:val="22"/>
      <w:szCs w:val="22"/>
    </w:rPr>
  </w:style>
  <w:style w:type="paragraph" w:styleId="23">
    <w:name w:val="Шапка 2"/>
    <w:basedOn w:val="Normal"/>
    <w:qFormat/>
    <w:pPr>
      <w:pBdr>
        <w:bottom w:val="thickThinSmallGap" w:sz="24" w:space="1" w:color="000000"/>
      </w:pBdr>
      <w:spacing w:before="0" w:after="120"/>
      <w:jc w:val="center"/>
    </w:pPr>
    <w:rPr>
      <w:b/>
      <w:sz w:val="22"/>
      <w:szCs w:val="22"/>
    </w:rPr>
  </w:style>
  <w:style w:type="paragraph" w:styleId="32">
    <w:name w:val="Шапка 3"/>
    <w:basedOn w:val="Normal"/>
    <w:qFormat/>
    <w:pPr>
      <w:pBdr>
        <w:bottom w:val="thickThinSmallGap" w:sz="24" w:space="1" w:color="000000"/>
      </w:pBdr>
      <w:spacing w:before="240" w:after="360"/>
      <w:jc w:val="center"/>
    </w:pPr>
    <w:rPr>
      <w:b/>
      <w:sz w:val="24"/>
      <w:szCs w:val="24"/>
    </w:rPr>
  </w:style>
  <w:style w:type="paragraph" w:styleId="14">
    <w:name w:val="Название1"/>
    <w:basedOn w:val="Normal"/>
    <w:link w:val="Style1"/>
    <w:qFormat/>
    <w:pPr>
      <w:jc w:val="center"/>
    </w:pPr>
    <w:rPr>
      <w:szCs w:val="20"/>
      <w:lang w:val="x-none" w:eastAsia="x-none"/>
    </w:rPr>
  </w:style>
  <w:style w:type="paragraph" w:styleId="Style22">
    <w:name w:val="Колонтитул"/>
    <w:basedOn w:val="Normal"/>
    <w:qFormat/>
    <w:pPr/>
    <w:rPr/>
  </w:style>
  <w:style w:type="paragraph" w:styleId="Header">
    <w:name w:val="Header"/>
    <w:basedOn w:val="Normal"/>
    <w:link w:val="Style10"/>
    <w:pPr>
      <w:tabs>
        <w:tab w:val="clear" w:pos="708"/>
        <w:tab w:val="center" w:pos="4677" w:leader="none"/>
        <w:tab w:val="right" w:pos="9355" w:leader="none"/>
      </w:tabs>
    </w:pPr>
    <w:rPr>
      <w:sz w:val="24"/>
      <w:szCs w:val="24"/>
    </w:rPr>
  </w:style>
  <w:style w:type="paragraph" w:styleId="BodyTextIndent">
    <w:name w:val="Body Text Indent"/>
    <w:basedOn w:val="Normal"/>
    <w:pPr>
      <w:ind w:left="360" w:right="0" w:hanging="0"/>
    </w:pPr>
    <w:rPr>
      <w:sz w:val="24"/>
      <w:szCs w:val="24"/>
    </w:rPr>
  </w:style>
  <w:style w:type="paragraph" w:styleId="Footer">
    <w:name w:val="Footer"/>
    <w:basedOn w:val="Normal"/>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left="283" w:right="0" w:hanging="0"/>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qFormat/>
    <w:pPr>
      <w:spacing w:before="0" w:after="120"/>
      <w:ind w:left="283" w:right="0" w:hanging="0"/>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left="-567" w:right="-766" w:hanging="0"/>
      <w:jc w:val="center"/>
    </w:pPr>
    <w:rPr>
      <w:b/>
      <w:bCs/>
      <w:sz w:val="24"/>
      <w:szCs w:val="20"/>
    </w:rPr>
  </w:style>
  <w:style w:type="paragraph" w:styleId="Style23">
    <w:name w:val="Подпункт"/>
    <w:basedOn w:val="Normal"/>
    <w:link w:val="11"/>
    <w:qFormat/>
    <w:pPr>
      <w:tabs>
        <w:tab w:val="clear" w:pos="708"/>
        <w:tab w:val="left" w:pos="1134" w:leader="none"/>
      </w:tabs>
      <w:snapToGrid w:val="false"/>
      <w:spacing w:lineRule="auto" w:line="360"/>
      <w:ind w:left="1134" w:right="0" w:hanging="1134"/>
      <w:jc w:val="both"/>
    </w:pPr>
    <w:rPr>
      <w:szCs w:val="20"/>
      <w:lang w:val="x-none" w:eastAsia="x-none"/>
    </w:rPr>
  </w:style>
  <w:style w:type="paragraph" w:styleId="24">
    <w:name w:val="Пункт2"/>
    <w:basedOn w:val="Normal"/>
    <w:link w:val="22"/>
    <w:qFormat/>
    <w:pPr>
      <w:keepNext w:val="true"/>
      <w:numPr>
        <w:ilvl w:val="0"/>
        <w:numId w:val="0"/>
      </w:numPr>
      <w:tabs>
        <w:tab w:val="clear" w:pos="708"/>
        <w:tab w:val="left" w:pos="1134" w:leader="none"/>
      </w:tabs>
      <w:suppressAutoHyphens w:val="true"/>
      <w:snapToGrid w:val="false"/>
      <w:spacing w:before="240" w:after="120"/>
      <w:ind w:left="1134" w:right="0" w:hanging="1134"/>
      <w:outlineLvl w:val="2"/>
    </w:pPr>
    <w:rPr>
      <w:b/>
      <w:szCs w:val="20"/>
    </w:rPr>
  </w:style>
  <w:style w:type="paragraph" w:styleId="TOC1">
    <w:name w:val="TOC 1"/>
    <w:basedOn w:val="Normal"/>
    <w:next w:val="Normal"/>
    <w:autoRedefine/>
    <w:pPr>
      <w:spacing w:before="120" w:after="0"/>
    </w:pPr>
    <w:rPr>
      <w:rFonts w:cs="Calibri Light (Заголовки)"/>
      <w:b/>
      <w:bCs/>
      <w:sz w:val="24"/>
      <w:szCs w:val="24"/>
    </w:rPr>
  </w:style>
  <w:style w:type="paragraph" w:styleId="TOC3">
    <w:name w:val="TOC 3"/>
    <w:basedOn w:val="Normal"/>
    <w:next w:val="Normal"/>
    <w:autoRedefine/>
    <w:pPr>
      <w:ind w:left="280" w:right="0" w:hanging="0"/>
    </w:pPr>
    <w:rPr>
      <w:rFonts w:cs="Calibri"/>
      <w:sz w:val="20"/>
      <w:szCs w:val="20"/>
    </w:rPr>
  </w:style>
  <w:style w:type="paragraph" w:styleId="Style24">
    <w:name w:val="Раздел регламента"/>
    <w:basedOn w:val="Normal"/>
    <w:qFormat/>
    <w:pPr/>
    <w:rPr/>
  </w:style>
  <w:style w:type="paragraph" w:styleId="Style25">
    <w:name w:val="Приложение к регламенту"/>
    <w:basedOn w:val="Normal"/>
    <w:qFormat/>
    <w:pPr>
      <w:jc w:val="right"/>
    </w:pPr>
    <w:rPr/>
  </w:style>
  <w:style w:type="paragraph" w:styleId="TOC2">
    <w:name w:val="TOC 2"/>
    <w:basedOn w:val="Normal"/>
    <w:next w:val="Normal"/>
    <w:autoRedefine/>
    <w:pPr>
      <w:spacing w:before="240" w:after="0"/>
    </w:pPr>
    <w:rPr>
      <w:rFonts w:cs="Calibri"/>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5">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left="1960" w:right="0" w:hanging="0"/>
    </w:pPr>
    <w:rPr>
      <w:rFonts w:ascii="Calibri" w:hAnsi="Calibri" w:cs="Calibri"/>
      <w:sz w:val="20"/>
      <w:szCs w:val="20"/>
    </w:rPr>
  </w:style>
  <w:style w:type="paragraph" w:styleId="TOC5">
    <w:name w:val="TOC 5"/>
    <w:basedOn w:val="Normal"/>
    <w:next w:val="Normal"/>
    <w:autoRedefine/>
    <w:pPr>
      <w:ind w:left="840" w:right="0" w:hanging="0"/>
    </w:pPr>
    <w:rPr>
      <w:rFonts w:ascii="Calibri" w:hAnsi="Calibri" w:cs="Calibri"/>
      <w:sz w:val="20"/>
      <w:szCs w:val="20"/>
    </w:rPr>
  </w:style>
  <w:style w:type="paragraph" w:styleId="TOC4">
    <w:name w:val="TOC 4"/>
    <w:basedOn w:val="Normal"/>
    <w:next w:val="Normal"/>
    <w:autoRedefine/>
    <w:pPr>
      <w:tabs>
        <w:tab w:val="clear" w:pos="708"/>
        <w:tab w:val="left" w:pos="1120" w:leader="none"/>
        <w:tab w:val="right" w:pos="9911" w:leader="none"/>
      </w:tabs>
      <w:ind w:left="560" w:right="0" w:hanging="0"/>
    </w:pPr>
    <w:rPr>
      <w:rFonts w:cs="Calibri"/>
      <w:sz w:val="20"/>
      <w:szCs w:val="20"/>
    </w:rPr>
  </w:style>
  <w:style w:type="paragraph" w:styleId="25">
    <w:name w:val="Раздел положения 2"/>
    <w:basedOn w:val="Normal"/>
    <w:qFormat/>
    <w:pPr>
      <w:pageBreakBefore/>
      <w:numPr>
        <w:ilvl w:val="0"/>
        <w:numId w:val="0"/>
      </w:numPr>
      <w:jc w:val="both"/>
      <w:outlineLvl w:val="0"/>
    </w:pPr>
    <w:rPr>
      <w:b/>
    </w:rPr>
  </w:style>
  <w:style w:type="paragraph" w:styleId="Style26">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
    <w:name w:val="caption1"/>
    <w:basedOn w:val="Normal"/>
    <w:next w:val="Normal"/>
    <w:qFormat/>
    <w:pPr/>
    <w:rPr>
      <w:rFonts w:eastAsia="Calibri"/>
      <w:b/>
      <w:bCs/>
      <w:color w:val="4F81BD"/>
      <w:sz w:val="18"/>
      <w:szCs w:val="18"/>
    </w:rPr>
  </w:style>
  <w:style w:type="paragraph" w:styleId="Subtitle">
    <w:name w:val="Subtitle"/>
    <w:basedOn w:val="Normal"/>
    <w:next w:val="Normal"/>
    <w:link w:val="Style2"/>
    <w:qFormat/>
    <w:pPr>
      <w:numPr>
        <w:ilvl w:val="0"/>
        <w:numId w:val="0"/>
      </w:numPr>
      <w:ind w:left="1066" w:right="0" w:firstLine="709"/>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left="720" w:right="0" w:hanging="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7"/>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7">
    <w:name w:val="Знак"/>
    <w:basedOn w:val="Normal"/>
    <w:qFormat/>
    <w:pPr>
      <w:spacing w:lineRule="exact" w:line="240" w:before="0" w:after="160"/>
    </w:pPr>
    <w:rPr>
      <w:rFonts w:ascii="Verdana" w:hAnsi="Verdana" w:cs="Verdana"/>
      <w:sz w:val="20"/>
      <w:szCs w:val="20"/>
      <w:lang w:val="en-US" w:eastAsia="en-US"/>
    </w:rPr>
  </w:style>
  <w:style w:type="paragraph" w:styleId="33">
    <w:name w:val="Нумерованный список ур3"/>
    <w:basedOn w:val="Normal"/>
    <w:qFormat/>
    <w:pPr>
      <w:numPr>
        <w:ilvl w:val="2"/>
        <w:numId w:val="2"/>
      </w:numPr>
      <w:jc w:val="both"/>
    </w:pPr>
    <w:rPr>
      <w:rFonts w:ascii="Garamond" w:hAnsi="Garamond"/>
      <w:sz w:val="24"/>
      <w:szCs w:val="20"/>
    </w:rPr>
  </w:style>
  <w:style w:type="paragraph" w:styleId="ListBullet4">
    <w:name w:val="List Bullet 4"/>
    <w:basedOn w:val="Normal"/>
    <w:qFormat/>
    <w:pPr>
      <w:numPr>
        <w:ilvl w:val="0"/>
        <w:numId w:val="2"/>
      </w:numPr>
      <w:spacing w:before="120" w:after="0"/>
      <w:jc w:val="both"/>
    </w:pPr>
    <w:rPr>
      <w:rFonts w:ascii="Garamond" w:hAnsi="Garamond"/>
      <w:sz w:val="24"/>
      <w:szCs w:val="20"/>
    </w:rPr>
  </w:style>
  <w:style w:type="paragraph" w:styleId="26">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qFormat/>
    <w:pPr>
      <w:widowControl/>
      <w:suppressAutoHyphens w:val="true"/>
      <w:overflowPunct w:val="fals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name w:val="ConsPlusNormal"/>
    <w:qFormat/>
    <w:pPr>
      <w:widowControl w:val="false"/>
      <w:suppressAutoHyphens w:val="true"/>
      <w:overflowPunct w:val="false"/>
      <w:bidi w:val="0"/>
      <w:spacing w:before="0" w:after="0"/>
      <w:ind w:left="0" w:right="0" w:firstLine="720"/>
      <w:jc w:val="left"/>
    </w:pPr>
    <w:rPr>
      <w:rFonts w:ascii="Arial" w:hAnsi="Arial" w:eastAsia="Times New Roman" w:cs="Arial"/>
      <w:color w:val="auto"/>
      <w:kern w:val="0"/>
      <w:sz w:val="20"/>
      <w:szCs w:val="20"/>
      <w:lang w:val="ru-RU" w:eastAsia="ru-RU" w:bidi="ar-SA"/>
    </w:rPr>
  </w:style>
  <w:style w:type="paragraph" w:styleId="34">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8">
    <w:name w:val="Пункт"/>
    <w:basedOn w:val="Normal"/>
    <w:qFormat/>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6">
    <w:name w:val="Абзац списка1"/>
    <w:basedOn w:val="Normal"/>
    <w:qFormat/>
    <w:pPr>
      <w:spacing w:lineRule="auto" w:line="276" w:before="0" w:after="200"/>
      <w:ind w:left="720" w:right="0" w:hanging="0"/>
      <w:contextualSpacing/>
    </w:pPr>
    <w:rPr>
      <w:rFonts w:ascii="Calibri" w:hAnsi="Calibri"/>
      <w:sz w:val="22"/>
      <w:szCs w:val="22"/>
      <w:lang w:eastAsia="en-US"/>
    </w:rPr>
  </w:style>
  <w:style w:type="paragraph" w:styleId="Style29">
    <w:name w:val="Таблица"/>
    <w:basedOn w:val="Normal"/>
    <w:qFormat/>
    <w:pPr>
      <w:keepNext w:val="true"/>
      <w:spacing w:before="60" w:after="60"/>
      <w:jc w:val="center"/>
    </w:pPr>
    <w:rPr>
      <w:rFonts w:eastAsia="Calibri"/>
      <w:b/>
      <w:sz w:val="24"/>
      <w:szCs w:val="24"/>
      <w:lang w:val="x-none" w:eastAsia="x-none"/>
    </w:rPr>
  </w:style>
  <w:style w:type="paragraph" w:styleId="Style30">
    <w:name w:val="Таблица шапка"/>
    <w:basedOn w:val="Normal"/>
    <w:qFormat/>
    <w:pPr>
      <w:keepNext w:val="true"/>
      <w:spacing w:before="40" w:after="40"/>
      <w:ind w:left="57" w:right="57" w:hanging="0"/>
    </w:pPr>
    <w:rPr>
      <w:sz w:val="22"/>
      <w:szCs w:val="26"/>
    </w:rPr>
  </w:style>
  <w:style w:type="paragraph" w:styleId="Style31">
    <w:name w:val="Подподпункт"/>
    <w:basedOn w:val="Style23"/>
    <w:link w:val="Style9"/>
    <w:qFormat/>
    <w:pPr>
      <w:tabs>
        <w:tab w:val="clear" w:pos="1134"/>
        <w:tab w:val="left" w:pos="5104" w:leader="none"/>
      </w:tabs>
      <w:snapToGrid w:val="true"/>
      <w:spacing w:lineRule="auto" w:line="240" w:before="120" w:after="0"/>
      <w:ind w:left="5104" w:right="0" w:hanging="567"/>
    </w:pPr>
    <w:rPr>
      <w:sz w:val="26"/>
      <w:szCs w:val="26"/>
      <w:lang w:val="ru-RU" w:eastAsia="ru-RU"/>
    </w:rPr>
  </w:style>
  <w:style w:type="paragraph" w:styleId="Style32">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7">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5">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3">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7">
    <w:name w:val="Стиль Заголовок 1 + по ширине"/>
    <w:basedOn w:val="Heading1"/>
    <w:qFormat/>
    <w:pPr>
      <w:keepLines/>
      <w:numPr>
        <w:ilvl w:val="0"/>
        <w:numId w:val="0"/>
      </w:numPr>
      <w:tabs>
        <w:tab w:val="clear" w:pos="708"/>
        <w:tab w:val="left" w:pos="567" w:leader="none"/>
      </w:tabs>
      <w:suppressAutoHyphens w:val="true"/>
      <w:spacing w:before="480" w:after="240"/>
      <w:ind w:left="567" w:right="0" w:hanging="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8">
    <w:name w:val="Заголовок 2 КВВ"/>
    <w:basedOn w:val="Normal"/>
    <w:qFormat/>
    <w:pPr>
      <w:keepNext w:val="true"/>
      <w:numPr>
        <w:ilvl w:val="0"/>
        <w:numId w:val="5"/>
      </w:numPr>
      <w:suppressAutoHyphens w:val="true"/>
      <w:spacing w:before="120" w:after="120"/>
      <w:jc w:val="both"/>
      <w:outlineLvl w:val="0"/>
    </w:pPr>
    <w:rPr>
      <w:b/>
      <w:kern w:val="2"/>
      <w:sz w:val="24"/>
      <w:szCs w:val="20"/>
      <w:lang w:eastAsia="x-none"/>
    </w:rPr>
  </w:style>
  <w:style w:type="paragraph" w:styleId="Style34">
    <w:name w:val="Таблица текст"/>
    <w:basedOn w:val="Normal"/>
    <w:qFormat/>
    <w:pPr>
      <w:spacing w:before="40" w:after="40"/>
      <w:ind w:left="57" w:right="57" w:hanging="0"/>
    </w:pPr>
    <w:rPr>
      <w:sz w:val="24"/>
      <w:szCs w:val="26"/>
    </w:rPr>
  </w:style>
  <w:style w:type="paragraph" w:styleId="NormalWeb">
    <w:name w:val="Normal (Web)"/>
    <w:basedOn w:val="Normal"/>
    <w:qFormat/>
    <w:pPr>
      <w:spacing w:before="280" w:after="280"/>
    </w:pPr>
    <w:rPr>
      <w:sz w:val="24"/>
      <w:szCs w:val="24"/>
    </w:rPr>
  </w:style>
  <w:style w:type="paragraph" w:styleId="18">
    <w:name w:val="УРОВЕНЬ_1."/>
    <w:basedOn w:val="ListParagraph"/>
    <w:link w:val="12"/>
    <w:qFormat/>
    <w:pPr>
      <w:keepNext w:val="true"/>
      <w:keepLines/>
      <w:numPr>
        <w:ilvl w:val="0"/>
        <w:numId w:val="0"/>
      </w:numPr>
      <w:spacing w:lineRule="auto" w:line="276" w:before="240" w:after="120"/>
      <w:ind w:left="0" w:right="0" w:hanging="0"/>
      <w:contextualSpacing w:val="false"/>
      <w:jc w:val="both"/>
      <w:outlineLvl w:val="0"/>
    </w:pPr>
    <w:rPr>
      <w:caps/>
      <w:sz w:val="28"/>
      <w:szCs w:val="28"/>
      <w:lang w:eastAsia="en-US"/>
    </w:rPr>
  </w:style>
  <w:style w:type="paragraph" w:styleId="TOC6">
    <w:name w:val="TOC 6"/>
    <w:basedOn w:val="Normal"/>
    <w:next w:val="Normal"/>
    <w:autoRedefine/>
    <w:pPr>
      <w:ind w:left="1120" w:right="0" w:hanging="0"/>
    </w:pPr>
    <w:rPr>
      <w:rFonts w:ascii="Calibri" w:hAnsi="Calibri" w:cs="Calibri"/>
      <w:sz w:val="20"/>
      <w:szCs w:val="20"/>
    </w:rPr>
  </w:style>
  <w:style w:type="paragraph" w:styleId="TOC7">
    <w:name w:val="TOC 7"/>
    <w:basedOn w:val="Normal"/>
    <w:next w:val="Normal"/>
    <w:autoRedefine/>
    <w:pPr>
      <w:ind w:left="1400" w:right="0" w:hanging="0"/>
    </w:pPr>
    <w:rPr>
      <w:rFonts w:ascii="Calibri" w:hAnsi="Calibri" w:cs="Calibri"/>
      <w:sz w:val="20"/>
      <w:szCs w:val="20"/>
    </w:rPr>
  </w:style>
  <w:style w:type="paragraph" w:styleId="TOC8">
    <w:name w:val="TOC 8"/>
    <w:basedOn w:val="Normal"/>
    <w:next w:val="Normal"/>
    <w:autoRedefine/>
    <w:pPr>
      <w:ind w:left="1680" w:right="0" w:hanging="0"/>
    </w:pPr>
    <w:rPr>
      <w:rFonts w:ascii="Calibri" w:hAnsi="Calibri" w:cs="Calibri"/>
      <w:sz w:val="20"/>
      <w:szCs w:val="20"/>
    </w:rPr>
  </w:style>
  <w:style w:type="paragraph" w:styleId="Style35">
    <w:name w:val="Содержимое врезки"/>
    <w:basedOn w:val="Normal"/>
    <w:qFormat/>
    <w:pPr/>
    <w:rPr/>
  </w:style>
  <w:style w:type="paragraph" w:styleId="Style36">
    <w:name w:val="Содержимое таблицы"/>
    <w:basedOn w:val="Normal"/>
    <w:qFormat/>
    <w:pPr>
      <w:widowControl w:val="false"/>
      <w:suppressLineNumbers/>
    </w:pPr>
    <w:rPr/>
  </w:style>
  <w:style w:type="paragraph" w:styleId="Style37">
    <w:name w:val="РГ_номер текста табл"/>
    <w:basedOn w:val="ListParagraph"/>
    <w:qFormat/>
    <w:pPr>
      <w:numPr>
        <w:ilvl w:val="0"/>
        <w:numId w:val="7"/>
      </w:numPr>
      <w:spacing w:before="0" w:after="0"/>
      <w:contextualSpacing/>
      <w:jc w:val="both"/>
    </w:pPr>
    <w:rPr>
      <w:rFonts w:ascii="Book Antiqua" w:hAnsi="Book Antiqua" w:eastAsia="Calibri" w:cs="Book Antiqua"/>
      <w:sz w:val="24"/>
      <w:szCs w:val="22"/>
      <w:lang w:eastAsia="en-US"/>
    </w:rPr>
  </w:style>
  <w:style w:type="paragraph" w:styleId="ConsPlusNonformat">
    <w:name w:val="ConsPlusNonformat"/>
    <w:basedOn w:val="Normal"/>
    <w:qFormat/>
    <w:pPr/>
    <w:rPr>
      <w:rFonts w:ascii="Courier New" w:hAnsi="Courier New" w:eastAsia="Calibri" w:cs="Courier New"/>
      <w:lang w:eastAsia="zh-CN"/>
    </w:rPr>
  </w:style>
  <w:style w:type="paragraph" w:styleId="Xmsolistparagraph">
    <w:name w:val="x_msolistparagraph"/>
    <w:basedOn w:val="Normal"/>
    <w:qFormat/>
    <w:pPr>
      <w:spacing w:lineRule="auto" w:line="240" w:before="280" w:after="280"/>
    </w:pPr>
    <w:rPr>
      <w:rFonts w:ascii="Times New Roman" w:hAnsi="Times New Roman"/>
      <w:sz w:val="24"/>
      <w:szCs w:val="24"/>
    </w:rPr>
  </w:style>
  <w:style w:type="paragraph" w:styleId="Style38">
    <w:name w:val="Абзац списка"/>
    <w:basedOn w:val="Normal"/>
    <w:qFormat/>
    <w:pPr>
      <w:tabs>
        <w:tab w:val="clear" w:pos="708"/>
      </w:tabs>
      <w:suppressAutoHyphens w:val="true"/>
      <w:spacing w:before="0" w:after="200"/>
      <w:ind w:left="720" w:right="0" w:hanging="0"/>
    </w:pPr>
    <w:rPr/>
  </w:style>
  <w:style w:type="paragraph" w:styleId="Standard">
    <w:name w:val="Standard"/>
    <w:qFormat/>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FORMATTEXT">
    <w:name w:val=".FORMATTEXT"/>
    <w:qFormat/>
    <w:pPr>
      <w:widowControl w:val="false"/>
      <w:suppressAutoHyphens w:val="true"/>
      <w:bidi w:val="0"/>
      <w:spacing w:lineRule="auto" w:line="276" w:before="0" w:after="0"/>
      <w:ind w:left="0" w:right="0" w:firstLine="709"/>
      <w:jc w:val="both"/>
      <w:textAlignment w:val="baseline"/>
    </w:pPr>
    <w:rPr>
      <w:rFonts w:ascii="Times New Roman" w:hAnsi="Times New Roman" w:eastAsia="Times New Roman" w:cs="Times New Roman"/>
      <w:color w:val="auto"/>
      <w:kern w:val="0"/>
      <w:sz w:val="24"/>
      <w:szCs w:val="24"/>
      <w:lang w:val="ru-RU" w:eastAsia="ru-RU" w:bidi="ar-SA"/>
    </w:rPr>
  </w:style>
  <w:style w:type="paragraph" w:styleId="Style39">
    <w:name w:val="Заголовок таблицы"/>
    <w:basedOn w:val="Style36"/>
    <w:qFormat/>
    <w:pPr>
      <w:suppressLineNumbers/>
      <w:jc w:val="center"/>
    </w:pPr>
    <w:rPr>
      <w:b/>
      <w:bCs/>
    </w:rPr>
  </w:style>
  <w:style w:type="numbering" w:styleId="19">
    <w:name w:val="Стиль1"/>
    <w:qFormat/>
  </w:style>
  <w:style w:type="numbering" w:styleId="29">
    <w:name w:val="Стиль2"/>
    <w:qFormat/>
  </w:style>
  <w:style w:type="numbering" w:styleId="6973107191">
    <w:name w:val="697310719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https://rushydro.ru/activity/safety/library/teksty-deystvuyushchikh-standartov-pao-rusgidro/" TargetMode="External"/><Relationship Id="rId4" Type="http://schemas.openxmlformats.org/officeDocument/2006/relationships/hyperlink" Target="https://rushydro.ru/activity/safety/library/teksty-deystvuyushchikh-standartov-pao-rusgidro/" TargetMode="External"/><Relationship Id="rId5" Type="http://schemas.openxmlformats.org/officeDocument/2006/relationships/hyperlink" Target="https://docs.cntd.ru/document/1200053728" TargetMode="Externa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yperlink" Target="kodeks://link/d?nd=1200004511&quot;\o&quot;&#8217;&#8217;&#1043;&#1054;&#1057;&#1058; 6581-75 &#1052;&#1072;&#1090;&#1077;&#1088;&#1080;&#1072;&#1083;&#1099; &#1101;&#1083;&#1077;&#1082;&#1090;&#1088;&#1086;&#1080;&#1079;&#1086;&#1083;&#1103;&#1094;&#1080;&#1086;&#1085;&#1085;&#1099;&#1077; &#1078;&#1080;&#1076;&#1082;&#1080;&#1077;. &#1052;&#1077;&#1090;&#1086;&#1076;&#1099; &#1101;&#1083;&#1077;&#1082;&#1090;&#1088;&#1080;&#1095;&#1077;&#1089;&#1082;&#1080;&#1093; &#1080;&#1089;&#1087;&#1099;&#1090;&#1072;&#1085;&#1080;&#1081; (&#1089; &#1048;&#1079;&#1084;&#1077;&#1085;&#1077;&#1085;&#1080;&#1103;&#1084;&#1080; N 1, 2, 3)&#8217;&#8217;(&#1091;&#1090;&#1074;. &#1087;&#1086;&#1089;&#1090;&#1072;&#1085;&#1086;&#1074;&#1083;&#1077;&#1085;&#1080;&#1077;&#1084; &#1043;&#1086;&#1089;&#1089;&#1090;&#1072;&#1085;&#1076;&#1072;&#1088;&#1090;&#1072; &#1057;&#1057;&#1057;&#1056; &#1086;&#1090; 09.04.1975 N 393)&#1055;&#1088;&#1080;&#1084;&#1077;&#1085;&#1103;&#1077;&#1090;&#1089;&#1103; &#1089; 01.01.1977&#1057;&#1090;&#1072;&#1090;&#1091;&#1089;: &#1044;&#1077;&#1081;&#1089;&#1090;&#1074;&#1091;&#1102;&#1097;&#1072;&#1103; &#1088;&#1077;&#1076;&#1072;&#1082;&#1094;&#1080;&#1103; &#1076;&#1086;&#1082;&#1091;&#1084;&#1077;&#1085;&#1090;&#1072;" TargetMode="External"/><Relationship Id="rId15" Type="http://schemas.openxmlformats.org/officeDocument/2006/relationships/hyperlink" Target="kodeks://link/d?nd=1200103107&quot;\o&quot;&#8217;&#8217;&#1043;&#1054;&#1057;&#1058; &#1056; &#1052;&#1069;&#1050; 60156-2013 &#1046;&#1080;&#1076;&#1082;&#1086;&#1089;&#1090;&#1080; &#1080;&#1079;&#1086;&#1083;&#1103;&#1094;&#1080;&#1086;&#1085;&#1085;&#1099;&#1077;. &#1054;&#1087;&#1088;&#1077;&#1076;&#1077;&#1083;&#1077;&#1085;&#1080;&#1077; &#1085;&#1072;&#1087;&#1088;&#1103;&#1078;&#1077;&#1085;&#1080;&#1103; &#1087;&#1088;&#1086;&#1073;&#1086;&#1103; &#1085;&#1072; &#1087;&#1088;&#1086;&#1084;&#1099;&#1096;&#1083;&#1077;&#1085;&#1085;&#1086;&#1081; &#1095;&#1072;&#1089;&#1090;&#1086;&#1090;&#1077;&#8217;&#8217;(&#1091;&#1090;&#1074;. &#1087;&#1088;&#1080;&#1082;&#1072;&#1079;&#1086;&#1084; &#1056;&#1086;&#1089;&#1089;&#1090;&#1072;&#1085;&#1076;&#1072;&#1088;&#1090;&#1072; &#1086;&#1090; 05.03.2013 N 5-&#1089;&#1090;)&#1055;&#1088;&#1080;&#1084;&#1077;&#1085;&#1103;&#1077;&#1090;&#1089;&#1103; &#1089; 01.01.2014&#1057;&#1090;&#1072;&#1090;&#1091;&#1089;: &#1044;&#1077;&#1081;&#1089;&#1090;&#1074;&#1091;&#1102;&#1097;&#1072;&#1103; &#1088;&#1077;&#1076;&#1072;&#1082;&#1094;&#1080;&#1103; &#1076;&#1086;&#1082;&#1091;&#1084;&#1077;&#1085;&#1090;&#1072; (&#1076;&#1077;&#1081;&#1089;&#1090;&#1074;. c 01.01.2014)" TargetMode="External"/><Relationship Id="rId16" Type="http://schemas.openxmlformats.org/officeDocument/2006/relationships/hyperlink" Target="kodeks://link/d?nd=1200004511&quot;\o&quot;&#8217;&#8217;&#1043;&#1054;&#1057;&#1058; 6581-75 &#1052;&#1072;&#1090;&#1077;&#1088;&#1080;&#1072;&#1083;&#1099; &#1101;&#1083;&#1077;&#1082;&#1090;&#1088;&#1086;&#1080;&#1079;&#1086;&#1083;&#1103;&#1094;&#1080;&#1086;&#1085;&#1085;&#1099;&#1077; &#1078;&#1080;&#1076;&#1082;&#1080;&#1077;. &#1052;&#1077;&#1090;&#1086;&#1076;&#1099; &#1101;&#1083;&#1077;&#1082;&#1090;&#1088;&#1080;&#1095;&#1077;&#1089;&#1082;&#1080;&#1093; &#1080;&#1089;&#1087;&#1099;&#1090;&#1072;&#1085;&#1080;&#1081; (&#1089; &#1048;&#1079;&#1084;&#1077;&#1085;&#1077;&#1085;&#1080;&#1103;&#1084;&#1080; N 1, 2, 3)&#8217;&#8217;(&#1091;&#1090;&#1074;. &#1087;&#1086;&#1089;&#1090;&#1072;&#1085;&#1086;&#1074;&#1083;&#1077;&#1085;&#1080;&#1077;&#1084; &#1043;&#1086;&#1089;&#1089;&#1090;&#1072;&#1085;&#1076;&#1072;&#1088;&#1090;&#1072; &#1057;&#1057;&#1057;&#1056; &#1086;&#1090; 09.04.1975 N 393)&#1055;&#1088;&#1080;&#1084;&#1077;&#1085;&#1103;&#1077;&#1090;&#1089;&#1103; &#1089; 01.01.1977&#1057;&#1090;&#1072;&#1090;&#1091;&#1089;: &#1044;&#1077;&#1081;&#1089;&#1090;&#1074;&#1091;&#1102;&#1097;&#1072;&#1103; &#1088;&#1077;&#1076;&#1072;&#1082;&#1094;&#1080;&#1103; &#1076;&#1086;&#1082;&#1091;&#1084;&#1077;&#1085;&#1090;&#1072;" TargetMode="External"/><Relationship Id="rId17" Type="http://schemas.openxmlformats.org/officeDocument/2006/relationships/hyperlink" Target="kodeks://link/d?nd=1200005438&quot;\o&quot;&#8217;&#8217;&#1043;&#1054;&#1057;&#1058; 5985-79 &#1053;&#1077;&#1092;&#1090;&#1077;&#1087;&#1088;&#1086;&#1076;&#1091;&#1082;&#1090;&#1099;. &#1052;&#1077;&#1090;&#1086;&#1076; &#1086;&#1087;&#1088;&#1077;&#1076;&#1077;&#1083;&#1077;&#1085;&#1080;&#1103; &#1082;&#1080;&#1089;&#1083;&#1086;&#1090;&#1085;&#1086;&#1089;&#1090;&#1080; &#1080; &#1082;&#1080;&#1089;&#1083;&#1086;&#1090;&#1085;&#1086;&#1075;&#1086; &#1095;&#1080;&#1089;&#1083;&#1072; (&#1089; ...&#8217;&#8217;(&#1091;&#1090;&#1074;. &#1087;&#1086;&#1089;&#1090;&#1072;&#1085;&#1086;&#1074;&#1083;&#1077;&#1085;&#1080;&#1077;&#1084; &#1043;&#1086;&#1089;&#1089;&#1090;&#1072;&#1085;&#1076;&#1072;&#1088;&#1090;&#1072; &#1057;&#1057;&#1057;&#1056; &#1086;&#1090; 30.03.1979 N 1167)&#1057;&#1090;&#1072;&#1090;&#1091;&#1089;: &#1044;&#1077;&#1081;&#1089;&#1090;&#1074;&#1091;&#1102;&#1097;&#1072;&#1103; &#1088;&#1077;&#1076;&#1072;&#1082;&#1094;&#1080;&#1103; &#1076;&#1086;&#1082;&#1091;&#1084;&#1077;&#1085;&#1090;&#1072; (&#1076;&#1077;&#1081;&#1089;&#1090;&#1074;. c 01.03.2016 &#1087;&#1086; 01.03.2016)" TargetMode="External"/><Relationship Id="rId18" Type="http://schemas.openxmlformats.org/officeDocument/2006/relationships/hyperlink" Target="kodeks://link/d?nd=1200103110&quot;\o&quot;&#8217;&#8217;&#1043;&#1054;&#1057;&#1058; &#1056; &#1052;&#1069;&#1050; 62021-1-2013 &#1046;&#1080;&#1076;&#1082;&#1086;&#1089;&#1090;&#1080; &#1080;&#1079;&#1086;&#1083;&#1103;&#1094;&#1080;&#1086;&#1085;&#1085;&#1099;&#1077;. &#1054;&#1087;&#1088;&#1077;&#1076;&#1077;&#1083;&#1077;&#1085;&#1080;&#1077; &#1082;&#1080;&#1089;&#1083;&#1086;&#1090;&#1085;&#1086;&#1089;&#1090;&#1080;. &#1063;&#1072;&#1089;&#1090;&#1100; 1. &#1052;&#1077;&#1090;&#1086;&#1076; ...&#8217;&#8217;(&#1091;&#1090;&#1074;. &#1087;&#1088;&#1080;&#1082;&#1072;&#1079;&#1086;&#1084; &#1056;&#1086;&#1089;&#1089;&#1090;&#1072;&#1085;&#1076;&#1072;&#1088;&#1090;&#1072; &#1086;&#1090; 05.03.2013 N 7-&#1089;&#1090;)&#1055;&#1088;&#1080;&#1084;&#1077;&#1085;&#1103;&#1077;&#1090;&#1089;&#1103; &#1089; 01.01.2014&#1057;&#1090;&#1072;&#1090;&#1091;&#1089;: &#1044;&#1077;&#1081;&#1089;&#1090;&#1074;&#1091;&#1102;&#1097;&#1072;&#1103; &#1088;&#1077;&#1076;&#1072;&#1082;&#1094;&#1080;&#1103; &#1076;&#1086;&#1082;&#1091;&#1084;&#1077;&#1085;&#1090;&#1072; (&#1076;&#1077;&#1081;&#1089;&#1090;&#1074;. c 01.01.2014)" TargetMode="External"/><Relationship Id="rId19" Type="http://schemas.openxmlformats.org/officeDocument/2006/relationships/hyperlink" Target="kodeks://link/d?nd=1200005427&quot;\o&quot;&#8217;&#8217;&#1043;&#1054;&#1057;&#1058; 6356-75 &#1053;&#1077;&#1092;&#1090;&#1077;&#1087;&#1088;&#1086;&#1076;&#1091;&#1082;&#1090;&#1099;. &#1052;&#1077;&#1090;&#1086;&#1076; &#1086;&#1087;&#1088;&#1077;&#1076;&#1077;&#1083;&#1077;&#1085;&#1080;&#1103; &#1090;&#1077;&#1084;&#1087;&#1077;&#1088;&#1072;&#1090;&#1091;&#1088;&#1099; &#1074;&#1089;&#1087;&#1099;&#1096;&#1082;&#1080; &#1074; ...&#8217;&#8217;(&#1091;&#1090;&#1074;. &#1087;&#1086;&#1089;&#1090;&#1072;&#1085;&#1086;&#1074;&#1083;&#1077;&#1085;&#1080;&#1077;&#1084; &#1043;&#1086;&#1089;&#1089;&#1090;&#1072;&#1085;&#1076;&#1072;&#1088;&#1090;&#1072; &#1057;&#1057;&#1057;&#1056; &#1086;&#1090; 03.09.1975 N 2321)&#1055;&#1088;&#1080;&#1084;&#1077;&#1085;&#1103;&#1077;&#1090;&#1089;&#1103; ...&#1057;&#1090;&#1072;&#1090;&#1091;&#1089;: &#1044;&#1077;&#1081;&#1089;&#1090;&#1074;&#1091;&#1102;&#1097;&#1080;&#1081; &#1076;&#1086;&#1082;&#1091;&#1084;&#1077;&#1085;&#1090;. &#1055;&#1088;&#1080;&#1084;&#1077;&#1085;&#1103;&#1077;&#1090;&#1089;&#1103; &#1076;&#1083;&#1103; &#1094;&#1077;&#1083;&#1077;&#1081; &#1090;&#1077;&#1093;&#1085;&#1080;&#1095;&#1077;&#1089;&#1082;&#1086;&#1075;&#1086; &#1088;&#1077;&#1075;&#1083;&#1072;&#1084;&#1077;&#1085;&#1090;&#1072; (&#1076;&#1077;&#1081;&#1089;&#1090;&#1074;. c 01.01.1977)" TargetMode="External"/><Relationship Id="rId20" Type="http://schemas.openxmlformats.org/officeDocument/2006/relationships/hyperlink" Target="kodeks://link/d?nd=1200103109&quot;\o&quot;&#8217;&#8217;&#1043;&#1054;&#1057;&#1058; &#1056; &#1052;&#1069;&#1050; 60814-2013 &#1046;&#1080;&#1076;&#1082;&#1086;&#1089;&#1090;&#1080; &#1080;&#1079;&#1086;&#1083;&#1103;&#1094;&#1080;&#1086;&#1085;&#1085;&#1099;&#1077;. &#1041;&#1091;&#1084;&#1072;&#1075;&#1072; &#1080; &#1087;&#1088;&#1077;&#1089;&#1089;&#1086;&#1074;&#1072;&#1085;&#1085;&#1099;&#1081; &#1082;&#1072;&#1088;&#1090;&#1086;&#1085;, &#1087;&#1088;&#1086;&#1087;&#1080;&#1090;&#1072;&#1085;&#1085;&#1099;&#1077; ...&#8217;&#8217;(&#1091;&#1090;&#1074;. &#1087;&#1088;&#1080;&#1082;&#1072;&#1079;&#1086;&#1084; &#1056;&#1086;&#1089;&#1089;&#1090;&#1072;&#1085;&#1076;&#1072;&#1088;&#1090;&#1072; &#1086;&#1090; 05.03.2013 N 4-&#1089;&#1090;)&#1055;&#1088;&#1080;&#1084;&#1077;&#1085;&#1103;&#1077;&#1090;&#1089;&#1103; &#1089; 01.01.2014&#1057;&#1090;&#1072;&#1090;&#1091;&#1089;: &#1044;&#1077;&#1081;&#1089;&#1090;&#1074;&#1091;&#1102;&#1097;&#1072;&#1103; &#1088;&#1077;&#1076;&#1072;&#1082;&#1094;&#1080;&#1103; &#1076;&#1086;&#1082;&#1091;&#1084;&#1077;&#1085;&#1090;&#1072; (&#1076;&#1077;&#1081;&#1089;&#1090;&#1074;. c 01.01.2014)" TargetMode="External"/><Relationship Id="rId21" Type="http://schemas.openxmlformats.org/officeDocument/2006/relationships/hyperlink" Target="kodeks://link/d?nd=1200004512&quot;\o&quot;&#8217;&#8217;&#1043;&#1054;&#1057;&#1058; 7822-75 &#1052;&#1072;&#1089;&#1083;&#1072; &#1085;&#1077;&#1092;&#1090;&#1103;&#1085;&#1099;&#1077;. &#1052;&#1077;&#1090;&#1086;&#1076; &#1086;&#1087;&#1088;&#1077;&#1076;&#1077;&#1083;&#1077;&#1085;&#1080;&#1103; &#1088;&#1072;&#1089;&#1090;&#1074;&#1086;&#1088;&#1077;&#1085;&#1085;&#1086;&#1081; &#1074;&#1086;&#1076;&#1099; (&#1089; &#1048;&#1079;&#1084;&#1077;&#1085;&#1077;&#1085;&#1080;&#1103;&#1084;&#1080; N 1, 2)&#8217;&#8217;(&#1091;&#1090;&#1074;. &#1087;&#1086;&#1089;&#1090;&#1072;&#1085;&#1086;&#1074;&#1083;&#1077;&#1085;&#1080;&#1077;&#1084; &#1043;&#1086;&#1089;&#1089;&#1090;&#1072;&#1085;&#1076;&#1072;&#1088;&#1090;&#1072; &#1057;&#1057;&#1057;&#1056; &#1086;&#1090; 24.10.1975 N 2683)&#1055;&#1088;&#1080;&#1084;&#1077;&#1085;&#1103;&#1077;&#1090;&#1089;&#1103; &#1089; 01.01.1977&#1057;&#1090;&#1072;&#1090;&#1091;&#1089;: &#1044;&#1077;&#1081;&#1089;&#1090;&#1074;&#1091;&#1102;&#1097;&#1072;&#1103; &#1088;&#1077;&#1076;&#1072;&#1082;&#1094;&#1080;&#1103; &#1076;&#1086;&#1082;&#1091;&#1084;&#1077;&#1085;&#1090;&#1072;" TargetMode="External"/><Relationship Id="rId22" Type="http://schemas.openxmlformats.org/officeDocument/2006/relationships/hyperlink" Target="kodeks://link/d?nd=1200051492&quot;\o&quot;&#8217;&#8217;&#1043;&#1054;&#1057;&#1058; &#1048;&#1057;&#1054; 4407-2006 &#1063;&#1080;&#1089;&#1090;&#1086;&#1090;&#1072; &#1087;&#1088;&#1086;&#1084;&#1099;&#1096;&#1083;&#1077;&#1085;&#1085;&#1072;&#1103;. &#1054;&#1087;&#1088;&#1077;&#1076;&#1077;&#1083;&#1077;&#1085;&#1080;&#1077; &#1079;&#1072;&#1075;&#1088;&#1103;&#1079;&#1085;&#1077;&#1085;&#1085;&#1086;&#1089;&#1090;&#1080; &#1078;&#1080;&#1076;&#1082;&#1086;&#1089;&#1090;&#1080; &#1084;&#1077;&#1090;&#1086;&#1076;&#1086;&#1084; &#1089;&#1095;&#1077;&#1090;&#1072; ...&#8217;&#8217;(&#1091;&#1090;&#1074;. &#1087;&#1088;&#1080;&#1082;&#1072;&#1079;&#1086;&#1084; &#1056;&#1086;&#1089;&#1089;&#1090;&#1072;&#1085;&#1076;&#1072;&#1088;&#1090;&#1072; &#1086;&#1090; 28.06.2007 N 152-&#1089;&#1090;)&#1055;&#1088;&#1080;&#1084;&#1077;&#1085;&#1103;&#1077;&#1090;&#1089;&#1103; &#1089; 01.03.2008&#1057;&#1090;&#1072;&#1090;&#1091;&#1089;: &#1044;&#1077;&#1081;&#1089;&#1090;&#1074;&#1091;&#1102;&#1097;&#1080;&#1081; &#1076;&#1086;&#1082;&#1091;&#1084;&#1077;&#1085;&#1090; (&#1076;&#1077;&#1081;&#1089;&#1090;&#1074;. c 01.03.2008)" TargetMode="External"/><Relationship Id="rId23" Type="http://schemas.openxmlformats.org/officeDocument/2006/relationships/hyperlink" Target="kodeks://link/d?nd=1200028882&quot;\o&quot;&#8217;&#8217;&#1043;&#1054;&#1057;&#1058; 17216-2001 &#1063;&#1080;&#1089;&#1090;&#1086;&#1090;&#1072; &#1087;&#1088;&#1086;&#1084;&#1099;&#1096;&#1083;&#1077;&#1085;&#1085;&#1072;&#1103;. &#1050;&#1083;&#1072;&#1089;&#1089;&#1099; &#1095;&#1080;&#1089;&#1090;&#1086;&#1090;&#1099; &#1078;&#1080;&#1076;&#1082;&#1086;&#1089;&#1090;&#1077;&#1081;&#8217;&#8217;(&#1091;&#1090;&#1074;. &#1087;&#1086;&#1089;&#1090;&#1072;&#1085;&#1086;&#1074;&#1083;&#1077;&#1085;&#1080;&#1077;&#1084; &#1043;&#1086;&#1089;&#1089;&#1090;&#1072;&#1085;&#1076;&#1072;&#1088;&#1090;&#1072; &#1056;&#1086;&#1089;&#1089;&#1080;&#1080; &#1086;&#1090; 25.12.2001 N 595-&#1089;&#1090;)&#1055;&#1088;&#1080;&#1084;&#1077;&#1085;&#1103;&#1077;&#1090;&#1089;&#1103; &#1089; 01.01.2003 &#1074;&#1079;&#1072;&#1084;&#1077;&#1085; &#1043;&#1054;&#1057;&#1058; 17216-71&#1057;&#1090;&#1072;&#1090;&#1091;&#1089;: &#1044;&#1077;&#1081;&#1089;&#1090;&#1074;&#1091;&#1102;&#1097;&#1072;&#1103; &#1088;&#1077;&#1076;&#1072;&#1082;&#1094;&#1080;&#1103; &#1076;&#1086;&#1082;&#1091;&#1084;&#1077;&#1085;&#1090;&#1072;" TargetMode="External"/><Relationship Id="rId24" Type="http://schemas.openxmlformats.org/officeDocument/2006/relationships/hyperlink" Target="kodeks://link/d?nd=1200028882&quot;\o&quot;&#8217;&#8217;&#1043;&#1054;&#1057;&#1058; 17216-2001 &#1063;&#1080;&#1089;&#1090;&#1086;&#1090;&#1072; &#1087;&#1088;&#1086;&#1084;&#1099;&#1096;&#1083;&#1077;&#1085;&#1085;&#1072;&#1103;. &#1050;&#1083;&#1072;&#1089;&#1089;&#1099; &#1095;&#1080;&#1089;&#1090;&#1086;&#1090;&#1099; &#1078;&#1080;&#1076;&#1082;&#1086;&#1089;&#1090;&#1077;&#1081;&#8217;&#8217;(&#1091;&#1090;&#1074;. &#1087;&#1086;&#1089;&#1090;&#1072;&#1085;&#1086;&#1074;&#1083;&#1077;&#1085;&#1080;&#1077;&#1084; &#1043;&#1086;&#1089;&#1089;&#1090;&#1072;&#1085;&#1076;&#1072;&#1088;&#1090;&#1072; &#1056;&#1086;&#1089;&#1089;&#1080;&#1080; &#1086;&#1090; 25.12.2001 N 595-&#1089;&#1090;)&#1055;&#1088;&#1080;&#1084;&#1077;&#1085;&#1103;&#1077;&#1090;&#1089;&#1103; &#1089; 01.01.2003 &#1074;&#1079;&#1072;&#1084;&#1077;&#1085; &#1043;&#1054;&#1057;&#1058; 17216-71&#1057;&#1090;&#1072;&#1090;&#1091;&#1089;: &#1044;&#1077;&#1081;&#1089;&#1090;&#1074;&#1091;&#1102;&#1097;&#1072;&#1103; &#1088;&#1077;&#1076;&#1072;&#1082;&#1094;&#1080;&#1103; &#1076;&#1086;&#1082;&#1091;&#1084;&#1077;&#1085;&#1090;&#1072;" TargetMode="External"/><Relationship Id="rId25" Type="http://schemas.openxmlformats.org/officeDocument/2006/relationships/hyperlink" Target="kodeks://link/d?nd=1200004078&quot;\o&quot;&#8217;&#8217;&#1043;&#1054;&#1057;&#1058; 6370-83 (&#1057;&#1058; &#1057;&#1069;&#1042; 2876-81) &#1053;&#1077;&#1092;&#1090;&#1100;, &#1085;&#1077;&#1092;&#1090;&#1077;&#1087;&#1088;&#1086;&#1076;&#1091;&#1082;&#1090;&#1099; &#1080; &#1087;&#1088;&#1080;&#1089;&#1072;&#1076;&#1082;&#1080; ...&#8217;&#8217;(&#1091;&#1090;&#1074;. &#1087;&#1086;&#1089;&#1090;&#1072;&#1085;&#1086;&#1074;&#1083;&#1077;&#1085;&#1080;&#1077;&#1084; &#1043;&#1086;&#1089;&#1089;&#1090;&#1072;&#1085;&#1076;&#1072;&#1088;&#1090;&#1072; &#1057;&#1057;&#1057;&#1056; &#1086;&#1090; 12.04.1983 N 1708)&#1057;&#1090;&#1072;&#1090;&#1091;&#1089;: &#1044;&#1077;&#1081;&#1089;&#1090;&#1074;&#1091;&#1102;&#1097;&#1080;&#1081; &#1076;&#1086;&#1082;&#1091;&#1084;&#1077;&#1085;&#1090;. &#1055;&#1088;&#1080;&#1084;&#1077;&#1085;&#1103;&#1077;&#1090;&#1089;&#1103; &#1076;&#1083;&#1103; &#1094;&#1077;&#1083;&#1077;&#1081; &#1090;&#1077;&#1093;&#1085;&#1080;&#1095;&#1077;&#1089;&#1082;&#1086;&#1075;&#1086; &#1088;&#1077;&#1075;&#1083;&#1072;&#1084;&#1077;&#1085;&#1090;&#1072; (&#1076;&#1077;&#1081;&#1089;&#1090;&#1074;. c 01.01.1984 &#1087;&#1086; 30.11.2023)" TargetMode="External"/><Relationship Id="rId26" Type="http://schemas.openxmlformats.org/officeDocument/2006/relationships/hyperlink" Target="kodeks://link/d?nd=1200028882&quot;\o&quot;&#8217;&#8217;&#1043;&#1054;&#1057;&#1058; 17216-2001 &#1063;&#1080;&#1089;&#1090;&#1086;&#1090;&#1072; &#1087;&#1088;&#1086;&#1084;&#1099;&#1096;&#1083;&#1077;&#1085;&#1085;&#1072;&#1103;. &#1050;&#1083;&#1072;&#1089;&#1089;&#1099; &#1095;&#1080;&#1089;&#1090;&#1086;&#1090;&#1099; &#1078;&#1080;&#1076;&#1082;&#1086;&#1089;&#1090;&#1077;&#1081;&#8217;&#8217;(&#1091;&#1090;&#1074;. &#1087;&#1086;&#1089;&#1090;&#1072;&#1085;&#1086;&#1074;&#1083;&#1077;&#1085;&#1080;&#1077;&#1084; &#1043;&#1086;&#1089;&#1089;&#1090;&#1072;&#1085;&#1076;&#1072;&#1088;&#1090;&#1072; &#1056;&#1086;&#1089;&#1089;&#1080;&#1080; &#1086;&#1090; 25.12.2001 N 595-&#1089;&#1090;)&#1055;&#1088;&#1080;&#1084;&#1077;&#1085;&#1103;&#1077;&#1090;&#1089;&#1103; &#1089; 01.01.2003 &#1074;&#1079;&#1072;&#1084;&#1077;&#1085; &#1043;&#1054;&#1057;&#1058; 17216-71&#1057;&#1090;&#1072;&#1090;&#1091;&#1089;: &#1044;&#1077;&#1081;&#1089;&#1090;&#1074;&#1091;&#1102;&#1097;&#1072;&#1103; &#1088;&#1077;&#1076;&#1072;&#1082;&#1094;&#1080;&#1103; &#1076;&#1086;&#1082;&#1091;&#1084;&#1077;&#1085;&#1090;&#1072;" TargetMode="External"/><Relationship Id="rId27" Type="http://schemas.openxmlformats.org/officeDocument/2006/relationships/hyperlink" Target="kodeks://link/d?nd=1200028882&quot;\o&quot;&#8217;&#8217;&#1043;&#1054;&#1057;&#1058; 17216-2001 &#1063;&#1080;&#1089;&#1090;&#1086;&#1090;&#1072; &#1087;&#1088;&#1086;&#1084;&#1099;&#1096;&#1083;&#1077;&#1085;&#1085;&#1072;&#1103;. &#1050;&#1083;&#1072;&#1089;&#1089;&#1099; &#1095;&#1080;&#1089;&#1090;&#1086;&#1090;&#1099; &#1078;&#1080;&#1076;&#1082;&#1086;&#1089;&#1090;&#1077;&#1081;&#8217;&#8217;(&#1091;&#1090;&#1074;. &#1087;&#1086;&#1089;&#1090;&#1072;&#1085;&#1086;&#1074;&#1083;&#1077;&#1085;&#1080;&#1077;&#1084; &#1043;&#1086;&#1089;&#1089;&#1090;&#1072;&#1085;&#1076;&#1072;&#1088;&#1090;&#1072; &#1056;&#1086;&#1089;&#1089;&#1080;&#1080; &#1086;&#1090; 25.12.2001 N 595-&#1089;&#1090;)&#1055;&#1088;&#1080;&#1084;&#1077;&#1085;&#1103;&#1077;&#1090;&#1089;&#1103; &#1089; 01.01.2003 &#1074;&#1079;&#1072;&#1084;&#1077;&#1085; &#1043;&#1054;&#1057;&#1058; 17216-71&#1057;&#1090;&#1072;&#1090;&#1091;&#1089;: &#1044;&#1077;&#1081;&#1089;&#1090;&#1074;&#1091;&#1102;&#1097;&#1072;&#1103; &#1088;&#1077;&#1076;&#1072;&#1082;&#1094;&#1080;&#1103; &#1076;&#1086;&#1082;&#1091;&#1084;&#1077;&#1085;&#1090;&#1072;" TargetMode="External"/><Relationship Id="rId28" Type="http://schemas.openxmlformats.org/officeDocument/2006/relationships/hyperlink" Target="kodeks://link/d?nd=1200004511&quot;\o&quot;&#8217;&#8217;&#1043;&#1054;&#1057;&#1058; 6581-75 &#1052;&#1072;&#1090;&#1077;&#1088;&#1080;&#1072;&#1083;&#1099; &#1101;&#1083;&#1077;&#1082;&#1090;&#1088;&#1086;&#1080;&#1079;&#1086;&#1083;&#1103;&#1094;&#1080;&#1086;&#1085;&#1085;&#1099;&#1077; &#1078;&#1080;&#1076;&#1082;&#1080;&#1077;. &#1052;&#1077;&#1090;&#1086;&#1076;&#1099; &#1101;&#1083;&#1077;&#1082;&#1090;&#1088;&#1080;&#1095;&#1077;&#1089;&#1082;&#1080;&#1093; &#1080;&#1089;&#1087;&#1099;&#1090;&#1072;&#1085;&#1080;&#1081; (&#1089; &#1048;&#1079;&#1084;&#1077;&#1085;&#1077;&#1085;&#1080;&#1103;&#1084;&#1080; N 1, 2, 3)&#8217;&#8217;(&#1091;&#1090;&#1074;. &#1087;&#1086;&#1089;&#1090;&#1072;&#1085;&#1086;&#1074;&#1083;&#1077;&#1085;&#1080;&#1077;&#1084; &#1043;&#1086;&#1089;&#1089;&#1090;&#1072;&#1085;&#1076;&#1072;&#1088;&#1090;&#1072; &#1057;&#1057;&#1057;&#1056; &#1086;&#1090; 09.04.1975 N 393)&#1055;&#1088;&#1080;&#1084;&#1077;&#1085;&#1103;&#1077;&#1090;&#1089;&#1103; &#1089; 01.01.1977&#1057;&#1090;&#1072;&#1090;&#1091;&#1089;: &#1044;&#1077;&#1081;&#1089;&#1090;&#1074;&#1091;&#1102;&#1097;&#1072;&#1103; &#1088;&#1077;&#1076;&#1072;&#1082;&#1094;&#1080;&#1103; &#1076;&#1086;&#1082;&#1091;&#1084;&#1077;&#1085;&#1090;&#1072;" TargetMode="External"/><Relationship Id="rId29" Type="http://schemas.openxmlformats.org/officeDocument/2006/relationships/hyperlink" Target="kodeks://link/d?nd=1200103386&quot;\o&quot;&#8217;&#8217;&#1043;&#1054;&#1057;&#1058; &#1056; &#1052;&#1069;&#1050; 60247-2013 &#1046;&#1080;&#1076;&#1082;&#1086;&#1089;&#1090;&#1080; &#1080;&#1079;&#1086;&#1083;&#1103;&#1094;&#1080;&#1086;&#1085;&#1085;&#1099;&#1077;. &#1054;&#1087;&#1088;&#1077;&#1076;&#1077;&#1083;&#1077;&#1085;&#1080;&#1077; &#1086;&#1090;&#1085;&#1086;&#1089;&#1080;&#1090;&#1077;&#1083;&#1100;&#1085;&#1086;&#1081; &#1076;&#1080;&#1101;&#1083;&#1077;&#1082;&#1090;&#1088;&#1080;&#1095;&#1077;&#1089;&#1082;&#1086;&#1081; ...&#8217;&#8217;(&#1091;&#1090;&#1074;. &#1087;&#1088;&#1080;&#1082;&#1072;&#1079;&#1086;&#1084; &#1056;&#1086;&#1089;&#1089;&#1090;&#1072;&#1085;&#1076;&#1072;&#1088;&#1090;&#1072; &#1086;&#1090; 29.04.2013 N 65-&#1089;&#1090;)&#1055;&#1088;&#1080;&#1084;&#1077;&#1085;&#1103;&#1077;&#1090;&#1089;&#1103; &#1089; 01.01.2014&#1057;&#1090;&#1072;&#1090;&#1091;&#1089;: &#1044;&#1077;&#1081;&#1089;&#1090;&#1074;&#1091;&#1102;&#1097;&#1072;&#1103; &#1088;&#1077;&#1076;&#1072;&#1082;&#1094;&#1080;&#1103; &#1076;&#1086;&#1082;&#1091;&#1084;&#1077;&#1085;&#1090;&#1072; (&#1076;&#1077;&#1081;&#1089;&#1090;&#1074;. c 01.01.2014)" TargetMode="External"/><Relationship Id="rId30" Type="http://schemas.openxmlformats.org/officeDocument/2006/relationships/hyperlink" Target="kodeks://link/d?nd=1200004510&quot;\o&quot;&#8217;&#8217;&#1043;&#1054;&#1057;&#1058; 6307-75 &#1053;&#1077;&#1092;&#1090;&#1077;&#1087;&#1088;&#1086;&#1076;&#1091;&#1082;&#1090;&#1099;. &#1052;&#1077;&#1090;&#1086;&#1076; &#1086;&#1087;&#1088;&#1077;&#1076;&#1077;&#1083;&#1077;&#1085;&#1080;&#1103; &#1085;&#1072;&#1083;&#1080;&#1095;&#1080;&#1103; &#1074;&#1086;&#1076;&#1086;&#1088;&#1072;&#1089;&#1090;&#1074;&#1086;&#1088;&#1080;&#1084;&#1099;&#1093; &#1082;&#1080;&#1089;&#1083;&#1086;&#1090; &#1080; &#1097;&#1077;&#1083;&#1086;&#1095;&#1077;&#1081; (&#1089; &#1048;&#1079;&#1084;&#1077;&#1085;&#1077;&#1085;&#1080;&#1077;&#1084; ...&#8217;&#8217;(&#1091;&#1090;&#1074;. &#1087;&#1086;&#1089;&#1090;&#1072;&#1085;&#1086;&#1074;&#1083;&#1077;&#1085;&#1080;&#1077;&#1084; &#1043;&#1086;&#1089;&#1089;&#1090;&#1072;&#1085;&#1076;&#1072;&#1088;&#1090;&#1072; &#1057;&#1057;&#1057;&#1056; &#1086;&#1090; 30.07.1975 N 2001)&#1055;&#1088;&#1080;&#1084;&#1077;&#1085;&#1103;&#1077;&#1090;&#1089;&#1103; &#1089; 01.01.1977 &#1074;&#1079;&#1072;&#1084;&#1077;&#1085; &#1043;&#1054;&#1057;&#1058; ...&#1057;&#1090;&#1072;&#1090;&#1091;&#1089;: &#1044;&#1077;&#1081;&#1089;&#1090;&#1074;&#1091;&#1102;&#1097;&#1072;&#1103; &#1088;&#1077;&#1076;&#1072;&#1082;&#1094;&#1080;&#1103; &#1076;&#1086;&#1082;&#1091;&#1084;&#1077;&#1085;&#1090;&#1072;" TargetMode="External"/><Relationship Id="rId31" Type="http://schemas.openxmlformats.org/officeDocument/2006/relationships/hyperlink" Target="kodeks://link/d?nd=1200103108&quot;\o&quot;&#8217;&#8217;&#1043;&#1054;&#1057;&#1058; &#1056; &#1052;&#1069;&#1050; 60666-2013 &#1052;&#1072;&#1089;&#1083;&#1072; &#1080;&#1079;&#1086;&#1083;&#1103;&#1094;&#1080;&#1086;&#1085;&#1085;&#1099;&#1077; &#1085;&#1077;&#1092;&#1090;&#1103;&#1085;&#1099;&#1077;. &#1054;&#1073;&#1085;&#1072;&#1088;&#1091;&#1078;&#1077;&#1085;&#1080;&#1077; &#1080; &#1086;&#1087;&#1088;&#1077;&#1076;&#1077;&#1083;&#1077;&#1085;&#1080;&#1077; &#1091;&#1089;&#1090;&#1072;&#1085;&#1086;&#1074;&#1083;&#1077;&#1085;&#1085;&#1099;&#1093; &#1087;&#1088;&#1080;&#1089;&#1072;&#1076;&#1086;&#1082;&#8217;&#8217;(&#1091;&#1090;&#1074;. &#1087;&#1088;&#1080;&#1082;&#1072;&#1079;&#1086;&#1084; &#1056;&#1086;&#1089;&#1089;&#1090;&#1072;&#1085;&#1076;&#1072;&#1088;&#1090;&#1072; &#1086;&#1090; 05.03.2013 N 6-&#1089;&#1090;)&#1055;&#1088;&#1080;&#1084;&#1077;&#1085;&#1103;&#1077;&#1090;&#1089;&#1103; &#1089; 01.01.2014&#1057;&#1090;&#1072;&#1090;&#1091;&#1089;: &#1044;&#1077;&#1081;&#1089;&#1090;&#1074;&#1091;&#1102;&#1097;&#1080;&#1081; &#1076;&#1086;&#1082;&#1091;&#1084;&#1077;&#1085;&#1090; (&#1076;&#1077;&#1081;&#1089;&#1090;&#1074;. c 01.01.2014)" TargetMode="External"/><Relationship Id="rId32" Type="http://schemas.openxmlformats.org/officeDocument/2006/relationships/hyperlink" Target="kodeks://link/d?nd=1200005464&quot;\o&quot;&#8217;&#8217;&#1056;&#1044; 34.43.208-95 &#1052;&#1077;&#1090;&#1086;&#1076;&#1080;&#1082;&#1072; &#1082;&#1086;&#1083;&#1080;&#1095;&#1077;&#1089;&#1090;&#1074;&#1077;&#1085;&#1085;&#1086;&#1075;&#1086; &#1093;&#1080;&#1084;&#1080;&#1095;&#1077;&#1089;&#1082;&#1086;&#1075;&#1086; &#1072;&#1085;&#1072;&#1083;&#1080;&#1079;&#1072;. &#1054;&#1087;&#1088;&#1077;&#1076;&#1077;&#1083;&#1077;&#1085;&#1080;&#1077; &#1089;&#1086;&#1076;&#1077;&#1088;&#1078;&#1072;&#1085;&#1080;&#1103; &#1087;&#1088;&#1080;&#1089;&#1072;&#1076;&#1086;&#1082; ...&#8217;&#8217;(&#1091;&#1090;&#1074;. &#1056;&#1040;&#1054; &#8217;&#8217;&#1045;&#1069;&#1057; &#1056;&#1086;&#1089;&#1089;&#1080;&#1080;&#8217;&#8217; &#1086;&#1090; 15.05.1995)&#1055;&#1088;&#1080;&#1084;&#1077;&#1085;&#1103;&#1077;&#1090;&#1089;&#1103; &#1089; 01.01.1997&#1057;&#1090;&#1072;&#1090;&#1091;&#1089;: &#1044;&#1077;&#1081;&#1089;&#1090;&#1074;&#1091;&#1102;&#1097;&#1080;&#1081; &#1076;&#1086;&#1082;&#1091;&#1084;&#1077;&#1085;&#1090; (&#1076;&#1077;&#1081;&#1089;&#1090;&#1074;. c 01.01.1997)" TargetMode="External"/><Relationship Id="rId33" Type="http://schemas.openxmlformats.org/officeDocument/2006/relationships/header" Target="header10.xml"/><Relationship Id="rId34" Type="http://schemas.openxmlformats.org/officeDocument/2006/relationships/header" Target="header11.xml"/><Relationship Id="rId35" Type="http://schemas.openxmlformats.org/officeDocument/2006/relationships/package" Target="embeddings/oleObject1.xlsx"/><Relationship Id="rId36" Type="http://schemas.openxmlformats.org/officeDocument/2006/relationships/image" Target="media/image1.wmf"/><Relationship Id="rId37" Type="http://schemas.openxmlformats.org/officeDocument/2006/relationships/package" Target="embeddings/oleObject2.xlsx"/><Relationship Id="rId38" Type="http://schemas.openxmlformats.org/officeDocument/2006/relationships/image" Target="media/image2.wmf"/><Relationship Id="rId39" Type="http://schemas.openxmlformats.org/officeDocument/2006/relationships/header" Target="header12.xml"/><Relationship Id="rId40" Type="http://schemas.openxmlformats.org/officeDocument/2006/relationships/header" Target="header13.xml"/><Relationship Id="rId41" Type="http://schemas.openxmlformats.org/officeDocument/2006/relationships/footer" Target="footer1.xml"/><Relationship Id="rId42" Type="http://schemas.openxmlformats.org/officeDocument/2006/relationships/header" Target="header14.xml"/><Relationship Id="rId43" Type="http://schemas.openxmlformats.org/officeDocument/2006/relationships/header" Target="header15.xml"/><Relationship Id="rId44" Type="http://schemas.openxmlformats.org/officeDocument/2006/relationships/footer" Target="footer2.xml"/><Relationship Id="rId45" Type="http://schemas.openxmlformats.org/officeDocument/2006/relationships/footer" Target="footer3.xml"/><Relationship Id="rId46" Type="http://schemas.openxmlformats.org/officeDocument/2006/relationships/header" Target="header16.xml"/><Relationship Id="rId47" Type="http://schemas.openxmlformats.org/officeDocument/2006/relationships/header" Target="header17.xml"/><Relationship Id="rId48" Type="http://schemas.openxmlformats.org/officeDocument/2006/relationships/footer" Target="footer4.xml"/><Relationship Id="rId49" Type="http://schemas.openxmlformats.org/officeDocument/2006/relationships/footer" Target="footer5.xml"/><Relationship Id="rId50" Type="http://schemas.openxmlformats.org/officeDocument/2006/relationships/image" Target="media/image3.png"/><Relationship Id="rId51" Type="http://schemas.openxmlformats.org/officeDocument/2006/relationships/hyperlink" Target="consultantplus://offline/ref=B32CDE0E905E401B1BFF323EF993DB2C6865F0A971913444C3F7F56C5AF257E783F32977DF4E2DA4F5ACBC60359FF614F9C1315096B586250A26N" TargetMode="External"/><Relationship Id="rId52" Type="http://schemas.openxmlformats.org/officeDocument/2006/relationships/image" Target="media/image4.png"/><Relationship Id="rId53" Type="http://schemas.openxmlformats.org/officeDocument/2006/relationships/hyperlink" Target="consultantplus://offline/ref=B32CDE0E905E401B1BFF323EF993DB2C6F62F6A7789C3444C3F7F56C5AF257E783F32977DF4B25AAFDACBC60359FF614F9C1315096B586250A26N" TargetMode="External"/><Relationship Id="rId54" Type="http://schemas.openxmlformats.org/officeDocument/2006/relationships/hyperlink" Target="consultantplus://offline/ref=B32CDE0E905E401B1BFF323EF993DB2C6F6DF7AA75973444C3F7F56C5AF257E783F32974D8482DA7A0F6AC647CCBFC0BFEDE2F5388B50824N" TargetMode="External"/><Relationship Id="rId55" Type="http://schemas.openxmlformats.org/officeDocument/2006/relationships/header" Target="header18.xml"/><Relationship Id="rId56" Type="http://schemas.openxmlformats.org/officeDocument/2006/relationships/header" Target="header19.xml"/><Relationship Id="rId57" Type="http://schemas.openxmlformats.org/officeDocument/2006/relationships/footer" Target="footer6.xml"/><Relationship Id="rId58" Type="http://schemas.openxmlformats.org/officeDocument/2006/relationships/footer" Target="footer7.xml"/><Relationship Id="rId59" Type="http://schemas.openxmlformats.org/officeDocument/2006/relationships/package" Target="embeddings/oleObject3.xlsx"/><Relationship Id="rId60" Type="http://schemas.openxmlformats.org/officeDocument/2006/relationships/image" Target="media/image5.wmf"/><Relationship Id="rId61" Type="http://schemas.openxmlformats.org/officeDocument/2006/relationships/header" Target="header20.xml"/><Relationship Id="rId62" Type="http://schemas.openxmlformats.org/officeDocument/2006/relationships/header" Target="header21.xml"/><Relationship Id="rId63" Type="http://schemas.openxmlformats.org/officeDocument/2006/relationships/footer" Target="footer8.xml"/><Relationship Id="rId64" Type="http://schemas.openxmlformats.org/officeDocument/2006/relationships/footer" Target="footer9.xml"/><Relationship Id="rId65" Type="http://schemas.openxmlformats.org/officeDocument/2006/relationships/header" Target="header22.xml"/><Relationship Id="rId66" Type="http://schemas.openxmlformats.org/officeDocument/2006/relationships/header" Target="header23.xml"/><Relationship Id="rId67" Type="http://schemas.openxmlformats.org/officeDocument/2006/relationships/footer" Target="footer10.xml"/><Relationship Id="rId68" Type="http://schemas.openxmlformats.org/officeDocument/2006/relationships/footer" Target="footer11.xml"/><Relationship Id="rId69" Type="http://schemas.openxmlformats.org/officeDocument/2006/relationships/header" Target="header24.xml"/><Relationship Id="rId70" Type="http://schemas.openxmlformats.org/officeDocument/2006/relationships/header" Target="header25.xml"/><Relationship Id="rId71" Type="http://schemas.openxmlformats.org/officeDocument/2006/relationships/footer" Target="footer12.xml"/><Relationship Id="rId72" Type="http://schemas.openxmlformats.org/officeDocument/2006/relationships/footer" Target="footer13.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294</TotalTime>
  <Application>AlterOffice/3.4.0.9$Linux_X86_64 LibreOffice_project/b8daf9e823b1a5463a2f48435ddc2e8696e7d4fc</Application>
  <AppVersion>15.0000</AppVersion>
  <Pages>49</Pages>
  <Words>8965</Words>
  <Characters>60915</Characters>
  <CharactersWithSpaces>68765</CharactersWithSpaces>
  <Paragraphs>2077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2021-04-04T11:05:00Z</dcterms:created>
  <dc:creator>Быстров Олег Геннадьевич</dc:creator>
  <dc:description/>
  <dc:language>ru-RU</dc:language>
  <cp:lastModifiedBy>kovalevaev@corp.gidroogk.com</cp:lastModifiedBy>
  <cp:lastPrinted>2006-07-26T14:04:00Z</cp:lastPrinted>
  <dcterms:modified xsi:type="dcterms:W3CDTF">2026-11-03T10:03:28Z</dcterms:modified>
  <cp:revision>44</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1</vt:bool>
  </property>
</Properties>
</file>