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2.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oter3.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sz w:val="26"/>
          <w:szCs w:val="26"/>
        </w:rPr>
      </w:pPr>
      <w:r>
        <w:rPr>
          <w:sz w:val="26"/>
          <w:szCs w:val="26"/>
        </w:rPr>
      </w:r>
    </w:p>
    <w:tbl>
      <w:tblPr>
        <w:tblStyle w:val="afff"/>
        <w:tblW w:w="9921" w:type="dxa"/>
        <w:jc w:val="right"/>
        <w:tblInd w:w="0" w:type="dxa"/>
        <w:tblLayout w:type="fixed"/>
        <w:tblCellMar>
          <w:top w:w="0" w:type="dxa"/>
          <w:left w:w="108" w:type="dxa"/>
          <w:bottom w:w="0" w:type="dxa"/>
          <w:right w:w="108" w:type="dxa"/>
        </w:tblCellMar>
        <w:tblLook w:noVBand="1" w:val="04a0" w:noHBand="0" w:lastColumn="0" w:firstColumn="1" w:lastRow="0" w:firstRow="1"/>
      </w:tblPr>
      <w:tblGrid>
        <w:gridCol w:w="4658"/>
        <w:gridCol w:w="729"/>
        <w:gridCol w:w="4534"/>
      </w:tblGrid>
      <w:tr>
        <w:trPr/>
        <w:tc>
          <w:tcPr>
            <w:tcW w:w="4658" w:type="dxa"/>
            <w:tcBorders>
              <w:top w:val="nil"/>
              <w:left w:val="nil"/>
              <w:bottom w:val="nil"/>
              <w:right w:val="nil"/>
            </w:tcBorders>
          </w:tcPr>
          <w:p>
            <w:pPr>
              <w:pStyle w:val="Normal"/>
              <w:keepNext w:val="true"/>
              <w:keepLines/>
              <w:widowControl w:val="false"/>
              <w:suppressAutoHyphens w:val="true"/>
              <w:spacing w:before="0" w:after="0"/>
              <w:jc w:val="right"/>
              <w:rPr>
                <w:b/>
                <w:bCs/>
                <w:sz w:val="20"/>
                <w:szCs w:val="20"/>
              </w:rPr>
            </w:pPr>
            <w:r>
              <w:rPr>
                <w:rFonts w:eastAsia="Times New Roman" w:cs="Times New Roman"/>
                <w:b/>
                <w:bCs/>
                <w:kern w:val="0"/>
                <w:sz w:val="20"/>
                <w:szCs w:val="20"/>
                <w:lang w:eastAsia="ru-RU" w:bidi="ar-SA"/>
              </w:rPr>
              <w:t>«ПОДГОТОВИЛ»</w:t>
            </w:r>
          </w:p>
        </w:tc>
        <w:tc>
          <w:tcPr>
            <w:tcW w:w="729" w:type="dxa"/>
            <w:tcBorders>
              <w:top w:val="nil"/>
              <w:left w:val="nil"/>
              <w:bottom w:val="nil"/>
              <w:right w:val="nil"/>
            </w:tcBorders>
          </w:tcPr>
          <w:p>
            <w:pPr>
              <w:pStyle w:val="Normal"/>
              <w:keepNext w:val="true"/>
              <w:keepLines/>
              <w:widowControl w:val="false"/>
              <w:suppressAutoHyphens w:val="true"/>
              <w:spacing w:before="0" w:after="0"/>
              <w:jc w:val="right"/>
              <w:rPr>
                <w:b/>
                <w:bCs/>
                <w:sz w:val="20"/>
                <w:szCs w:val="20"/>
              </w:rPr>
            </w:pPr>
            <w:r>
              <w:rPr>
                <w:b/>
                <w:bCs/>
                <w:sz w:val="20"/>
                <w:szCs w:val="20"/>
              </w:rPr>
            </w:r>
          </w:p>
        </w:tc>
        <w:tc>
          <w:tcPr>
            <w:tcW w:w="4534" w:type="dxa"/>
            <w:tcBorders>
              <w:top w:val="nil"/>
              <w:left w:val="nil"/>
              <w:bottom w:val="nil"/>
              <w:right w:val="nil"/>
            </w:tcBorders>
          </w:tcPr>
          <w:p>
            <w:pPr>
              <w:pStyle w:val="Normal"/>
              <w:keepNext w:val="true"/>
              <w:keepLines/>
              <w:widowControl w:val="false"/>
              <w:suppressAutoHyphens w:val="true"/>
              <w:spacing w:before="0" w:after="0"/>
              <w:jc w:val="right"/>
              <w:rPr>
                <w:b/>
                <w:bCs/>
                <w:sz w:val="20"/>
                <w:szCs w:val="20"/>
              </w:rPr>
            </w:pPr>
            <w:r>
              <w:rPr>
                <w:rFonts w:eastAsia="Times New Roman" w:cs="Times New Roman"/>
                <w:b/>
                <w:bCs/>
                <w:kern w:val="0"/>
                <w:sz w:val="20"/>
                <w:szCs w:val="20"/>
                <w:lang w:eastAsia="ru-RU" w:bidi="ar-SA"/>
              </w:rPr>
              <w:t>«УТВЕРЖДАЮ»</w:t>
            </w:r>
          </w:p>
        </w:tc>
      </w:tr>
      <w:tr>
        <w:trPr/>
        <w:tc>
          <w:tcPr>
            <w:tcW w:w="4658"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rFonts w:eastAsia="Times New Roman" w:cs="Times New Roman"/>
                <w:kern w:val="0"/>
                <w:sz w:val="20"/>
                <w:szCs w:val="20"/>
                <w:lang w:eastAsia="ru-RU" w:bidi="ar-SA"/>
              </w:rPr>
              <w:t>Технический куратор договора</w:t>
            </w:r>
          </w:p>
        </w:tc>
        <w:tc>
          <w:tcPr>
            <w:tcW w:w="729"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sz w:val="20"/>
                <w:szCs w:val="20"/>
              </w:rPr>
            </w:r>
          </w:p>
        </w:tc>
        <w:tc>
          <w:tcPr>
            <w:tcW w:w="4534"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rFonts w:eastAsia="Times New Roman" w:cs="Times New Roman"/>
                <w:kern w:val="0"/>
                <w:sz w:val="20"/>
                <w:szCs w:val="20"/>
                <w:lang w:eastAsia="ru-RU" w:bidi="ar-SA"/>
              </w:rPr>
              <w:t>Инициатор договора</w:t>
            </w:r>
          </w:p>
        </w:tc>
      </w:tr>
      <w:tr>
        <w:trPr/>
        <w:tc>
          <w:tcPr>
            <w:tcW w:w="4658" w:type="dxa"/>
            <w:tcBorders>
              <w:top w:val="nil"/>
              <w:left w:val="nil"/>
              <w:bottom w:val="nil"/>
              <w:right w:val="nil"/>
            </w:tcBorders>
          </w:tcPr>
          <w:p>
            <w:pPr>
              <w:pStyle w:val="Normal"/>
              <w:keepNext w:val="true"/>
              <w:keepLines/>
              <w:widowControl w:val="false"/>
              <w:suppressAutoHyphens w:val="true"/>
              <w:spacing w:before="0" w:after="0"/>
              <w:jc w:val="right"/>
              <w:rPr>
                <w:sz w:val="20"/>
                <w:szCs w:val="20"/>
                <w:lang w:val="ru-RU"/>
              </w:rPr>
            </w:pPr>
            <w:r>
              <w:rPr>
                <w:rFonts w:eastAsia="Times New Roman" w:cs="Times New Roman"/>
                <w:kern w:val="0"/>
                <w:sz w:val="20"/>
                <w:szCs w:val="20"/>
                <w:lang w:val="ru-RU" w:eastAsia="ru-RU" w:bidi="ar-SA"/>
              </w:rPr>
              <w:t>Ведущий специалист отдела комплексного обслуживания</w:t>
            </w:r>
          </w:p>
        </w:tc>
        <w:tc>
          <w:tcPr>
            <w:tcW w:w="729" w:type="dxa"/>
            <w:tcBorders>
              <w:top w:val="nil"/>
              <w:left w:val="nil"/>
              <w:bottom w:val="nil"/>
              <w:right w:val="nil"/>
            </w:tcBorders>
          </w:tcPr>
          <w:p>
            <w:pPr>
              <w:pStyle w:val="Normal"/>
              <w:keepNext w:val="true"/>
              <w:keepLines/>
              <w:widowControl w:val="false"/>
              <w:suppressAutoHyphens w:val="true"/>
              <w:spacing w:before="0" w:after="0"/>
              <w:jc w:val="right"/>
              <w:rPr>
                <w:sz w:val="20"/>
                <w:szCs w:val="20"/>
                <w:lang w:val="ru-RU"/>
              </w:rPr>
            </w:pPr>
            <w:r>
              <w:rPr>
                <w:sz w:val="20"/>
                <w:szCs w:val="20"/>
                <w:lang w:val="ru-RU"/>
              </w:rPr>
            </w:r>
          </w:p>
        </w:tc>
        <w:tc>
          <w:tcPr>
            <w:tcW w:w="4534" w:type="dxa"/>
            <w:tcBorders>
              <w:top w:val="nil"/>
              <w:left w:val="nil"/>
              <w:bottom w:val="nil"/>
              <w:right w:val="nil"/>
            </w:tcBorders>
          </w:tcPr>
          <w:p>
            <w:pPr>
              <w:pStyle w:val="Normal"/>
              <w:keepNext w:val="true"/>
              <w:keepLines/>
              <w:widowControl w:val="false"/>
              <w:suppressAutoHyphens w:val="true"/>
              <w:spacing w:before="0" w:after="0"/>
              <w:jc w:val="right"/>
              <w:rPr>
                <w:sz w:val="20"/>
                <w:szCs w:val="20"/>
                <w:lang w:val="ru-RU"/>
              </w:rPr>
            </w:pPr>
            <w:r>
              <w:rPr>
                <w:rFonts w:eastAsia="Times New Roman" w:cs="Times New Roman"/>
                <w:kern w:val="0"/>
                <w:sz w:val="20"/>
                <w:szCs w:val="20"/>
                <w:lang w:eastAsia="ru-RU" w:bidi="ar-SA"/>
              </w:rPr>
              <w:t>Начальник У</w:t>
            </w:r>
            <w:r>
              <w:rPr>
                <w:rFonts w:eastAsia="Times New Roman" w:cs="Times New Roman"/>
                <w:kern w:val="0"/>
                <w:sz w:val="20"/>
                <w:szCs w:val="20"/>
                <w:lang w:val="ru-RU" w:eastAsia="ru-RU" w:bidi="ar-SA"/>
              </w:rPr>
              <w:t>правления обслуживания объектов</w:t>
            </w:r>
          </w:p>
        </w:tc>
      </w:tr>
      <w:tr>
        <w:trPr/>
        <w:tc>
          <w:tcPr>
            <w:tcW w:w="4658"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sz w:val="20"/>
                <w:szCs w:val="20"/>
              </w:rPr>
            </w:r>
          </w:p>
        </w:tc>
        <w:tc>
          <w:tcPr>
            <w:tcW w:w="729"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sz w:val="20"/>
                <w:szCs w:val="20"/>
              </w:rPr>
            </w:r>
          </w:p>
        </w:tc>
        <w:tc>
          <w:tcPr>
            <w:tcW w:w="4534"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sz w:val="20"/>
                <w:szCs w:val="20"/>
              </w:rPr>
            </w:r>
          </w:p>
        </w:tc>
      </w:tr>
      <w:tr>
        <w:trPr/>
        <w:tc>
          <w:tcPr>
            <w:tcW w:w="4658"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rFonts w:eastAsia="Times New Roman" w:cs="Times New Roman"/>
                <w:kern w:val="0"/>
                <w:sz w:val="20"/>
                <w:szCs w:val="20"/>
                <w:lang w:eastAsia="ru-RU" w:bidi="ar-SA"/>
              </w:rPr>
              <w:t xml:space="preserve">______________/ </w:t>
            </w:r>
            <w:r>
              <w:rPr>
                <w:rFonts w:eastAsia="Times New Roman" w:cs="Times New Roman"/>
                <w:kern w:val="0"/>
                <w:sz w:val="20"/>
                <w:szCs w:val="20"/>
                <w:lang w:val="ru-RU" w:eastAsia="ru-RU" w:bidi="ar-SA"/>
              </w:rPr>
              <w:t>Стрелец В.А.</w:t>
            </w:r>
          </w:p>
        </w:tc>
        <w:tc>
          <w:tcPr>
            <w:tcW w:w="729"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sz w:val="20"/>
                <w:szCs w:val="20"/>
              </w:rPr>
            </w:r>
          </w:p>
        </w:tc>
        <w:tc>
          <w:tcPr>
            <w:tcW w:w="4534" w:type="dxa"/>
            <w:tcBorders>
              <w:top w:val="nil"/>
              <w:left w:val="nil"/>
              <w:bottom w:val="nil"/>
              <w:right w:val="nil"/>
            </w:tcBorders>
          </w:tcPr>
          <w:p>
            <w:pPr>
              <w:pStyle w:val="Normal"/>
              <w:keepNext w:val="true"/>
              <w:keepLines/>
              <w:widowControl w:val="false"/>
              <w:suppressAutoHyphens w:val="true"/>
              <w:spacing w:before="0" w:after="0"/>
              <w:jc w:val="right"/>
              <w:rPr>
                <w:sz w:val="20"/>
                <w:szCs w:val="20"/>
                <w:lang w:val="ru-RU"/>
              </w:rPr>
            </w:pPr>
            <w:r>
              <w:rPr>
                <w:rFonts w:eastAsia="Times New Roman" w:cs="Times New Roman"/>
                <w:kern w:val="0"/>
                <w:sz w:val="20"/>
                <w:szCs w:val="20"/>
                <w:lang w:eastAsia="ru-RU" w:bidi="ar-SA"/>
              </w:rPr>
              <w:t xml:space="preserve">______________/ </w:t>
            </w:r>
            <w:r>
              <w:rPr>
                <w:rFonts w:eastAsia="Times New Roman" w:cs="Times New Roman"/>
                <w:kern w:val="0"/>
                <w:sz w:val="20"/>
                <w:szCs w:val="20"/>
                <w:lang w:val="ru-RU" w:eastAsia="ru-RU" w:bidi="ar-SA"/>
              </w:rPr>
              <w:t>Решетникова А.А.</w:t>
            </w:r>
          </w:p>
        </w:tc>
      </w:tr>
      <w:tr>
        <w:trPr/>
        <w:tc>
          <w:tcPr>
            <w:tcW w:w="4658"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rFonts w:eastAsia="Times New Roman" w:cs="Times New Roman"/>
                <w:kern w:val="0"/>
                <w:sz w:val="20"/>
                <w:szCs w:val="20"/>
                <w:lang w:eastAsia="ru-RU" w:bidi="ar-SA"/>
              </w:rPr>
              <w:t>«</w:t>
            </w:r>
            <w:r>
              <w:rPr>
                <w:rFonts w:eastAsia="Times New Roman" w:cs="Times New Roman"/>
                <w:kern w:val="0"/>
                <w:sz w:val="20"/>
                <w:szCs w:val="20"/>
                <w:lang w:eastAsia="ru-RU" w:bidi="ar-SA"/>
              </w:rPr>
              <w:t>06</w:t>
            </w:r>
            <w:r>
              <w:rPr>
                <w:rFonts w:eastAsia="Times New Roman" w:cs="Times New Roman"/>
                <w:kern w:val="0"/>
                <w:sz w:val="20"/>
                <w:szCs w:val="20"/>
                <w:lang w:eastAsia="ru-RU" w:bidi="ar-SA"/>
              </w:rPr>
              <w:t>» ноября 202</w:t>
            </w:r>
            <w:r>
              <w:rPr>
                <w:rFonts w:eastAsia="Times New Roman" w:cs="Times New Roman"/>
                <w:kern w:val="0"/>
                <w:sz w:val="20"/>
                <w:szCs w:val="20"/>
                <w:lang w:val="ru-RU" w:eastAsia="ru-RU" w:bidi="ar-SA"/>
              </w:rPr>
              <w:t>6</w:t>
            </w:r>
            <w:r>
              <w:rPr>
                <w:rFonts w:eastAsia="Times New Roman" w:cs="Times New Roman"/>
                <w:kern w:val="0"/>
                <w:sz w:val="20"/>
                <w:szCs w:val="20"/>
                <w:lang w:eastAsia="ru-RU" w:bidi="ar-SA"/>
              </w:rPr>
              <w:t xml:space="preserve"> года</w:t>
            </w:r>
          </w:p>
        </w:tc>
        <w:tc>
          <w:tcPr>
            <w:tcW w:w="729"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sz w:val="20"/>
                <w:szCs w:val="20"/>
              </w:rPr>
            </w:r>
          </w:p>
        </w:tc>
        <w:tc>
          <w:tcPr>
            <w:tcW w:w="4534" w:type="dxa"/>
            <w:tcBorders>
              <w:top w:val="nil"/>
              <w:left w:val="nil"/>
              <w:bottom w:val="nil"/>
              <w:right w:val="nil"/>
            </w:tcBorders>
          </w:tcPr>
          <w:p>
            <w:pPr>
              <w:pStyle w:val="Normal"/>
              <w:keepNext w:val="true"/>
              <w:keepLines/>
              <w:widowControl w:val="false"/>
              <w:suppressAutoHyphens w:val="true"/>
              <w:spacing w:before="0" w:after="0"/>
              <w:jc w:val="right"/>
              <w:rPr>
                <w:sz w:val="20"/>
                <w:szCs w:val="20"/>
              </w:rPr>
            </w:pPr>
            <w:r>
              <w:rPr>
                <w:rFonts w:eastAsia="Times New Roman" w:cs="Times New Roman"/>
                <w:kern w:val="0"/>
                <w:sz w:val="20"/>
                <w:szCs w:val="20"/>
                <w:lang w:eastAsia="ru-RU" w:bidi="ar-SA"/>
              </w:rPr>
              <w:t>«</w:t>
            </w:r>
            <w:r>
              <w:rPr>
                <w:rFonts w:eastAsia="Times New Roman" w:cs="Times New Roman"/>
                <w:kern w:val="0"/>
                <w:sz w:val="20"/>
                <w:szCs w:val="20"/>
                <w:lang w:eastAsia="ru-RU" w:bidi="ar-SA"/>
              </w:rPr>
              <w:t>06</w:t>
            </w:r>
            <w:r>
              <w:rPr>
                <w:rFonts w:eastAsia="Times New Roman" w:cs="Times New Roman"/>
                <w:kern w:val="0"/>
                <w:sz w:val="20"/>
                <w:szCs w:val="20"/>
                <w:lang w:eastAsia="ru-RU" w:bidi="ar-SA"/>
              </w:rPr>
              <w:t>» ноября 202</w:t>
            </w:r>
            <w:r>
              <w:rPr>
                <w:rFonts w:eastAsia="Times New Roman" w:cs="Times New Roman"/>
                <w:kern w:val="0"/>
                <w:sz w:val="20"/>
                <w:szCs w:val="20"/>
                <w:lang w:val="ru-RU" w:eastAsia="ru-RU" w:bidi="ar-SA"/>
              </w:rPr>
              <w:t>6</w:t>
            </w:r>
            <w:r>
              <w:rPr>
                <w:rFonts w:eastAsia="Times New Roman" w:cs="Times New Roman"/>
                <w:kern w:val="0"/>
                <w:sz w:val="20"/>
                <w:szCs w:val="20"/>
                <w:lang w:eastAsia="ru-RU" w:bidi="ar-SA"/>
              </w:rPr>
              <w:t xml:space="preserve"> года</w:t>
            </w:r>
          </w:p>
        </w:tc>
      </w:tr>
    </w:tbl>
    <w:p>
      <w:pPr>
        <w:pStyle w:val="Normal"/>
        <w:keepNext w:val="true"/>
        <w:keepLines/>
        <w:rPr>
          <w:sz w:val="26"/>
          <w:szCs w:val="26"/>
        </w:rPr>
      </w:pPr>
      <w:r>
        <w:rPr>
          <w:sz w:val="26"/>
          <w:szCs w:val="26"/>
        </w:rPr>
      </w:r>
    </w:p>
    <w:p>
      <w:pPr>
        <w:pStyle w:val="Normal"/>
        <w:keepNext w:val="true"/>
        <w:keepLines/>
        <w:rPr/>
      </w:pPr>
      <w:r>
        <w:rPr/>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ind w:firstLine="709"/>
        <w:jc w:val="center"/>
        <w:rPr>
          <w:b/>
          <w:bCs/>
          <w:sz w:val="28"/>
          <w:szCs w:val="28"/>
          <w:lang w:val="ru-RU"/>
        </w:rPr>
      </w:pPr>
      <w:r>
        <w:rPr>
          <w:b/>
          <w:bCs/>
          <w:sz w:val="28"/>
          <w:szCs w:val="28"/>
          <w:lang w:val="ru-RU"/>
        </w:rPr>
        <w:t>Технические требования</w:t>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t>ОКПД2 81.29.12.000 Оказание услуг по уборке снега и наледи с крыш объектов филиала ПАО «РусГидро» - «Новосибирская ГЭС»</w:t>
      </w:r>
    </w:p>
    <w:p>
      <w:pPr>
        <w:pStyle w:val="Normal"/>
        <w:rPr>
          <w:lang w:val="ru-RU"/>
        </w:rPr>
      </w:pPr>
      <w:r>
        <w:rPr>
          <w:lang w:val="ru-RU"/>
        </w:rPr>
      </w:r>
    </w:p>
    <w:p>
      <w:pPr>
        <w:pStyle w:val="Normal"/>
        <w:ind w:firstLine="709"/>
        <w:jc w:val="center"/>
        <w:rPr>
          <w:b/>
          <w:bCs/>
          <w:sz w:val="28"/>
          <w:szCs w:val="28"/>
          <w:lang w:val="ru-RU"/>
        </w:rPr>
      </w:pPr>
      <w:r>
        <w:rPr>
          <w:b/>
          <w:bCs/>
          <w:sz w:val="28"/>
          <w:szCs w:val="28"/>
          <w:lang w:val="ru-RU"/>
        </w:rPr>
        <w:t xml:space="preserve">ЛОТ № 0038-ТО ДУД-2027-СК РусГидро </w:t>
      </w:r>
    </w:p>
    <w:p>
      <w:pPr>
        <w:pStyle w:val="Normal"/>
        <w:ind w:firstLine="709"/>
        <w:jc w:val="center"/>
        <w:rPr>
          <w:b/>
          <w:bCs/>
          <w:sz w:val="28"/>
          <w:szCs w:val="28"/>
          <w:lang w:val="ru-RU"/>
        </w:rPr>
      </w:pPr>
      <w:r>
        <w:rPr>
          <w:b/>
          <w:bCs/>
          <w:sz w:val="28"/>
          <w:szCs w:val="28"/>
          <w:lang w:val="ru-RU"/>
        </w:rPr>
      </w:r>
    </w:p>
    <w:p>
      <w:pPr>
        <w:pStyle w:val="Normal"/>
        <w:ind w:firstLine="709"/>
        <w:jc w:val="center"/>
        <w:rPr>
          <w:b/>
          <w:bCs/>
          <w:sz w:val="28"/>
          <w:szCs w:val="28"/>
          <w:lang w:val="ru-RU"/>
        </w:rPr>
      </w:pPr>
      <w:r>
        <w:rPr>
          <w:b/>
          <w:bCs/>
          <w:sz w:val="28"/>
          <w:szCs w:val="28"/>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r>
    </w:p>
    <w:p>
      <w:pPr>
        <w:pStyle w:val="ListParagraph"/>
        <w:numPr>
          <w:ilvl w:val="0"/>
          <w:numId w:val="5"/>
        </w:numPr>
        <w:ind w:left="0" w:hanging="0"/>
        <w:jc w:val="center"/>
        <w:rPr>
          <w:sz w:val="28"/>
        </w:rPr>
      </w:pPr>
      <w:bookmarkStart w:id="0" w:name="_Toc54643694"/>
      <w:r>
        <w:rPr>
          <w:b/>
          <w:bCs/>
          <w:sz w:val="28"/>
        </w:rPr>
        <w:t>Общие сведения</w:t>
      </w:r>
      <w:bookmarkEnd w:id="0"/>
    </w:p>
    <w:p>
      <w:pPr>
        <w:pStyle w:val="ListParagraph"/>
        <w:numPr>
          <w:ilvl w:val="1"/>
          <w:numId w:val="5"/>
        </w:numPr>
        <w:ind w:left="0" w:firstLine="709"/>
        <w:rPr>
          <w:b/>
          <w:bCs/>
        </w:rPr>
      </w:pPr>
      <w:bookmarkStart w:id="1" w:name="_Toc46743505"/>
      <w:bookmarkStart w:id="2" w:name="_Toc54643695"/>
      <w:r>
        <w:rPr>
          <w:b/>
          <w:bCs/>
        </w:rPr>
        <w:t>Обозначения и сокращения</w:t>
      </w:r>
      <w:bookmarkEnd w:id="1"/>
      <w:bookmarkEnd w:id="2"/>
    </w:p>
    <w:tbl>
      <w:tblPr>
        <w:tblW w:w="978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3534"/>
        <w:gridCol w:w="6248"/>
      </w:tblGrid>
      <w:tr>
        <w:trPr>
          <w:cantSplit w:val="true"/>
        </w:trPr>
        <w:tc>
          <w:tcPr>
            <w:tcW w:w="3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center"/>
              <w:rPr>
                <w:rStyle w:val="Style17"/>
                <w:b w:val="false"/>
                <w:bCs/>
                <w:i w:val="false"/>
                <w:i w:val="false"/>
              </w:rPr>
            </w:pPr>
            <w:r>
              <w:rPr>
                <w:rFonts w:eastAsia="Calibri"/>
                <w:b/>
                <w:bCs/>
              </w:rPr>
              <w:t>Технические требования (ТТ)</w:t>
            </w:r>
          </w:p>
        </w:tc>
        <w:tc>
          <w:tcPr>
            <w:tcW w:w="62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center"/>
              <w:rPr>
                <w:rStyle w:val="Style17"/>
                <w:b w:val="false"/>
                <w:bCs/>
                <w:i w:val="false"/>
                <w:i w:val="false"/>
              </w:rPr>
            </w:pPr>
            <w:r>
              <w:rPr>
                <w:rFonts w:eastAsia="Calibri"/>
                <w:b/>
                <w:bCs/>
              </w:rPr>
              <w:t>Настоящие Технические требования</w:t>
            </w:r>
          </w:p>
        </w:tc>
      </w:tr>
      <w:tr>
        <w:trPr>
          <w:cantSplit w:val="true"/>
        </w:trPr>
        <w:tc>
          <w:tcPr>
            <w:tcW w:w="3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Style w:val="Style17"/>
                <w:b w:val="false"/>
                <w:bCs/>
                <w:i w:val="false"/>
                <w:i w:val="false"/>
              </w:rPr>
            </w:pPr>
            <w:r>
              <w:rPr>
                <w:rFonts w:eastAsia="Calibri"/>
              </w:rPr>
              <w:t>Заказчик</w:t>
            </w:r>
          </w:p>
        </w:tc>
        <w:tc>
          <w:tcPr>
            <w:tcW w:w="62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Style w:val="Style17"/>
                <w:b w:val="false"/>
                <w:bCs/>
                <w:i w:val="false"/>
                <w:i w:val="false"/>
                <w:highlight w:val="yellow"/>
              </w:rPr>
            </w:pPr>
            <w:r>
              <w:rPr>
                <w:rFonts w:eastAsia="Calibri"/>
              </w:rPr>
              <w:t>АО «СК «РусГидро»</w:t>
            </w:r>
          </w:p>
        </w:tc>
      </w:tr>
      <w:tr>
        <w:trPr>
          <w:cantSplit w:val="true"/>
        </w:trPr>
        <w:tc>
          <w:tcPr>
            <w:tcW w:w="3534"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Style w:val="Style17"/>
                <w:b w:val="false"/>
                <w:bCs/>
                <w:i w:val="false"/>
                <w:i w:val="false"/>
              </w:rPr>
            </w:pPr>
            <w:r>
              <w:rPr>
                <w:bCs/>
              </w:rPr>
              <w:t>Филиал</w:t>
            </w:r>
          </w:p>
        </w:tc>
        <w:tc>
          <w:tcPr>
            <w:tcW w:w="6248" w:type="dxa"/>
            <w:tcBorders>
              <w:left w:val="single" w:sz="4" w:space="0" w:color="000000"/>
              <w:bottom w:val="single" w:sz="4" w:space="0" w:color="000000"/>
              <w:right w:val="single" w:sz="4" w:space="0" w:color="000000"/>
            </w:tcBorders>
            <w:shd w:color="auto" w:fill="auto" w:val="clear"/>
          </w:tcPr>
          <w:p>
            <w:pPr>
              <w:pStyle w:val="Normal"/>
              <w:widowControl w:val="false"/>
              <w:jc w:val="both"/>
              <w:rPr>
                <w:lang w:val="ru-RU"/>
              </w:rPr>
            </w:pPr>
            <w:r>
              <w:rPr>
                <w:lang w:val="ru-RU"/>
              </w:rPr>
              <w:t>ПАО «РусГидро» - «Новосибирская ГЭС»</w:t>
            </w:r>
          </w:p>
        </w:tc>
      </w:tr>
      <w:tr>
        <w:trPr>
          <w:cantSplit w:val="true"/>
        </w:trPr>
        <w:tc>
          <w:tcPr>
            <w:tcW w:w="3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rPr>
                <w:rStyle w:val="Style17"/>
                <w:b w:val="false"/>
                <w:bCs/>
                <w:i w:val="false"/>
                <w:i w:val="false"/>
              </w:rPr>
            </w:pPr>
            <w:r>
              <w:rPr>
                <w:rFonts w:eastAsia="Calibri"/>
              </w:rPr>
              <w:t>Объекты (Объект воздействия)</w:t>
            </w:r>
          </w:p>
        </w:tc>
        <w:tc>
          <w:tcPr>
            <w:tcW w:w="62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Style w:val="Style17"/>
                <w:b w:val="false"/>
                <w:bCs/>
                <w:i w:val="false"/>
                <w:i w:val="false"/>
                <w:lang w:val="ru-RU"/>
              </w:rPr>
            </w:pPr>
            <w:r>
              <w:rPr>
                <w:rFonts w:eastAsia="Calibri"/>
                <w:lang w:val="ru-RU"/>
              </w:rPr>
              <w:t>Здания и сооружения, перечисленные в Таблице №1 Технических требований</w:t>
            </w:r>
          </w:p>
        </w:tc>
      </w:tr>
      <w:tr>
        <w:trPr>
          <w:cantSplit w:val="true"/>
        </w:trPr>
        <w:tc>
          <w:tcPr>
            <w:tcW w:w="35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rPr>
                <w:rFonts w:eastAsia="Calibri"/>
              </w:rPr>
            </w:pPr>
            <w:r>
              <w:rPr>
                <w:rFonts w:eastAsia="Calibri"/>
              </w:rPr>
              <w:t>Исполнитель</w:t>
            </w:r>
          </w:p>
        </w:tc>
        <w:tc>
          <w:tcPr>
            <w:tcW w:w="62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jc w:val="both"/>
              <w:rPr>
                <w:rFonts w:eastAsia="Calibri"/>
                <w:lang w:val="ru-RU"/>
              </w:rPr>
            </w:pPr>
            <w:r>
              <w:rPr>
                <w:rFonts w:eastAsia="Calibri"/>
                <w:lang w:val="ru-RU"/>
              </w:rPr>
              <w:t xml:space="preserve">Исполнителем по договору может быть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за исключением юридического /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из числа лиц, </w:t>
            </w:r>
            <w:r>
              <w:rPr>
                <w:rFonts w:eastAsia="Calibri"/>
                <w:b/>
                <w:bCs/>
                <w:lang w:val="ru-RU"/>
              </w:rPr>
              <w:t>относящихся к субъектам МСП</w:t>
            </w:r>
            <w:r>
              <w:rPr>
                <w:rFonts w:eastAsia="Calibri"/>
                <w:lang w:val="ru-RU"/>
              </w:rPr>
              <w:t>, а также физические лица, не являющиеся индивидуальными предпринимателями и имеющими специальный налоговой режим «Налог профессиональный доход».</w:t>
            </w:r>
          </w:p>
        </w:tc>
      </w:tr>
      <w:tr>
        <w:trPr>
          <w:trHeight w:val="960" w:hRule="atLeast"/>
          <w:cantSplit w:val="true"/>
        </w:trPr>
        <w:tc>
          <w:tcPr>
            <w:tcW w:w="353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rFonts w:eastAsia="Calibri"/>
              </w:rPr>
            </w:pPr>
            <w:r>
              <w:rPr>
                <w:rFonts w:eastAsia="Calibri"/>
              </w:rPr>
              <w:t>Субъект МСП</w:t>
            </w:r>
          </w:p>
        </w:tc>
        <w:tc>
          <w:tcPr>
            <w:tcW w:w="624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rFonts w:eastAsia="Calibri"/>
                <w:lang w:val="ru-RU"/>
              </w:rPr>
            </w:pPr>
            <w:r>
              <w:rPr>
                <w:rFonts w:eastAsia="Calibri"/>
                <w:lang w:val="ru-RU"/>
              </w:rPr>
              <w:t>Субъект малого и среднего предпринимательства субъект МСП) – определяется в соответствии с Федеральным законом от 24.07.2007 № 209-ФЗ «О развитии малого и среднего предпринимательства в Российской Федерации».</w:t>
            </w:r>
          </w:p>
        </w:tc>
      </w:tr>
    </w:tbl>
    <w:p>
      <w:pPr>
        <w:pStyle w:val="Normal"/>
        <w:rPr>
          <w:lang w:val="ru-RU" w:eastAsia="x-none"/>
        </w:rPr>
      </w:pPr>
      <w:r>
        <w:rPr>
          <w:lang w:val="ru-RU" w:eastAsia="x-none"/>
        </w:rPr>
      </w:r>
    </w:p>
    <w:p>
      <w:pPr>
        <w:pStyle w:val="Normal"/>
        <w:rPr>
          <w:lang w:val="x-none" w:eastAsia="x-none"/>
        </w:rPr>
      </w:pPr>
      <w:r>
        <w:rPr>
          <w:lang w:val="x-none" w:eastAsia="x-none"/>
        </w:rPr>
      </w:r>
    </w:p>
    <w:p>
      <w:pPr>
        <w:pStyle w:val="Normal"/>
        <w:keepNext w:val="true"/>
        <w:keepLines/>
        <w:jc w:val="both"/>
        <w:rPr>
          <w:lang w:val="ru-RU"/>
        </w:rPr>
      </w:pPr>
      <w:r>
        <w:rPr>
          <w:lang w:val="ru-RU"/>
        </w:rPr>
      </w:r>
    </w:p>
    <w:p>
      <w:pPr>
        <w:pStyle w:val="Normal"/>
        <w:keepNext w:val="true"/>
        <w:keepLines/>
        <w:rPr>
          <w:lang w:val="ru-RU"/>
        </w:rPr>
      </w:pPr>
      <w:r>
        <w:rPr>
          <w:lang w:val="ru-RU"/>
        </w:rPr>
      </w:r>
      <w:r>
        <w:br w:type="page"/>
      </w:r>
    </w:p>
    <w:p>
      <w:pPr>
        <w:pStyle w:val="ListParagraph"/>
        <w:numPr>
          <w:ilvl w:val="1"/>
          <w:numId w:val="5"/>
        </w:numPr>
        <w:ind w:left="0" w:firstLine="709"/>
        <w:jc w:val="both"/>
        <w:rPr/>
      </w:pPr>
      <w:bookmarkStart w:id="3" w:name="_Toc54643696"/>
      <w:bookmarkStart w:id="4" w:name="_Toc46743506"/>
      <w:r>
        <w:rPr>
          <w:b/>
          <w:bCs/>
        </w:rPr>
        <w:t>Наименование закупаемой продукции</w:t>
      </w:r>
      <w:bookmarkEnd w:id="3"/>
      <w:bookmarkEnd w:id="4"/>
      <w:r>
        <w:rPr>
          <w:b/>
          <w:bCs/>
        </w:rPr>
        <w:t>:</w:t>
      </w:r>
      <w:r>
        <w:rPr/>
        <w:t xml:space="preserve"> </w:t>
      </w:r>
    </w:p>
    <w:p>
      <w:pPr>
        <w:pStyle w:val="Normal"/>
        <w:ind w:firstLine="709"/>
        <w:jc w:val="both"/>
        <w:rPr>
          <w:lang w:val="ru-RU"/>
        </w:rPr>
      </w:pPr>
      <w:r>
        <w:rPr>
          <w:lang w:val="ru-RU"/>
        </w:rPr>
        <w:t>ОКПД2 81.29.12.000 Оказание услуг по уборке снега и наледи с крыш объектов филиала ПАО «РусГидро» - «Новосибирская ГЭС»</w:t>
      </w:r>
    </w:p>
    <w:p>
      <w:pPr>
        <w:pStyle w:val="Normal"/>
        <w:ind w:firstLine="709"/>
        <w:jc w:val="both"/>
        <w:rPr>
          <w:lang w:val="ru-RU" w:eastAsia="x-none"/>
        </w:rPr>
      </w:pPr>
      <w:r>
        <w:rPr>
          <w:lang w:val="ru-RU" w:eastAsia="x-none"/>
        </w:rPr>
      </w:r>
    </w:p>
    <w:p>
      <w:pPr>
        <w:pStyle w:val="ListParagraph"/>
        <w:numPr>
          <w:ilvl w:val="1"/>
          <w:numId w:val="5"/>
        </w:numPr>
        <w:ind w:left="0" w:firstLine="709"/>
        <w:jc w:val="both"/>
        <w:rPr>
          <w:b/>
          <w:bCs/>
        </w:rPr>
      </w:pPr>
      <w:bookmarkStart w:id="5" w:name="_Toc54643697"/>
      <w:bookmarkStart w:id="6" w:name="_Toc46743507"/>
      <w:r>
        <w:rPr>
          <w:b/>
          <w:bCs/>
        </w:rPr>
        <w:t xml:space="preserve">Цель </w:t>
      </w:r>
      <w:bookmarkEnd w:id="6"/>
      <w:r>
        <w:rPr>
          <w:b/>
          <w:bCs/>
        </w:rPr>
        <w:t>оказания услуг</w:t>
      </w:r>
      <w:bookmarkEnd w:id="5"/>
      <w:r>
        <w:rPr>
          <w:b/>
          <w:bCs/>
        </w:rPr>
        <w:t xml:space="preserve">: </w:t>
      </w:r>
    </w:p>
    <w:p>
      <w:pPr>
        <w:pStyle w:val="Normal"/>
        <w:ind w:firstLine="709"/>
        <w:jc w:val="both"/>
        <w:rPr>
          <w:lang w:val="ru-RU"/>
        </w:rPr>
      </w:pPr>
      <w:r>
        <w:rPr>
          <w:lang w:val="ru-RU"/>
        </w:rPr>
        <w:t xml:space="preserve">Исполнение доходного договора, заключенного между филиалом ПАО «РусГидро» - «Новосибирская ГЭС» и АО «СК «РусГидро», а также с целью своевременной очистки крыш от выпавшего снега и образовавшейся наледи для обеспечения безопасности, находящихся внизу людей, припаркованного транспорта и зеленых насаждений. </w:t>
      </w:r>
    </w:p>
    <w:p>
      <w:pPr>
        <w:pStyle w:val="Normal"/>
        <w:ind w:firstLine="709"/>
        <w:jc w:val="both"/>
        <w:rPr>
          <w:lang w:val="ru-RU"/>
        </w:rPr>
      </w:pPr>
      <w:r>
        <w:rPr>
          <w:lang w:val="ru-RU"/>
        </w:rPr>
        <w:t>Для своевременного и контролируемого удаления снега и наледи с целью исключения риска схода cнежного покрова. Защиты чердачных помещений и верхних этажей от протеканий в период таяния.</w:t>
      </w:r>
    </w:p>
    <w:p>
      <w:pPr>
        <w:pStyle w:val="Normal"/>
        <w:ind w:firstLine="709"/>
        <w:rPr>
          <w:lang w:val="ru-RU" w:eastAsia="x-none"/>
        </w:rPr>
      </w:pPr>
      <w:r>
        <w:rPr>
          <w:lang w:val="ru-RU" w:eastAsia="x-none"/>
        </w:rPr>
      </w:r>
    </w:p>
    <w:p>
      <w:pPr>
        <w:pStyle w:val="ListParagraph"/>
        <w:numPr>
          <w:ilvl w:val="1"/>
          <w:numId w:val="5"/>
        </w:numPr>
        <w:ind w:left="0" w:firstLine="709"/>
        <w:rPr>
          <w:b/>
          <w:bCs/>
        </w:rPr>
      </w:pPr>
      <w:bookmarkStart w:id="7" w:name="_Toc54643698"/>
      <w:bookmarkStart w:id="8" w:name="_Toc46743508"/>
      <w:r>
        <w:rPr>
          <w:b/>
          <w:bCs/>
        </w:rPr>
        <w:t>Существующее положение</w:t>
      </w:r>
      <w:bookmarkEnd w:id="8"/>
      <w:r>
        <w:rPr>
          <w:b/>
          <w:bCs/>
        </w:rPr>
        <w:t xml:space="preserve"> </w:t>
      </w:r>
      <w:bookmarkEnd w:id="7"/>
    </w:p>
    <w:p>
      <w:pPr>
        <w:pStyle w:val="ListParagraph"/>
        <w:ind w:left="0" w:firstLine="709"/>
        <w:jc w:val="both"/>
        <w:rPr>
          <w:bCs/>
          <w:iCs/>
          <w:lang w:eastAsia="x-none"/>
        </w:rPr>
      </w:pPr>
      <w:r>
        <w:rPr>
          <w:bCs/>
          <w:iCs/>
          <w:lang w:eastAsia="x-none"/>
        </w:rPr>
        <w:t>Территория объектов на филиале ПАО «РусГидро» - «Новосибирская ГЭС», находящаяся в постоянной эксплуатации, требуют периодических воздействий для сохранения и восстановления своих эксплуатационных свойств.</w:t>
      </w:r>
    </w:p>
    <w:p>
      <w:pPr>
        <w:pStyle w:val="ListParagraph"/>
        <w:ind w:left="0" w:firstLine="709"/>
        <w:jc w:val="both"/>
        <w:rPr>
          <w:bCs/>
          <w:iCs/>
          <w:lang w:eastAsia="x-none"/>
        </w:rPr>
      </w:pPr>
      <w:r>
        <w:rPr>
          <w:bCs/>
          <w:iCs/>
          <w:lang w:eastAsia="x-none"/>
        </w:rPr>
        <w:t xml:space="preserve"> </w:t>
      </w:r>
      <w:r>
        <w:rPr>
          <w:bCs/>
          <w:iCs/>
          <w:lang w:eastAsia="x-none"/>
        </w:rPr>
        <w:t>Перечень объектов воздействия представлен в Таблице 1 «Перечень объектов Заказчика»</w:t>
      </w:r>
    </w:p>
    <w:p>
      <w:pPr>
        <w:pStyle w:val="Normal"/>
        <w:ind w:firstLine="709"/>
        <w:jc w:val="both"/>
        <w:rPr>
          <w:lang w:val="ru-RU"/>
        </w:rPr>
      </w:pPr>
      <w:r>
        <w:rPr>
          <w:lang w:val="ru-RU"/>
        </w:rPr>
      </w:r>
    </w:p>
    <w:p>
      <w:pPr>
        <w:pStyle w:val="Normal"/>
        <w:rPr>
          <w:b/>
          <w:bCs/>
        </w:rPr>
      </w:pPr>
      <w:bookmarkStart w:id="9" w:name="_Toc54643699"/>
      <w:r>
        <w:rPr>
          <w:b/>
          <w:bCs/>
        </w:rPr>
        <w:t>Таблица 1. Перечень объектов заказчика</w:t>
      </w:r>
      <w:bookmarkEnd w:id="9"/>
    </w:p>
    <w:tbl>
      <w:tblPr>
        <w:tblW w:w="10215" w:type="dxa"/>
        <w:jc w:val="left"/>
        <w:tblInd w:w="113" w:type="dxa"/>
        <w:tblLayout w:type="fixed"/>
        <w:tblCellMar>
          <w:top w:w="0" w:type="dxa"/>
          <w:left w:w="108" w:type="dxa"/>
          <w:bottom w:w="0" w:type="dxa"/>
          <w:right w:w="108" w:type="dxa"/>
        </w:tblCellMar>
        <w:tblLook w:noVBand="0" w:val="0000" w:noHBand="0" w:lastColumn="0" w:firstColumn="0" w:lastRow="0" w:firstRow="0"/>
      </w:tblPr>
      <w:tblGrid>
        <w:gridCol w:w="403"/>
        <w:gridCol w:w="1996"/>
        <w:gridCol w:w="2274"/>
        <w:gridCol w:w="3386"/>
        <w:gridCol w:w="2156"/>
      </w:tblGrid>
      <w:tr>
        <w:trPr>
          <w:trHeight w:val="21" w:hRule="atLeast"/>
        </w:trPr>
        <w:tc>
          <w:tcPr>
            <w:tcW w:w="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rPr>
            </w:pPr>
            <w:r>
              <w:rPr>
                <w:b/>
                <w:bCs/>
                <w:sz w:val="20"/>
                <w:szCs w:val="20"/>
              </w:rPr>
              <w:t xml:space="preserve">№ </w:t>
            </w:r>
            <w:r>
              <w:rPr>
                <w:b/>
                <w:bCs/>
                <w:sz w:val="20"/>
                <w:szCs w:val="20"/>
              </w:rPr>
              <w:t>п/п</w:t>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rPr>
            </w:pPr>
            <w:r>
              <w:rPr>
                <w:b/>
                <w:bCs/>
                <w:sz w:val="20"/>
                <w:szCs w:val="20"/>
              </w:rPr>
              <w:t>Наименование объекта</w:t>
            </w:r>
          </w:p>
        </w:tc>
        <w:tc>
          <w:tcPr>
            <w:tcW w:w="22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lang w:val="ru-RU"/>
              </w:rPr>
            </w:pPr>
            <w:r>
              <w:rPr>
                <w:b/>
                <w:bCs/>
                <w:sz w:val="20"/>
                <w:szCs w:val="20"/>
                <w:lang w:val="ru-RU"/>
              </w:rPr>
              <w:t xml:space="preserve">Расположение объекта </w:t>
            </w:r>
            <w:r>
              <w:rPr>
                <w:b/>
                <w:bCs/>
                <w:i/>
                <w:iCs/>
                <w:sz w:val="20"/>
                <w:szCs w:val="20"/>
                <w:lang w:val="ru-RU"/>
              </w:rPr>
              <w:t>(место оказания услуг)</w:t>
            </w:r>
          </w:p>
        </w:tc>
        <w:tc>
          <w:tcPr>
            <w:tcW w:w="33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lang w:val="ru-RU"/>
              </w:rPr>
            </w:pPr>
            <w:r>
              <w:rPr>
                <w:b/>
                <w:bCs/>
                <w:sz w:val="20"/>
                <w:szCs w:val="20"/>
                <w:lang w:val="ru-RU"/>
              </w:rPr>
              <w:t>Наименование основного средства (в отношении которого оказываются услуги)</w:t>
            </w:r>
          </w:p>
        </w:tc>
        <w:tc>
          <w:tcPr>
            <w:tcW w:w="21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b/>
                <w:bCs/>
                <w:sz w:val="20"/>
                <w:szCs w:val="20"/>
              </w:rPr>
            </w:pPr>
            <w:r>
              <w:rPr>
                <w:b/>
                <w:bCs/>
                <w:sz w:val="20"/>
                <w:szCs w:val="20"/>
              </w:rPr>
              <w:t>Примечания</w:t>
            </w:r>
          </w:p>
        </w:tc>
      </w:tr>
      <w:tr>
        <w:trPr>
          <w:trHeight w:val="21" w:hRule="atLeast"/>
        </w:trPr>
        <w:tc>
          <w:tcPr>
            <w:tcW w:w="40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1</w:t>
            </w:r>
          </w:p>
        </w:tc>
        <w:tc>
          <w:tcPr>
            <w:tcW w:w="19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2</w:t>
            </w:r>
          </w:p>
        </w:tc>
        <w:tc>
          <w:tcPr>
            <w:tcW w:w="22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3</w:t>
            </w:r>
          </w:p>
        </w:tc>
        <w:tc>
          <w:tcPr>
            <w:tcW w:w="33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4</w:t>
            </w:r>
          </w:p>
        </w:tc>
        <w:tc>
          <w:tcPr>
            <w:tcW w:w="215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center"/>
              <w:rPr>
                <w:b/>
                <w:sz w:val="20"/>
                <w:szCs w:val="20"/>
              </w:rPr>
            </w:pPr>
            <w:r>
              <w:rPr>
                <w:b/>
                <w:sz w:val="20"/>
                <w:szCs w:val="20"/>
              </w:rPr>
              <w:t>5</w:t>
            </w:r>
          </w:p>
        </w:tc>
      </w:tr>
      <w:tr>
        <w:trPr>
          <w:trHeight w:val="2671" w:hRule="atLeast"/>
        </w:trPr>
        <w:tc>
          <w:tcPr>
            <w:tcW w:w="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sz w:val="20"/>
                <w:szCs w:val="20"/>
              </w:rPr>
            </w:pPr>
            <w:r>
              <w:rPr>
                <w:sz w:val="20"/>
                <w:szCs w:val="20"/>
              </w:rPr>
              <w:t>1</w:t>
            </w:r>
          </w:p>
        </w:tc>
        <w:tc>
          <w:tcPr>
            <w:tcW w:w="1996"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widowControl w:val="false"/>
              <w:spacing w:before="0" w:after="0"/>
              <w:contextualSpacing/>
              <w:jc w:val="center"/>
              <w:rPr>
                <w:iCs/>
                <w:sz w:val="20"/>
                <w:szCs w:val="20"/>
                <w:lang w:val="ru-RU"/>
              </w:rPr>
            </w:pPr>
            <w:r>
              <w:rPr>
                <w:iCs/>
                <w:sz w:val="20"/>
                <w:szCs w:val="20"/>
                <w:lang w:val="ru-RU"/>
              </w:rPr>
              <w:t>Оказание услуг по уборке снега и наледи с крыши на филиале ПАО «РусГидро» - «Новосибирская ГЭС»</w:t>
            </w:r>
          </w:p>
        </w:tc>
        <w:tc>
          <w:tcPr>
            <w:tcW w:w="2274" w:type="dxa"/>
            <w:tcBorders>
              <w:top w:val="single" w:sz="4" w:space="0" w:color="000000"/>
              <w:left w:val="single" w:sz="4" w:space="0" w:color="000000"/>
              <w:bottom w:val="single" w:sz="4" w:space="0" w:color="000000"/>
            </w:tcBorders>
            <w:shd w:color="auto" w:fill="auto" w:val="clear"/>
            <w:tcMar>
              <w:top w:w="55" w:type="dxa"/>
              <w:bottom w:w="55" w:type="dxa"/>
            </w:tcMar>
            <w:vAlign w:val="center"/>
          </w:tcPr>
          <w:p>
            <w:pPr>
              <w:pStyle w:val="Normal"/>
              <w:widowControl w:val="false"/>
              <w:spacing w:before="0" w:after="0"/>
              <w:contextualSpacing/>
              <w:jc w:val="center"/>
              <w:rPr>
                <w:iCs/>
                <w:sz w:val="20"/>
                <w:szCs w:val="20"/>
              </w:rPr>
            </w:pPr>
            <w:r>
              <w:rPr>
                <w:iCs/>
                <w:sz w:val="20"/>
                <w:szCs w:val="20"/>
                <w:lang w:val="ru-RU"/>
              </w:rPr>
              <w:t xml:space="preserve">630056, Российская Федерация, г. Новосибирск, ул. </w:t>
            </w:r>
            <w:r>
              <w:rPr>
                <w:iCs/>
                <w:sz w:val="20"/>
                <w:szCs w:val="20"/>
              </w:rPr>
              <w:t>Новоморская, д.4</w:t>
            </w:r>
          </w:p>
        </w:tc>
        <w:tc>
          <w:tcPr>
            <w:tcW w:w="3386" w:type="dxa"/>
            <w:tcBorders>
              <w:top w:val="single" w:sz="4" w:space="0" w:color="000000"/>
              <w:left w:val="single" w:sz="4" w:space="0" w:color="000000"/>
              <w:bottom w:val="single" w:sz="4" w:space="0" w:color="000000"/>
            </w:tcBorders>
            <w:tcMar>
              <w:top w:w="55" w:type="dxa"/>
              <w:bottom w:w="55" w:type="dxa"/>
            </w:tcMar>
            <w:vAlign w:val="center"/>
          </w:tcPr>
          <w:p>
            <w:pPr>
              <w:pStyle w:val="ListParagraph"/>
              <w:widowControl w:val="false"/>
              <w:numPr>
                <w:ilvl w:val="0"/>
                <w:numId w:val="6"/>
              </w:numPr>
              <w:ind w:left="0" w:hanging="0"/>
              <w:jc w:val="both"/>
              <w:rPr/>
            </w:pPr>
            <w:r>
              <w:rPr>
                <w:iCs/>
                <w:sz w:val="20"/>
                <w:szCs w:val="20"/>
              </w:rPr>
              <w:t>Здание гидростанции, подводное сооружение, литер А</w:t>
            </w:r>
          </w:p>
          <w:p>
            <w:pPr>
              <w:pStyle w:val="ListParagraph"/>
              <w:widowControl w:val="false"/>
              <w:numPr>
                <w:ilvl w:val="0"/>
                <w:numId w:val="6"/>
              </w:numPr>
              <w:ind w:left="0" w:hanging="0"/>
              <w:jc w:val="both"/>
              <w:rPr/>
            </w:pPr>
            <w:r>
              <w:rPr>
                <w:iCs/>
                <w:sz w:val="20"/>
                <w:szCs w:val="20"/>
              </w:rPr>
              <w:t>Здание управления Новосибирской ГЭС</w:t>
            </w:r>
          </w:p>
          <w:p>
            <w:pPr>
              <w:pStyle w:val="ListParagraph"/>
              <w:widowControl w:val="false"/>
              <w:numPr>
                <w:ilvl w:val="0"/>
                <w:numId w:val="6"/>
              </w:numPr>
              <w:ind w:left="0" w:hanging="0"/>
              <w:jc w:val="both"/>
              <w:rPr/>
            </w:pPr>
            <w:r>
              <w:rPr>
                <w:iCs/>
                <w:sz w:val="20"/>
                <w:szCs w:val="20"/>
              </w:rPr>
              <w:t>Здание (гараж на 15 автомашин)</w:t>
            </w:r>
          </w:p>
          <w:p>
            <w:pPr>
              <w:pStyle w:val="ListParagraph"/>
              <w:widowControl w:val="false"/>
              <w:numPr>
                <w:ilvl w:val="0"/>
                <w:numId w:val="6"/>
              </w:numPr>
              <w:ind w:left="0" w:hanging="0"/>
              <w:jc w:val="both"/>
              <w:rPr/>
            </w:pPr>
            <w:r>
              <w:rPr>
                <w:iCs/>
                <w:sz w:val="20"/>
                <w:szCs w:val="20"/>
              </w:rPr>
              <w:t>Здание административное (Здание КПП с помещениями для подразделений охраны).</w:t>
            </w:r>
          </w:p>
        </w:tc>
        <w:tc>
          <w:tcPr>
            <w:tcW w:w="2156"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widowControl w:val="false"/>
              <w:spacing w:before="0" w:after="0"/>
              <w:contextualSpacing/>
              <w:jc w:val="center"/>
              <w:rPr>
                <w:iCs/>
                <w:sz w:val="20"/>
                <w:szCs w:val="20"/>
                <w:lang w:val="ru-RU"/>
              </w:rPr>
            </w:pPr>
            <w:r>
              <w:rPr>
                <w:iCs/>
                <w:sz w:val="20"/>
                <w:szCs w:val="20"/>
                <w:lang w:val="ru-RU"/>
              </w:rPr>
              <w:t>Эксплуатирующая организация Филиал ПАО «РусГидро»-«Новосибирская ГЭС»</w:t>
            </w:r>
          </w:p>
        </w:tc>
      </w:tr>
    </w:tbl>
    <w:p>
      <w:pPr>
        <w:pStyle w:val="Normal"/>
        <w:tabs>
          <w:tab w:val="clear" w:pos="708"/>
          <w:tab w:val="left" w:pos="5812" w:leader="none"/>
        </w:tabs>
        <w:jc w:val="both"/>
        <w:rPr>
          <w:lang w:val="ru-RU"/>
        </w:rPr>
      </w:pPr>
      <w:r>
        <w:rPr>
          <w:lang w:val="ru-RU"/>
        </w:rPr>
      </w:r>
    </w:p>
    <w:p>
      <w:pPr>
        <w:pStyle w:val="ListParagraph"/>
        <w:numPr>
          <w:ilvl w:val="1"/>
          <w:numId w:val="5"/>
        </w:numPr>
        <w:ind w:left="0" w:firstLine="709"/>
        <w:jc w:val="both"/>
        <w:rPr>
          <w:b/>
          <w:bCs/>
        </w:rPr>
      </w:pPr>
      <w:r>
        <w:rPr>
          <w:b/>
          <w:bCs/>
        </w:rPr>
        <w:t xml:space="preserve">Информация в отношении исполнения договора, </w:t>
      </w:r>
      <w:bookmarkStart w:id="10" w:name="_Hlk46492347"/>
      <w:r>
        <w:rPr>
          <w:b/>
          <w:bCs/>
        </w:rPr>
        <w:t xml:space="preserve">которая должна быть учтена при подготовке заявки </w:t>
      </w:r>
      <w:bookmarkEnd w:id="10"/>
      <w:r>
        <w:rPr>
          <w:b/>
          <w:bCs/>
        </w:rPr>
        <w:t xml:space="preserve">(в том числе перечень ресурсов, услуг и документов, предоставляемых заказчиком на этапе исполнения договора) </w:t>
      </w:r>
    </w:p>
    <w:p>
      <w:pPr>
        <w:pStyle w:val="ListParagraph"/>
        <w:numPr>
          <w:ilvl w:val="2"/>
          <w:numId w:val="5"/>
        </w:numPr>
        <w:ind w:left="0" w:firstLine="709"/>
        <w:jc w:val="both"/>
        <w:rPr/>
      </w:pPr>
      <w:r>
        <w:rPr/>
        <w:t>Оказание услуг осуществляется по Заявкам Заказчика, направленной в адрес Исполнителя любым доступным способом связи, обеспечивающим подтверждение факта получения Заявки Исполнителем.</w:t>
      </w:r>
    </w:p>
    <w:p>
      <w:pPr>
        <w:pStyle w:val="ListParagraph"/>
        <w:numPr>
          <w:ilvl w:val="2"/>
          <w:numId w:val="5"/>
        </w:numPr>
        <w:ind w:left="0" w:firstLine="709"/>
        <w:jc w:val="both"/>
        <w:rPr/>
      </w:pPr>
      <w:r>
        <w:rPr/>
        <w:t>Выполнение</w:t>
      </w:r>
      <w:r>
        <w:rPr>
          <w:lang w:eastAsia="x-none"/>
        </w:rPr>
        <w:t xml:space="preserve"> работ на высоте производятся методом промышленного альпинизма. </w:t>
      </w:r>
      <w:r>
        <w:rPr>
          <w:b/>
          <w:lang w:val="ru-RU" w:eastAsia="x-none"/>
        </w:rPr>
        <w:t xml:space="preserve">Наличие удостоверений с группой безопасности работ на высоте: Для руководителя работ не ниже III группы; Для производителя работ не ниже II группы; Для членов бригады не ниже II группы. </w:t>
      </w:r>
      <w:r>
        <w:rPr>
          <w:rFonts w:eastAsia="Calibri"/>
          <w:b/>
          <w:bCs/>
          <w:lang w:val="ru-RU" w:eastAsia="x-none"/>
        </w:rPr>
        <w:t>Личная книжка учета работ на высоте в соответствии с Приложением № 4 Приказа Минтруда России от 16.11.2020 N 782н «Об утверждении Правил по охране труда при работе на высоте». Группа по электробезопасности не ниже II.</w:t>
      </w:r>
    </w:p>
    <w:p>
      <w:pPr>
        <w:pStyle w:val="Normal"/>
        <w:numPr>
          <w:ilvl w:val="2"/>
          <w:numId w:val="5"/>
        </w:numPr>
        <w:spacing w:before="0" w:after="0"/>
        <w:ind w:left="0" w:firstLine="709"/>
        <w:contextualSpacing/>
        <w:jc w:val="both"/>
        <w:rPr>
          <w:iCs/>
          <w:lang w:val="ru-RU"/>
        </w:rPr>
      </w:pPr>
      <w:r>
        <w:rPr>
          <w:iCs/>
          <w:lang w:val="ru-RU"/>
        </w:rPr>
        <w:t>Исполнитель обязан до начала проведения работ разработать и утвердить у Заказчика Проект производства работ (ППР) на высоте либо Технологическую карту (ТК) на выполнение работ очистке кровли от снега, наледи и сосулек. Документация должна быть разработана в строгом соответствии с требованиями Правил по охране труда при работе на высоте (утв. Приказом Минтруда РФ от 16.11.2020 № 782н). В составе ППР/ТК обязательно должны быть отражены:</w:t>
      </w:r>
    </w:p>
    <w:p>
      <w:pPr>
        <w:pStyle w:val="Normal"/>
        <w:numPr>
          <w:ilvl w:val="0"/>
          <w:numId w:val="8"/>
        </w:numPr>
        <w:spacing w:before="0" w:after="0"/>
        <w:ind w:left="0" w:firstLine="709"/>
        <w:contextualSpacing/>
        <w:jc w:val="both"/>
        <w:rPr/>
      </w:pPr>
      <w:r>
        <w:rPr>
          <w:iCs/>
          <w:lang w:val="ru-RU"/>
        </w:rPr>
        <w:t>Схема организации рабочих мест на высоте, включая схемы установки анкерных линий, точек крепления страховочных систем и расположения ограждения опасных зон на земле.</w:t>
      </w:r>
    </w:p>
    <w:p>
      <w:pPr>
        <w:pStyle w:val="Normal"/>
        <w:numPr>
          <w:ilvl w:val="0"/>
          <w:numId w:val="8"/>
        </w:numPr>
        <w:spacing w:before="0" w:after="0"/>
        <w:ind w:left="0" w:firstLine="709"/>
        <w:contextualSpacing/>
        <w:jc w:val="both"/>
        <w:rPr/>
      </w:pPr>
      <w:r>
        <w:rPr>
          <w:iCs/>
          <w:lang w:val="ru-RU"/>
        </w:rPr>
        <w:t>Перечень применяемых средств индивидуальной и коллективной защиты (СИЗ), их классы защиты согласно ТР ТС 019/2011, а также протоколы периодических проверок СИЗ.</w:t>
      </w:r>
    </w:p>
    <w:p>
      <w:pPr>
        <w:pStyle w:val="Normal"/>
        <w:numPr>
          <w:ilvl w:val="0"/>
          <w:numId w:val="8"/>
        </w:numPr>
        <w:spacing w:before="0" w:after="0"/>
        <w:ind w:left="0" w:firstLine="709"/>
        <w:contextualSpacing/>
        <w:jc w:val="both"/>
        <w:rPr/>
      </w:pPr>
      <w:r>
        <w:rPr>
          <w:iCs/>
          <w:lang w:val="ru-RU"/>
        </w:rPr>
        <w:t>Детальное описание технологических операций по удалению снега и наледи с указанием безопасных приемов работы (использование двуручного инструмента, исключение сбрасывания смерзшихся глыб вручную).</w:t>
      </w:r>
    </w:p>
    <w:p>
      <w:pPr>
        <w:pStyle w:val="Normal"/>
        <w:numPr>
          <w:ilvl w:val="0"/>
          <w:numId w:val="8"/>
        </w:numPr>
        <w:spacing w:before="0" w:after="0"/>
        <w:ind w:left="0" w:firstLine="709"/>
        <w:contextualSpacing/>
        <w:jc w:val="both"/>
        <w:rPr/>
      </w:pPr>
      <w:r>
        <w:rPr>
          <w:iCs/>
          <w:lang w:val="ru-RU"/>
        </w:rPr>
        <w:t xml:space="preserve"> </w:t>
      </w:r>
      <w:r>
        <w:rPr>
          <w:iCs/>
          <w:lang w:val="ru-RU"/>
        </w:rPr>
        <w:t>Схемы складирования и временного размещения сброшенного снега, места установки защитных экранов, козырьков и сигнальной ленты для исключения доступа посторонних лиц в зону падения льда.</w:t>
      </w:r>
    </w:p>
    <w:p>
      <w:pPr>
        <w:pStyle w:val="Normal"/>
        <w:numPr>
          <w:ilvl w:val="0"/>
          <w:numId w:val="8"/>
        </w:numPr>
        <w:spacing w:before="0" w:after="0"/>
        <w:ind w:left="0" w:firstLine="709"/>
        <w:contextualSpacing/>
        <w:jc w:val="both"/>
        <w:rPr/>
      </w:pPr>
      <w:r>
        <w:rPr>
          <w:iCs/>
          <w:lang w:val="ru-RU"/>
        </w:rPr>
        <w:t>Мероприятия по защите фасада здания, водосточной системы, кондиционеров, вывесок и иных инженерных коммуникаций от повреждений при сбросе снега.</w:t>
      </w:r>
    </w:p>
    <w:p>
      <w:pPr>
        <w:pStyle w:val="Normal"/>
        <w:numPr>
          <w:ilvl w:val="0"/>
          <w:numId w:val="8"/>
        </w:numPr>
        <w:spacing w:before="0" w:after="0"/>
        <w:ind w:left="0" w:firstLine="709"/>
        <w:contextualSpacing/>
        <w:jc w:val="both"/>
        <w:rPr/>
      </w:pPr>
      <w:r>
        <w:rPr>
          <w:iCs/>
          <w:lang w:val="ru-RU"/>
        </w:rPr>
        <w:t>План мероприятий по эвакуации работника и оказанию первой помощи при падении с высоты или травмировании падающими предметами, включая схему связи и расположение аптечек.</w:t>
      </w:r>
    </w:p>
    <w:p>
      <w:pPr>
        <w:pStyle w:val="Normal"/>
        <w:numPr>
          <w:ilvl w:val="0"/>
          <w:numId w:val="8"/>
        </w:numPr>
        <w:spacing w:before="0" w:after="0"/>
        <w:ind w:left="0" w:firstLine="709"/>
        <w:contextualSpacing/>
        <w:jc w:val="both"/>
        <w:rPr/>
      </w:pPr>
      <w:r>
        <w:rPr>
          <w:iCs/>
          <w:lang w:val="ru-RU"/>
        </w:rPr>
        <w:t>Расчет нагрузок на несущие конструкции кровли (при необходимости очистки участков с высоким скоплением снега) во избежание обрушения.</w:t>
      </w:r>
    </w:p>
    <w:p>
      <w:pPr>
        <w:pStyle w:val="Normal"/>
        <w:numPr>
          <w:ilvl w:val="0"/>
          <w:numId w:val="8"/>
        </w:numPr>
        <w:spacing w:before="0" w:after="0"/>
        <w:ind w:left="0" w:firstLine="709"/>
        <w:contextualSpacing/>
        <w:jc w:val="both"/>
        <w:rPr>
          <w:iCs/>
          <w:lang w:val="ru-RU"/>
        </w:rPr>
      </w:pPr>
      <w:r>
        <w:rPr>
          <w:iCs/>
          <w:lang w:val="ru-RU"/>
        </w:rPr>
        <w:t>Лист ознакомления персонала с ППР/ТК под подпись перед началом смены. Работы без утвержденного Заказчиком ППР/ТК не допускаются.»</w:t>
      </w:r>
    </w:p>
    <w:p>
      <w:pPr>
        <w:pStyle w:val="Normal"/>
        <w:numPr>
          <w:ilvl w:val="2"/>
          <w:numId w:val="5"/>
        </w:numPr>
        <w:spacing w:before="0" w:after="0"/>
        <w:ind w:left="0" w:firstLine="709"/>
        <w:contextualSpacing/>
        <w:jc w:val="both"/>
        <w:rPr>
          <w:iCs/>
          <w:lang w:val="ru-RU"/>
        </w:rPr>
      </w:pPr>
      <w:r>
        <w:rPr>
          <w:iCs/>
          <w:lang w:val="ru-RU"/>
        </w:rPr>
        <w:t>Допуск персонала исполнителя для оказания услуг должен осуществляться в соответствии с Регламентом процесса «Допуск подрядных организаций на объекты ПАО «РусГидро», утвержденным приказом ПАО «РусГидро» от 28.04.2023 № 300, и «Временным положением о допуске персонала строительно-монтажных организаций и командированного персонала к выполнению работ на объектах ПАО «РусГидро» (утв. приказом ОАО «РусГидро» № 736 от 13.11.2008 г.) с обязательным оформлением необходимых нарядов-допусков.</w:t>
      </w:r>
    </w:p>
    <w:p>
      <w:pPr>
        <w:pStyle w:val="Normal"/>
        <w:numPr>
          <w:ilvl w:val="2"/>
          <w:numId w:val="5"/>
        </w:numPr>
        <w:spacing w:before="0" w:after="0"/>
        <w:ind w:left="0" w:firstLine="709"/>
        <w:contextualSpacing/>
        <w:jc w:val="both"/>
        <w:rPr>
          <w:iCs/>
          <w:lang w:val="ru-RU"/>
        </w:rPr>
      </w:pPr>
      <w:r>
        <w:rPr>
          <w:iCs/>
          <w:lang w:val="ru-RU"/>
        </w:rPr>
        <w:t>Услуги оказываются в таком объёме, который позволяет продолжать эксплуатацию объекта без закупки Заказчиком дополнительных объёмов каких-либо материалов, оборудования и услуг. Услуги считаются оказанными после приёмки услуг с оформлением отчётной документации со стороны Исполнителя.</w:t>
      </w:r>
    </w:p>
    <w:p>
      <w:pPr>
        <w:pStyle w:val="Normal"/>
        <w:jc w:val="both"/>
        <w:rPr>
          <w:iCs/>
          <w:lang w:val="ru-RU" w:eastAsia="x-none"/>
        </w:rPr>
      </w:pPr>
      <w:r>
        <w:rPr>
          <w:iCs/>
          <w:lang w:val="ru-RU" w:eastAsia="x-none"/>
        </w:rPr>
      </w:r>
    </w:p>
    <w:p>
      <w:pPr>
        <w:pStyle w:val="ListParagraph"/>
        <w:ind w:left="0" w:right="0" w:firstLine="709"/>
        <w:jc w:val="both"/>
        <w:rPr/>
      </w:pPr>
      <w:r>
        <w:rPr>
          <w:b/>
          <w:bCs/>
          <w:iCs/>
        </w:rPr>
        <w:t>1.6 Требования к составу и квалификации персонала</w:t>
      </w:r>
    </w:p>
    <w:p>
      <w:pPr>
        <w:pStyle w:val="Normal"/>
        <w:ind w:left="0" w:right="0" w:firstLine="709"/>
        <w:jc w:val="both"/>
        <w:rPr/>
      </w:pPr>
      <w:r>
        <w:rPr>
          <w:lang w:val="ru-RU"/>
        </w:rPr>
        <w:t>1.6.1. Исполнитель для проведения работ обязуется направить на объект для проведения работ персонал в количественном составе, необходимом для выполнения работ в объеме, указанном в настоящих Технических требованиях. До проведения работ Исполнитель назначает лиц, ответственных за выполнение работ, с правом подписи в акте-допуске и правами выдачи нарядов- допусков на выполняемые работы по предварительному согласованию с Филиалом (руководитель работ, производитель работ).</w:t>
      </w:r>
    </w:p>
    <w:p>
      <w:pPr>
        <w:pStyle w:val="ListParagraph"/>
        <w:ind w:left="0" w:right="0" w:firstLine="709"/>
        <w:jc w:val="both"/>
        <w:rPr/>
      </w:pPr>
      <w:r>
        <w:rPr/>
        <w:t>1.6.2. Исполнитель допускается на объект в соответствии с нормативно-правовыми актами по охране труда, Методикой допуска персонала подрядных организаций к выполнению работ на объектах Общества, утвержденной приказом ПАО «РусГидро» от 28.04.2023 № 300 «Об утверждении Регламента процесса «Допуск персонала подрядных организаций на объекты ПАО «РусГидро», и Инструкцией о пропускном и внутриобъектовом режимах филиала ПАО «РусГидро».</w:t>
      </w:r>
    </w:p>
    <w:p>
      <w:pPr>
        <w:pStyle w:val="ListParagraph"/>
        <w:ind w:left="0" w:right="0" w:firstLine="709"/>
        <w:jc w:val="both"/>
        <w:rPr/>
      </w:pPr>
      <w:r>
        <w:rPr/>
        <w:t>1.6.3. Работы /услуги на объектах выполняются в соответствии со следующими требованиями:</w:t>
      </w:r>
    </w:p>
    <w:p>
      <w:pPr>
        <w:pStyle w:val="ListParagraph"/>
        <w:ind w:left="0" w:right="0" w:firstLine="709"/>
        <w:jc w:val="both"/>
        <w:rPr/>
      </w:pPr>
      <w:r>
        <w:rPr/>
        <w:t xml:space="preserve"> </w:t>
      </w:r>
      <w:r>
        <w:rPr/>
        <w:t>- Приказом Минтруда России от 16.11.2020 N 782н. «Об утверждении Правил по охране труда при работе на высоте».</w:t>
      </w:r>
    </w:p>
    <w:p>
      <w:pPr>
        <w:pStyle w:val="ListParagraph"/>
        <w:ind w:left="0" w:right="0" w:firstLine="709"/>
        <w:jc w:val="both"/>
        <w:rPr/>
      </w:pPr>
      <w:r>
        <w:rPr/>
        <w:t xml:space="preserve">- СТО РусГидро 02.01.80-2012 «Гидротехнические сооружения ГЭС и ГАЭС. Правила эксплуатации. Нормы и требования»,  </w:t>
      </w:r>
    </w:p>
    <w:p>
      <w:pPr>
        <w:pStyle w:val="ListParagraph"/>
        <w:ind w:left="0" w:right="0" w:firstLine="709"/>
        <w:jc w:val="both"/>
        <w:rPr/>
      </w:pPr>
      <w:r>
        <w:rPr/>
        <w:t xml:space="preserve"> </w:t>
      </w:r>
      <w:r>
        <w:rPr/>
        <w:t xml:space="preserve">- СТО РусГидро 05.02.126-2020 «Правила организации безопасного обслуживания, гидротехнических сооружений, гидросилового и гидромеханического оборудования гидроэлектростанций», </w:t>
      </w:r>
    </w:p>
    <w:p>
      <w:pPr>
        <w:pStyle w:val="ListParagraph"/>
        <w:ind w:left="0" w:right="0" w:firstLine="709"/>
        <w:jc w:val="both"/>
        <w:rPr/>
      </w:pPr>
      <w:r>
        <w:rPr/>
        <w:t>- СТО РусГидро 02.01.62 – 2012 ГИДРОЭЛЕКТРОСТАНЦИИ.РЕМОНТ И ТЕХНИЧЕСКОЕ ОБСЛУЖИВАНИЕ ОБОРУДОВАНИЯ, ЗДАНИЙ И СООРУЖЕНИЙ.ОРГАНИЗАЦИЯ ПРОИЗВОДСТВЕННЫХ ПРОЦЕССОВ. НОРМЫ И ТРЕБОВАНИЯ,</w:t>
      </w:r>
    </w:p>
    <w:p>
      <w:pPr>
        <w:pStyle w:val="ListParagraph"/>
        <w:ind w:left="0" w:right="0" w:firstLine="709"/>
        <w:jc w:val="both"/>
        <w:rPr/>
      </w:pPr>
      <w:r>
        <w:rPr/>
        <w:t xml:space="preserve">- Приказа от 15 декабря 2020 г. N 903н «Об утверждении правил по охране труда при эксплуатации электроустановок», </w:t>
      </w:r>
    </w:p>
    <w:p>
      <w:pPr>
        <w:pStyle w:val="ListParagraph"/>
        <w:ind w:left="0" w:right="0" w:firstLine="709"/>
        <w:jc w:val="both"/>
        <w:rPr/>
      </w:pPr>
      <w:r>
        <w:rPr/>
        <w:t>- Национального стандарта РФ ГОСТ Р 55260.1.7-2013,</w:t>
      </w:r>
    </w:p>
    <w:p>
      <w:pPr>
        <w:pStyle w:val="ListParagraph"/>
        <w:ind w:left="0" w:right="0" w:firstLine="709"/>
        <w:jc w:val="both"/>
        <w:rPr/>
      </w:pPr>
      <w:r>
        <w:rPr/>
        <w:t xml:space="preserve">- Приказа Минтруда России от 27.11.2020 N 835н "Об утверждении правил по охране труда при работе с инструментом и приспособлениями" (Зарегистрировано в Минюсте России 11.12.2020 N 61411), </w:t>
      </w:r>
    </w:p>
    <w:p>
      <w:pPr>
        <w:pStyle w:val="ListParagraph"/>
        <w:ind w:left="0" w:right="0" w:firstLine="709"/>
        <w:jc w:val="both"/>
        <w:rPr/>
      </w:pPr>
      <w:r>
        <w:rPr/>
        <w:t>- Федерального закона от 22.07.2008 № 123-ФЗ «Технический регламент о требованиях пожарной безопасности»</w:t>
      </w:r>
    </w:p>
    <w:p>
      <w:pPr>
        <w:pStyle w:val="ListParagraph"/>
        <w:ind w:left="0" w:right="0" w:firstLine="709"/>
        <w:jc w:val="both"/>
        <w:rPr/>
      </w:pPr>
      <w:r>
        <w:rPr/>
        <w:t xml:space="preserve"> </w:t>
      </w:r>
      <w:r>
        <w:rPr/>
        <w:t>- Федерального закона от 24.06.1998 № 89-ФЗ «Об отходах производства и потребления»,</w:t>
      </w:r>
    </w:p>
    <w:p>
      <w:pPr>
        <w:pStyle w:val="ListParagraph"/>
        <w:ind w:left="0" w:right="0" w:firstLine="709"/>
        <w:jc w:val="both"/>
        <w:rPr/>
      </w:pPr>
      <w:r>
        <w:rPr/>
        <w:t xml:space="preserve">- Федерального закона от 10.01.2002 № 7-ФЗ «Об охране окружающей среды», Федерального закона от 30.03.1999 №52-ФЗ «О санитарно-эпидемиологическом благополучии населения», </w:t>
      </w:r>
    </w:p>
    <w:p>
      <w:pPr>
        <w:pStyle w:val="ListParagraph"/>
        <w:ind w:left="0" w:right="0" w:firstLine="709"/>
        <w:jc w:val="both"/>
        <w:rPr/>
      </w:pPr>
      <w:r>
        <w:rPr/>
        <w:t>- Приказа Минтруда России от 29 октября 2021 года № 772н «Об утверждении основных требований к порядку разработки и содержанию правил и инструкций по охране труда»</w:t>
      </w:r>
    </w:p>
    <w:p>
      <w:pPr>
        <w:pStyle w:val="ListParagraph"/>
        <w:ind w:left="0" w:right="0" w:firstLine="709"/>
        <w:jc w:val="both"/>
        <w:rPr/>
      </w:pPr>
      <w:r>
        <w:rPr/>
        <w:t xml:space="preserve">- Приказом Минтруда России </w:t>
      </w:r>
      <w:r>
        <w:rPr>
          <w:lang w:val="en-US"/>
        </w:rPr>
        <w:t>N</w:t>
      </w:r>
      <w:r>
        <w:rPr/>
        <w:t xml:space="preserve"> 988н, Минздрава </w:t>
      </w:r>
      <w:r>
        <w:rPr>
          <w:lang w:val="en-US"/>
        </w:rPr>
        <w:t>N</w:t>
      </w:r>
      <w:r>
        <w:rPr/>
        <w:t xml:space="preserve">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поступлении на работу и периодические медицинские осмотры».</w:t>
      </w:r>
    </w:p>
    <w:p>
      <w:pPr>
        <w:pStyle w:val="ListParagraph"/>
        <w:ind w:left="0" w:right="0" w:firstLine="709"/>
        <w:jc w:val="both"/>
        <w:rPr/>
      </w:pPr>
      <w:r>
        <w:rPr/>
        <w:t xml:space="preserve">1.6.4. Исполнитель до начала работ согласовывает с Филиалом, необходимые для выполнения работ, организационно-технологические документы. </w:t>
      </w:r>
    </w:p>
    <w:p>
      <w:pPr>
        <w:pStyle w:val="ListParagraph"/>
        <w:ind w:left="0" w:right="0" w:firstLine="709"/>
        <w:jc w:val="both"/>
        <w:rPr/>
      </w:pPr>
      <w:r>
        <w:rPr/>
        <w:t>1.6.5. Документы, подтверждающие квалификацию персонала, прохождение обучения, необходимого для выполнения работ, Исполнитель предоставляет после заключения договора до начала предоставления/выполнения услуг на объекте представителю Заказчика в Филиале по запросу.</w:t>
      </w:r>
    </w:p>
    <w:p>
      <w:pPr>
        <w:pStyle w:val="ListParagraph"/>
        <w:ind w:left="0" w:right="0" w:firstLine="709"/>
        <w:jc w:val="both"/>
        <w:rPr/>
      </w:pPr>
      <w:r>
        <w:rPr>
          <w:lang w:eastAsia="x-none"/>
        </w:rPr>
        <w:t>1.6.6. Исполнитель привлекает к выполнению работ/ оказания услуг персонал, владеющим русским языком для ознакомления с инструктажами и иной информацией для допуска к работе на объектах филиала (СП относятся к опасным производственным объектам).</w:t>
      </w:r>
    </w:p>
    <w:p>
      <w:pPr>
        <w:pStyle w:val="ListParagraph"/>
        <w:ind w:left="0" w:right="0" w:firstLine="709"/>
        <w:jc w:val="both"/>
        <w:rPr/>
      </w:pPr>
      <w:r>
        <w:rPr>
          <w:lang w:eastAsia="x-none"/>
        </w:rPr>
        <w:t>1.6.7. Не допускаются к работе (отстраняются от работы) персонал в состоянии алкогольного, наркотического или токсического опьянения, а также не допускается перенос и нахождение на территории размещения объектов веществ, вызывающих алкогольное, наркотическое или токсическое опьянение</w:t>
      </w:r>
    </w:p>
    <w:p>
      <w:pPr>
        <w:pStyle w:val="ListParagraph"/>
        <w:ind w:left="0" w:hanging="0"/>
        <w:jc w:val="both"/>
        <w:rPr>
          <w:lang w:eastAsia="x-none"/>
        </w:rPr>
      </w:pPr>
      <w:r>
        <w:rPr>
          <w:lang w:eastAsia="x-none"/>
        </w:rPr>
      </w:r>
    </w:p>
    <w:p>
      <w:pPr>
        <w:pStyle w:val="ListParagraph"/>
        <w:ind w:left="737" w:hanging="0"/>
        <w:jc w:val="both"/>
        <w:rPr>
          <w:b/>
          <w:bCs/>
        </w:rPr>
      </w:pPr>
      <w:r>
        <w:rPr>
          <w:b/>
          <w:bCs/>
        </w:rPr>
        <w:t>1.7</w:t>
      </w:r>
      <w:bookmarkStart w:id="11" w:name="_Toc46743510"/>
      <w:bookmarkStart w:id="12" w:name="_Toc50125126"/>
      <w:bookmarkStart w:id="13" w:name="_Toc54643701"/>
      <w:r>
        <w:rPr>
          <w:b/>
          <w:bCs/>
        </w:rPr>
        <w:t xml:space="preserve"> Требования </w:t>
      </w:r>
      <w:bookmarkEnd w:id="13"/>
      <w:r>
        <w:rPr>
          <w:b/>
          <w:bCs/>
        </w:rPr>
        <w:t>к оказанию услуг</w:t>
      </w:r>
    </w:p>
    <w:p>
      <w:pPr>
        <w:pStyle w:val="ListParagraph"/>
        <w:ind w:left="0" w:firstLine="709"/>
        <w:jc w:val="both"/>
        <w:rPr/>
      </w:pPr>
      <w:r>
        <w:rPr>
          <w:lang w:eastAsia="x-none"/>
        </w:rPr>
        <w:t>1.7.1. Уборка снега и льда выполняется пластиковыми или деревянными лопатами без применения металлических инструментов (ломы, ледорубы и т.п.). В случае обнаружения у работников Исполнителя при оказании услуг металлических инструментов Заказчик имеет право остановить оказание услуг до их замены.</w:t>
      </w:r>
    </w:p>
    <w:p>
      <w:pPr>
        <w:pStyle w:val="ListParagraph"/>
        <w:ind w:left="0" w:firstLine="709"/>
        <w:jc w:val="both"/>
        <w:rPr/>
      </w:pPr>
      <w:r>
        <w:rPr>
          <w:lang w:eastAsia="x-none"/>
        </w:rPr>
        <w:t xml:space="preserve">1.7.2. Услуги по уборке снега и льда оказывать в мягкой не скользкой обуви.  </w:t>
      </w:r>
    </w:p>
    <w:p>
      <w:pPr>
        <w:pStyle w:val="ListParagraph"/>
        <w:ind w:left="0" w:firstLine="709"/>
        <w:jc w:val="both"/>
        <w:rPr/>
      </w:pPr>
      <w:r>
        <w:rPr>
          <w:lang w:eastAsia="x-none"/>
        </w:rPr>
        <w:t>1.7 3.  Перед началом оказания услуг по сбросу снега и льда с крыш зданий необходимо на тротуаре вокруг Объектов Заказчика выставлять мобильные ограждения/ сигнальные ленты и т.п.</w:t>
      </w:r>
    </w:p>
    <w:p>
      <w:pPr>
        <w:pStyle w:val="ListParagraph"/>
        <w:ind w:left="0" w:firstLine="709"/>
        <w:jc w:val="both"/>
        <w:rPr/>
      </w:pPr>
      <w:r>
        <w:rPr>
          <w:lang w:eastAsia="x-none"/>
        </w:rPr>
        <w:t>1.7.4.  При сбрасывании снега и льда с крыш, проезжая часть должна быть освобождена от припаркованного к нему автотранспорта. Функции по освобождению дворов от автотранспорта, включая внешнюю территорию, выполняет Заказчик по заявке Исполнителя (по согласованному времени работ).</w:t>
      </w:r>
    </w:p>
    <w:p>
      <w:pPr>
        <w:pStyle w:val="Normal"/>
        <w:ind w:firstLine="709"/>
        <w:jc w:val="both"/>
        <w:rPr>
          <w:lang w:val="ru-RU"/>
        </w:rPr>
      </w:pPr>
      <w:r>
        <w:rPr>
          <w:lang w:val="ru-RU" w:eastAsia="x-none"/>
        </w:rPr>
        <w:t>1.7.5. Услуги оказываются по предварительным заявкам Заказчика в течении трех суток с момента подачи Заявки Заказчиком. Заказчик предварительно отправляет Заявку на электронную почту Исполнителя, указанную в реквизитной части договора.</w:t>
      </w:r>
    </w:p>
    <w:p>
      <w:pPr>
        <w:pStyle w:val="Normal"/>
        <w:ind w:firstLine="709"/>
        <w:jc w:val="both"/>
        <w:rPr>
          <w:lang w:val="ru-RU"/>
        </w:rPr>
      </w:pPr>
      <w:r>
        <w:rPr>
          <w:lang w:val="ru-RU" w:eastAsia="x-none"/>
        </w:rPr>
        <w:t>1.7.6. После получения подписанной заявки от Заказчика, Исполнитель должен в срок, указанный в заявке, приступить к оказанию услуг по указанному в заявке адресу.</w:t>
      </w:r>
    </w:p>
    <w:p>
      <w:pPr>
        <w:pStyle w:val="Normal"/>
        <w:ind w:firstLine="709"/>
        <w:jc w:val="both"/>
        <w:rPr>
          <w:lang w:val="ru-RU"/>
        </w:rPr>
      </w:pPr>
      <w:r>
        <w:rPr>
          <w:lang w:val="ru-RU" w:eastAsia="x-none"/>
        </w:rPr>
        <w:t xml:space="preserve">1.7.7. Оказание услуг осуществляется в рабочие дни (кроме выходных и праздничных дней), в рабочее время с 08-00 ч. до 17-00 ч. местного времени. </w:t>
      </w:r>
    </w:p>
    <w:p>
      <w:pPr>
        <w:pStyle w:val="Normal"/>
        <w:ind w:firstLine="709"/>
        <w:jc w:val="both"/>
        <w:rPr>
          <w:lang w:val="ru-RU"/>
        </w:rPr>
      </w:pPr>
      <w:r>
        <w:rPr>
          <w:lang w:val="ru-RU" w:eastAsia="x-none"/>
        </w:rPr>
        <w:t xml:space="preserve">1.7.8. По письменной заявке Заказчик вправе организовать оказание услуг в нерабочее время (в том числе в праздничные и выходные дни) без взимания дополнительной платы. </w:t>
      </w:r>
    </w:p>
    <w:p>
      <w:pPr>
        <w:pStyle w:val="ListParagraph"/>
        <w:ind w:left="0" w:firstLine="709"/>
        <w:jc w:val="both"/>
        <w:rPr/>
      </w:pPr>
      <w:r>
        <w:rPr>
          <w:lang w:eastAsia="x-none"/>
        </w:rPr>
        <w:t xml:space="preserve">1.7.9. По окончании оказания услуг по Договору Исполнитель по акту сдает Заказчику кровлю в исправном состоянии. </w:t>
      </w:r>
    </w:p>
    <w:p>
      <w:pPr>
        <w:pStyle w:val="ListParagraph"/>
        <w:ind w:left="0" w:firstLine="709"/>
        <w:jc w:val="both"/>
        <w:rPr/>
      </w:pPr>
      <w:r>
        <w:rPr>
          <w:lang w:eastAsia="x-none"/>
        </w:rPr>
        <w:t>1.7.10. Персонал исполнителя обязан оказывать услуги в рабочей (фирменной) одежде, (специальной одежде), специальной обуви и с помощью других средств индивидуальной защиты, согласно нормам (Приказ Минтруда и соцзащиты РФ от 09.12.2014 № 997н).</w:t>
      </w:r>
    </w:p>
    <w:p>
      <w:pPr>
        <w:pStyle w:val="ListParagraph"/>
        <w:ind w:left="0" w:firstLine="709"/>
        <w:jc w:val="both"/>
        <w:rPr/>
      </w:pPr>
      <w:r>
        <w:rPr>
          <w:lang w:eastAsia="x-none"/>
        </w:rPr>
        <w:t>1.7.11. Исполнитель обеспечивает соблюдение персоналом Исполнителя всех требований промышленной безопасности, пожарной безопасности, охраны труда и внутри-объектового режима.</w:t>
      </w:r>
    </w:p>
    <w:p>
      <w:pPr>
        <w:pStyle w:val="ListParagraph"/>
        <w:ind w:left="0" w:firstLine="709"/>
        <w:jc w:val="both"/>
        <w:rPr/>
      </w:pPr>
      <w:r>
        <w:rPr>
          <w:lang w:eastAsia="x-none"/>
        </w:rPr>
        <w:t>1.7.12. Исполнитель обеспечивает оказание услуг в соответствии с требованиями правил по технике безопасности, охране труда, пожарной безопасности, СанПин.</w:t>
      </w:r>
    </w:p>
    <w:p>
      <w:pPr>
        <w:pStyle w:val="ListParagraph"/>
        <w:ind w:left="0" w:firstLine="709"/>
        <w:jc w:val="both"/>
        <w:rPr/>
      </w:pPr>
      <w:r>
        <w:rPr>
          <w:lang w:eastAsia="x-none"/>
        </w:rPr>
        <w:t>1.7.13. В случае обильного снегопада Исполнитель должен быть готов организовать услуги по уборке снега и льда при необходимости одновременно по всем зданиям, указанным в Таблице №1 настоящих Технических требований, согласно Заявки представителя Заказчика на Объектах в течении трех суток с момента подачи Заявки.</w:t>
      </w:r>
    </w:p>
    <w:p>
      <w:pPr>
        <w:pStyle w:val="Normal"/>
        <w:ind w:firstLine="709"/>
        <w:jc w:val="both"/>
        <w:rPr>
          <w:lang w:val="ru-RU"/>
        </w:rPr>
      </w:pPr>
      <w:r>
        <w:rPr>
          <w:lang w:val="ru-RU" w:eastAsia="x-none"/>
        </w:rPr>
        <w:t>1.7.15. Услуги должны осуществляться в соответствии с потребностями Заказчика, в зависимости от природно-климатических условий.</w:t>
      </w:r>
    </w:p>
    <w:p>
      <w:pPr>
        <w:pStyle w:val="Normal"/>
        <w:ind w:firstLine="709"/>
        <w:jc w:val="both"/>
        <w:rPr>
          <w:lang w:val="ru-RU"/>
        </w:rPr>
      </w:pPr>
      <w:r>
        <w:rPr>
          <w:lang w:val="ru-RU"/>
        </w:rPr>
      </w:r>
    </w:p>
    <w:p>
      <w:pPr>
        <w:pStyle w:val="ListParagraph"/>
        <w:numPr>
          <w:ilvl w:val="0"/>
          <w:numId w:val="0"/>
        </w:numPr>
        <w:ind w:left="1152" w:hanging="0"/>
        <w:jc w:val="both"/>
        <w:rPr/>
      </w:pPr>
      <w:r>
        <w:rPr>
          <w:rFonts w:eastAsia="Times New Roman" w:cs="Times New Roman"/>
          <w:b/>
          <w:bCs/>
          <w:color w:val="auto"/>
          <w:kern w:val="0"/>
          <w:sz w:val="24"/>
          <w:szCs w:val="24"/>
          <w:lang w:val="ru-RU" w:eastAsia="ru-RU" w:bidi="ar-SA"/>
        </w:rPr>
        <w:t>1.8 Особые условия оказания услуг:</w:t>
      </w:r>
    </w:p>
    <w:p>
      <w:pPr>
        <w:pStyle w:val="ListParagraph"/>
        <w:ind w:left="0" w:right="0" w:firstLine="709"/>
        <w:jc w:val="both"/>
        <w:rPr>
          <w:lang w:eastAsia="x-none"/>
        </w:rPr>
      </w:pPr>
      <w:r>
        <w:rPr>
          <w:lang w:eastAsia="x-none"/>
        </w:rPr>
        <w:t>Работы выполняются высококвалифицированным персоналом с необходимыми профессиональными знаниями и опытом работы, а также допусками, аттестациями и регулярными повышением квалификации в соответствии с требованиями следующих документов:</w:t>
      </w:r>
    </w:p>
    <w:p>
      <w:pPr>
        <w:pStyle w:val="ListParagraph"/>
        <w:ind w:left="0" w:right="0" w:firstLine="709"/>
        <w:jc w:val="both"/>
        <w:rPr>
          <w:lang w:eastAsia="x-none"/>
        </w:rPr>
      </w:pPr>
      <w:r>
        <w:rPr>
          <w:lang w:eastAsia="x-none"/>
        </w:rPr>
        <w:t xml:space="preserve">- </w:t>
      </w:r>
      <w:hyperlink r:id="rId2">
        <w:r>
          <w:rPr>
            <w:lang w:eastAsia="x-none"/>
          </w:rPr>
          <w:t>Приказ</w:t>
        </w:r>
      </w:hyperlink>
      <w:r>
        <w:rPr>
          <w:lang w:eastAsia="x-none"/>
        </w:rPr>
        <w:t xml:space="preserve">ом Минтруда России от 16.11.2020 N 782н «Об утверждении Правил по охране труда при работе на высоте» </w:t>
      </w:r>
    </w:p>
    <w:p>
      <w:pPr>
        <w:pStyle w:val="ListParagraph"/>
        <w:ind w:left="0" w:right="0" w:firstLine="709"/>
        <w:jc w:val="both"/>
        <w:rPr>
          <w:lang w:eastAsia="x-none"/>
        </w:rPr>
      </w:pPr>
      <w:r>
        <w:rPr>
          <w:lang w:eastAsia="x-none"/>
        </w:rPr>
        <w:t>-Приказом Минтруда России от 15.12.2020 N 903н (ред. от 29.04.2022) «Об утверждении Правил по охране труда при эксплуатации электроустановок»</w:t>
      </w:r>
    </w:p>
    <w:p>
      <w:pPr>
        <w:pStyle w:val="ListParagraph"/>
        <w:ind w:left="0" w:right="0" w:firstLine="709"/>
        <w:jc w:val="both"/>
        <w:rPr>
          <w:b w:val="false"/>
          <w:bCs w:val="false"/>
          <w:lang w:val="ru-RU" w:eastAsia="x-none"/>
        </w:rPr>
      </w:pPr>
      <w:r>
        <w:rPr>
          <w:b w:val="false"/>
          <w:bCs w:val="false"/>
          <w:lang w:val="ru-RU" w:eastAsia="x-none"/>
        </w:rPr>
        <w:t>- Приказом Минтруда России N 988н, Минздрава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при п</w:t>
      </w:r>
      <w:r>
        <w:rPr>
          <w:b w:val="false"/>
          <w:bCs w:val="false"/>
          <w:shd w:fill="auto" w:val="clear"/>
          <w:lang w:val="ru-RU" w:eastAsia="x-none"/>
        </w:rPr>
        <w:t>оступлении на работу и периодические медицинские осмотры».</w:t>
      </w:r>
    </w:p>
    <w:p>
      <w:pPr>
        <w:pStyle w:val="ListParagraph"/>
        <w:ind w:left="0" w:right="0" w:firstLine="709"/>
        <w:jc w:val="both"/>
        <w:rPr>
          <w:b w:val="false"/>
          <w:bCs w:val="false"/>
          <w:highlight w:val="none"/>
          <w:shd w:fill="auto" w:val="clear"/>
          <w:lang w:val="ru-RU"/>
        </w:rPr>
      </w:pPr>
      <w:r>
        <w:rPr>
          <w:b w:val="false"/>
          <w:bCs w:val="false"/>
          <w:shd w:fill="auto" w:val="clear"/>
          <w:lang w:val="ru-RU" w:eastAsia="x-none"/>
        </w:rPr>
        <w:t>- Приказом от 28.01.2021 N 29н (ред. от 01.02.2022)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pPr>
        <w:pStyle w:val="ListParagraph"/>
        <w:ind w:left="0" w:hanging="0"/>
        <w:rPr>
          <w:b/>
          <w:bCs/>
        </w:rPr>
      </w:pPr>
      <w:r>
        <w:rPr>
          <w:b/>
          <w:bCs/>
        </w:rPr>
      </w:r>
    </w:p>
    <w:p>
      <w:pPr>
        <w:pStyle w:val="ListParagraph"/>
        <w:spacing w:lineRule="auto" w:line="276"/>
        <w:ind w:left="0" w:hanging="0"/>
        <w:jc w:val="center"/>
        <w:rPr>
          <w:sz w:val="28"/>
        </w:rPr>
      </w:pPr>
      <w:r>
        <w:rPr>
          <w:b/>
          <w:bCs/>
          <w:sz w:val="28"/>
        </w:rPr>
        <w:t xml:space="preserve">2. </w:t>
      </w:r>
      <w:bookmarkStart w:id="14" w:name="_Toc51339693"/>
      <w:bookmarkStart w:id="15" w:name="_Toc54643702"/>
      <w:r>
        <w:rPr>
          <w:b/>
          <w:bCs/>
          <w:sz w:val="28"/>
        </w:rPr>
        <w:t>Требования к продукции</w:t>
      </w:r>
      <w:bookmarkEnd w:id="14"/>
      <w:bookmarkEnd w:id="15"/>
    </w:p>
    <w:p>
      <w:pPr>
        <w:pStyle w:val="ListParagraph"/>
        <w:spacing w:lineRule="auto" w:line="276"/>
        <w:ind w:left="0" w:hanging="0"/>
        <w:jc w:val="both"/>
        <w:rPr>
          <w:b/>
          <w:bCs/>
        </w:rPr>
      </w:pPr>
      <w:r>
        <w:rPr>
          <w:b/>
          <w:bCs/>
        </w:rPr>
        <w:t xml:space="preserve">2.1 </w:t>
      </w:r>
      <w:bookmarkStart w:id="16" w:name="_Toc54643703"/>
      <w:r>
        <w:rPr>
          <w:b/>
          <w:bCs/>
        </w:rPr>
        <w:t>Требования к объемам и срокам оказания услуг</w:t>
      </w:r>
      <w:bookmarkEnd w:id="16"/>
    </w:p>
    <w:p>
      <w:pPr>
        <w:pStyle w:val="ListParagraph"/>
        <w:spacing w:lineRule="auto" w:line="276"/>
        <w:ind w:left="0" w:hanging="0"/>
        <w:jc w:val="both"/>
        <w:rPr>
          <w:b/>
          <w:bCs/>
        </w:rPr>
      </w:pPr>
      <w:r>
        <w:rPr>
          <w:b/>
          <w:bCs/>
        </w:rPr>
        <w:t xml:space="preserve">2.1.1 </w:t>
      </w:r>
      <w:bookmarkStart w:id="17" w:name="_Toc54643704"/>
      <w:r>
        <w:rPr>
          <w:b/>
          <w:bCs/>
        </w:rPr>
        <w:t>Требования к перечню и объему услуг</w:t>
      </w:r>
      <w:bookmarkEnd w:id="17"/>
    </w:p>
    <w:p>
      <w:pPr>
        <w:pStyle w:val="Normal"/>
        <w:spacing w:lineRule="auto" w:line="276"/>
        <w:jc w:val="both"/>
        <w:rPr>
          <w:b/>
          <w:bCs/>
          <w:lang w:val="ru-RU"/>
        </w:rPr>
      </w:pPr>
      <w:bookmarkStart w:id="18" w:name="_Toc54643705"/>
      <w:bookmarkStart w:id="19" w:name="_Toc51339695"/>
      <w:r>
        <w:rPr>
          <w:b/>
          <w:bCs/>
          <w:lang w:val="ru-RU"/>
        </w:rPr>
        <w:t xml:space="preserve">Таблица 2. Перечень </w:t>
      </w:r>
      <w:bookmarkEnd w:id="19"/>
      <w:r>
        <w:rPr>
          <w:b/>
          <w:bCs/>
          <w:lang w:val="ru-RU"/>
        </w:rPr>
        <w:t>и объем оказываемых услуг</w:t>
      </w:r>
      <w:bookmarkEnd w:id="18"/>
    </w:p>
    <w:tbl>
      <w:tblPr>
        <w:tblW w:w="10093" w:type="dxa"/>
        <w:jc w:val="left"/>
        <w:tblInd w:w="221" w:type="dxa"/>
        <w:tblLayout w:type="fixed"/>
        <w:tblCellMar>
          <w:top w:w="0" w:type="dxa"/>
          <w:left w:w="108" w:type="dxa"/>
          <w:bottom w:w="0" w:type="dxa"/>
          <w:right w:w="108" w:type="dxa"/>
        </w:tblCellMar>
        <w:tblLook w:noVBand="0" w:val="0000" w:noHBand="0" w:lastColumn="0" w:firstColumn="0" w:lastRow="0" w:firstRow="0"/>
      </w:tblPr>
      <w:tblGrid>
        <w:gridCol w:w="836"/>
        <w:gridCol w:w="5004"/>
        <w:gridCol w:w="1418"/>
        <w:gridCol w:w="2834"/>
      </w:tblGrid>
      <w:tr>
        <w:trPr/>
        <w:tc>
          <w:tcPr>
            <w:tcW w:w="83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bookmarkStart w:id="20" w:name="_Hlk151727412"/>
            <w:bookmarkEnd w:id="20"/>
            <w:r>
              <w:rPr>
                <w:b/>
                <w:bCs/>
                <w:sz w:val="20"/>
                <w:szCs w:val="20"/>
              </w:rPr>
              <w:t>№</w:t>
            </w:r>
          </w:p>
          <w:p>
            <w:pPr>
              <w:pStyle w:val="Normal"/>
              <w:keepNext w:val="true"/>
              <w:widowControl w:val="false"/>
              <w:jc w:val="center"/>
              <w:rPr>
                <w:b/>
                <w:bCs/>
                <w:sz w:val="20"/>
                <w:szCs w:val="20"/>
              </w:rPr>
            </w:pPr>
            <w:r>
              <w:rPr>
                <w:b/>
                <w:bCs/>
                <w:sz w:val="20"/>
                <w:szCs w:val="20"/>
              </w:rPr>
              <w:t>п/п</w:t>
            </w:r>
          </w:p>
        </w:tc>
        <w:tc>
          <w:tcPr>
            <w:tcW w:w="500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r>
              <w:rPr>
                <w:b/>
                <w:bCs/>
                <w:sz w:val="20"/>
                <w:szCs w:val="20"/>
              </w:rPr>
              <w:t>Наименование услуг</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rPr>
            </w:pPr>
            <w:r>
              <w:rPr>
                <w:b/>
                <w:bCs/>
                <w:sz w:val="20"/>
                <w:szCs w:val="20"/>
              </w:rPr>
              <w:t>Единица измерения</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0"/>
                <w:szCs w:val="20"/>
                <w:lang w:val="ru-RU"/>
              </w:rPr>
            </w:pPr>
            <w:r>
              <w:rPr>
                <w:b/>
                <w:bCs/>
                <w:sz w:val="20"/>
                <w:szCs w:val="20"/>
                <w:lang w:val="ru-RU"/>
              </w:rPr>
              <w:t>Количество за период действия договора*</w:t>
            </w:r>
          </w:p>
        </w:tc>
      </w:tr>
      <w:tr>
        <w:trPr/>
        <w:tc>
          <w:tcPr>
            <w:tcW w:w="8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1</w:t>
            </w:r>
          </w:p>
        </w:tc>
        <w:tc>
          <w:tcPr>
            <w:tcW w:w="50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3</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4</w:t>
            </w:r>
          </w:p>
        </w:tc>
      </w:tr>
      <w:tr>
        <w:trPr/>
        <w:tc>
          <w:tcPr>
            <w:tcW w:w="8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iCs/>
                <w:sz w:val="20"/>
                <w:szCs w:val="20"/>
              </w:rPr>
              <w:t>1</w:t>
            </w:r>
          </w:p>
        </w:tc>
        <w:tc>
          <w:tcPr>
            <w:tcW w:w="50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lang w:val="ru-RU"/>
              </w:rPr>
            </w:pPr>
            <w:r>
              <w:rPr>
                <w:iCs/>
                <w:sz w:val="20"/>
                <w:szCs w:val="20"/>
                <w:lang w:val="ru-RU"/>
              </w:rPr>
              <w:t>ОКПД2 81.29.12.000 Оказание услуг по уборке снега и наледи с крыш объектов филиала ПАО «РусГидро» - «Новосибирская ГЭС»</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0"/>
                <w:szCs w:val="20"/>
                <w:vertAlign w:val="superscript"/>
              </w:rPr>
            </w:pPr>
            <w:r>
              <w:rPr>
                <w:iCs/>
                <w:sz w:val="20"/>
                <w:szCs w:val="20"/>
              </w:rPr>
              <w:t>м</w:t>
            </w:r>
            <w:r>
              <w:rPr>
                <w:iCs/>
                <w:sz w:val="20"/>
                <w:szCs w:val="20"/>
                <w:vertAlign w:val="superscript"/>
              </w:rPr>
              <w:t>2</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0"/>
                <w:szCs w:val="20"/>
                <w:lang w:val="ru-RU"/>
              </w:rPr>
            </w:pPr>
            <w:r>
              <w:rPr>
                <w:iCs/>
                <w:sz w:val="20"/>
                <w:szCs w:val="20"/>
                <w:lang w:val="ru-RU"/>
              </w:rPr>
              <w:t>14 590,60</w:t>
            </w:r>
          </w:p>
        </w:tc>
      </w:tr>
    </w:tbl>
    <w:p>
      <w:pPr>
        <w:pStyle w:val="Normal"/>
        <w:widowControl w:val="false"/>
        <w:tabs>
          <w:tab w:val="clear" w:pos="708"/>
          <w:tab w:val="left" w:pos="426" w:leader="none"/>
        </w:tabs>
        <w:ind w:hanging="0"/>
        <w:jc w:val="both"/>
        <w:rPr>
          <w:color w:val="FF3838"/>
          <w:sz w:val="20"/>
          <w:szCs w:val="20"/>
        </w:rPr>
      </w:pPr>
      <w:r>
        <w:rPr>
          <w:b/>
          <w:i/>
          <w:color w:val="FF3838"/>
          <w:sz w:val="20"/>
          <w:szCs w:val="20"/>
          <w:shd w:fill="FFFF99" w:val="clear"/>
          <w:lang w:val="ru-RU"/>
        </w:rPr>
        <w:t>*Информация о количестве имеет информационно-справочный характер и приведена исходя из планируемого к приобретению Заказчиком объёма услуг. Указание количества не налагает на Заказчика обязательств по приобретению услуг в полном объёме, указанном в настоящих Технических требованиях.</w:t>
      </w:r>
    </w:p>
    <w:p>
      <w:pPr>
        <w:pStyle w:val="Normal"/>
        <w:widowControl w:val="false"/>
        <w:tabs>
          <w:tab w:val="clear" w:pos="708"/>
          <w:tab w:val="left" w:pos="426" w:leader="none"/>
        </w:tabs>
        <w:ind w:firstLine="709"/>
        <w:rPr>
          <w:b/>
          <w:i/>
          <w:i/>
          <w:shd w:fill="FFFF99" w:val="clear"/>
          <w:lang w:val="ru-RU"/>
        </w:rPr>
      </w:pPr>
      <w:r>
        <w:rPr>
          <w:b/>
          <w:i/>
          <w:shd w:fill="FFFF99" w:val="clear"/>
          <w:lang w:val="ru-RU"/>
        </w:rPr>
      </w:r>
    </w:p>
    <w:p>
      <w:pPr>
        <w:pStyle w:val="ListParagraph"/>
        <w:spacing w:lineRule="auto" w:line="276"/>
        <w:ind w:left="0" w:hanging="0"/>
        <w:jc w:val="both"/>
        <w:rPr>
          <w:b/>
        </w:rPr>
      </w:pPr>
      <w:r>
        <w:rPr>
          <w:b/>
        </w:rPr>
        <w:t xml:space="preserve">2.1.2 </w:t>
      </w:r>
      <w:bookmarkStart w:id="21" w:name="_Toc54643706"/>
      <w:bookmarkStart w:id="22" w:name="_Toc51339696"/>
      <w:r>
        <w:rPr>
          <w:b/>
        </w:rPr>
        <w:t xml:space="preserve">Требования </w:t>
      </w:r>
      <w:bookmarkEnd w:id="22"/>
      <w:r>
        <w:rPr>
          <w:b/>
        </w:rPr>
        <w:t>к срокам оказания услуг</w:t>
      </w:r>
      <w:bookmarkEnd w:id="21"/>
    </w:p>
    <w:p>
      <w:pPr>
        <w:pStyle w:val="Normal"/>
        <w:spacing w:lineRule="auto" w:line="276"/>
        <w:jc w:val="both"/>
        <w:rPr>
          <w:b/>
          <w:bCs/>
          <w:lang w:val="ru-RU"/>
        </w:rPr>
      </w:pPr>
      <w:bookmarkStart w:id="23" w:name="_Toc54643707"/>
      <w:bookmarkStart w:id="24" w:name="_Toc50125127"/>
      <w:bookmarkStart w:id="25" w:name="_Toc51339697"/>
      <w:bookmarkEnd w:id="12"/>
      <w:r>
        <w:rPr>
          <w:b/>
          <w:bCs/>
          <w:lang w:val="ru-RU"/>
        </w:rPr>
        <w:t xml:space="preserve">Таблица 3. </w:t>
      </w:r>
      <w:bookmarkStart w:id="26" w:name="_Hlk50465284"/>
      <w:r>
        <w:rPr>
          <w:b/>
          <w:bCs/>
          <w:lang w:val="ru-RU" w:eastAsia="x-none"/>
        </w:rPr>
        <w:t>Требования</w:t>
      </w:r>
      <w:r>
        <w:rPr>
          <w:b/>
          <w:bCs/>
          <w:lang w:val="ru-RU"/>
        </w:rPr>
        <w:t xml:space="preserve"> к срокам </w:t>
      </w:r>
      <w:bookmarkEnd w:id="24"/>
      <w:bookmarkEnd w:id="25"/>
      <w:bookmarkEnd w:id="26"/>
      <w:r>
        <w:rPr>
          <w:b/>
          <w:bCs/>
          <w:lang w:val="ru-RU"/>
        </w:rPr>
        <w:t>оказания услуг</w:t>
      </w:r>
      <w:bookmarkEnd w:id="23"/>
    </w:p>
    <w:tbl>
      <w:tblPr>
        <w:tblW w:w="10253" w:type="dxa"/>
        <w:jc w:val="left"/>
        <w:tblInd w:w="61" w:type="dxa"/>
        <w:tblLayout w:type="fixed"/>
        <w:tblCellMar>
          <w:top w:w="0" w:type="dxa"/>
          <w:left w:w="108" w:type="dxa"/>
          <w:bottom w:w="0" w:type="dxa"/>
          <w:right w:w="108" w:type="dxa"/>
        </w:tblCellMar>
        <w:tblLook w:noVBand="1" w:val="04a0" w:noHBand="0" w:lastColumn="0" w:firstColumn="1" w:lastRow="0" w:firstRow="1"/>
      </w:tblPr>
      <w:tblGrid>
        <w:gridCol w:w="630"/>
        <w:gridCol w:w="4817"/>
        <w:gridCol w:w="2475"/>
        <w:gridCol w:w="2330"/>
      </w:tblGrid>
      <w:tr>
        <w:trPr>
          <w:trHeight w:val="20" w:hRule="atLeast"/>
        </w:trPr>
        <w:tc>
          <w:tcPr>
            <w:tcW w:w="6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sz w:val="20"/>
                <w:szCs w:val="20"/>
              </w:rPr>
            </w:pPr>
            <w:r>
              <w:rPr>
                <w:b/>
                <w:bCs/>
                <w:sz w:val="20"/>
                <w:szCs w:val="20"/>
              </w:rPr>
              <w:t xml:space="preserve">№ </w:t>
            </w:r>
            <w:r>
              <w:rPr>
                <w:b/>
                <w:bCs/>
                <w:sz w:val="20"/>
                <w:szCs w:val="20"/>
              </w:rPr>
              <w:t>п/п</w:t>
            </w:r>
          </w:p>
        </w:tc>
        <w:tc>
          <w:tcPr>
            <w:tcW w:w="48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sz w:val="20"/>
                <w:szCs w:val="20"/>
              </w:rPr>
            </w:pPr>
            <w:r>
              <w:rPr>
                <w:b/>
                <w:bCs/>
                <w:sz w:val="20"/>
                <w:szCs w:val="20"/>
              </w:rPr>
              <w:t>Наименование услуг/ этапа услуг</w:t>
            </w:r>
          </w:p>
        </w:tc>
        <w:tc>
          <w:tcPr>
            <w:tcW w:w="2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lang w:val="ru-RU"/>
              </w:rPr>
            </w:pPr>
            <w:r>
              <w:rPr>
                <w:b/>
                <w:bCs/>
                <w:sz w:val="20"/>
                <w:szCs w:val="20"/>
                <w:lang w:val="ru-RU"/>
              </w:rPr>
              <w:t>Требования к началу срока оказания услуг/ этапа услуг</w:t>
            </w:r>
          </w:p>
        </w:tc>
        <w:tc>
          <w:tcPr>
            <w:tcW w:w="23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lang w:val="ru-RU"/>
              </w:rPr>
            </w:pPr>
            <w:r>
              <w:rPr>
                <w:b/>
                <w:bCs/>
                <w:sz w:val="20"/>
                <w:szCs w:val="20"/>
                <w:lang w:val="ru-RU"/>
              </w:rPr>
              <w:t>Требования к окончанию срока оказания услуг / этапа услуг</w:t>
            </w:r>
          </w:p>
        </w:tc>
      </w:tr>
      <w:tr>
        <w:trPr>
          <w:trHeight w:val="20" w:hRule="atLeast"/>
        </w:trPr>
        <w:tc>
          <w:tcPr>
            <w:tcW w:w="63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b/>
                <w:sz w:val="20"/>
                <w:szCs w:val="20"/>
              </w:rPr>
              <w:t>1</w:t>
            </w:r>
          </w:p>
        </w:tc>
        <w:tc>
          <w:tcPr>
            <w:tcW w:w="4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b/>
                <w:sz w:val="20"/>
                <w:szCs w:val="20"/>
              </w:rPr>
              <w:t>2</w:t>
            </w:r>
          </w:p>
        </w:tc>
        <w:tc>
          <w:tcPr>
            <w:tcW w:w="2475"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0" w:after="0"/>
              <w:ind w:left="0" w:right="0" w:hanging="0"/>
              <w:jc w:val="center"/>
              <w:rPr>
                <w:sz w:val="20"/>
                <w:szCs w:val="20"/>
              </w:rPr>
            </w:pPr>
            <w:r>
              <w:rPr>
                <w:b/>
                <w:sz w:val="20"/>
                <w:szCs w:val="20"/>
              </w:rPr>
              <w:t>3</w:t>
            </w:r>
          </w:p>
        </w:tc>
        <w:tc>
          <w:tcPr>
            <w:tcW w:w="2330"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0" w:after="0"/>
              <w:ind w:left="0" w:right="0" w:hanging="0"/>
              <w:jc w:val="center"/>
              <w:rPr>
                <w:sz w:val="20"/>
                <w:szCs w:val="20"/>
              </w:rPr>
            </w:pPr>
            <w:r>
              <w:rPr>
                <w:b/>
                <w:sz w:val="20"/>
                <w:szCs w:val="20"/>
              </w:rPr>
              <w:t>4</w:t>
            </w:r>
          </w:p>
        </w:tc>
      </w:tr>
      <w:tr>
        <w:trPr>
          <w:trHeight w:val="20" w:hRule="atLeast"/>
        </w:trPr>
        <w:tc>
          <w:tcPr>
            <w:tcW w:w="630"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4"/>
              </w:numPr>
              <w:ind w:left="0" w:hanging="0"/>
              <w:rPr>
                <w:sz w:val="20"/>
                <w:szCs w:val="20"/>
              </w:rPr>
            </w:pPr>
            <w:r>
              <w:rPr>
                <w:sz w:val="20"/>
                <w:szCs w:val="20"/>
              </w:rPr>
            </w:r>
          </w:p>
        </w:tc>
        <w:tc>
          <w:tcPr>
            <w:tcW w:w="4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iCs/>
                <w:sz w:val="20"/>
                <w:szCs w:val="20"/>
                <w:lang w:val="ru-RU"/>
              </w:rPr>
              <w:t>ОКПД2 81.29.12.000 Оказание услуг по уборке снега и наледи с крыш объектов филиала ПАО «РусГидро» - «Новосибирская ГЭС»</w:t>
            </w:r>
          </w:p>
        </w:tc>
        <w:tc>
          <w:tcPr>
            <w:tcW w:w="24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lang w:val="ru-RU"/>
              </w:rPr>
              <w:t>01.01.2027</w:t>
            </w:r>
          </w:p>
        </w:tc>
        <w:tc>
          <w:tcPr>
            <w:tcW w:w="23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31.12.202</w:t>
            </w:r>
            <w:bookmarkEnd w:id="11"/>
            <w:r>
              <w:rPr>
                <w:sz w:val="20"/>
                <w:szCs w:val="20"/>
                <w:lang w:val="ru-RU"/>
              </w:rPr>
              <w:t>7</w:t>
            </w:r>
          </w:p>
        </w:tc>
      </w:tr>
    </w:tbl>
    <w:p>
      <w:pPr>
        <w:sectPr>
          <w:headerReference w:type="default" r:id="rId3"/>
          <w:footerReference w:type="default" r:id="rId4"/>
          <w:type w:val="nextPage"/>
          <w:pgSz w:w="11906" w:h="16838"/>
          <w:pgMar w:left="1134" w:right="567" w:gutter="0" w:header="567" w:top="1134" w:footer="709" w:bottom="1134"/>
          <w:pgNumType w:fmt="decimal"/>
          <w:formProt w:val="false"/>
          <w:titlePg/>
          <w:textDirection w:val="lrTb"/>
          <w:docGrid w:type="default" w:linePitch="360" w:charSpace="0"/>
        </w:sectPr>
      </w:pPr>
    </w:p>
    <w:p>
      <w:pPr>
        <w:pStyle w:val="ListParagraph"/>
        <w:ind w:left="0" w:hanging="0"/>
        <w:jc w:val="both"/>
        <w:rPr>
          <w:b/>
          <w:bCs/>
        </w:rPr>
      </w:pPr>
      <w:r>
        <w:rPr>
          <w:b/>
          <w:bCs/>
        </w:rPr>
        <w:t xml:space="preserve">2.2. </w:t>
      </w:r>
      <w:bookmarkStart w:id="27" w:name="_Toc54643709"/>
      <w:bookmarkStart w:id="28" w:name="_Toc51339698"/>
      <w:bookmarkStart w:id="29" w:name="_Toc54643708"/>
      <w:bookmarkStart w:id="30" w:name="_Toc46743511"/>
      <w:r>
        <w:rPr>
          <w:b/>
          <w:bCs/>
        </w:rPr>
        <w:t xml:space="preserve">Требования к </w:t>
      </w:r>
      <w:bookmarkEnd w:id="30"/>
      <w:r>
        <w:rPr>
          <w:b/>
          <w:bCs/>
        </w:rPr>
        <w:t>качеству услуг</w:t>
      </w:r>
      <w:bookmarkEnd w:id="29"/>
    </w:p>
    <w:p>
      <w:pPr>
        <w:pStyle w:val="Normal"/>
        <w:jc w:val="both"/>
        <w:rPr>
          <w:b/>
          <w:bCs/>
        </w:rPr>
      </w:pPr>
      <w:r>
        <w:rPr>
          <w:b/>
          <w:bCs/>
        </w:rPr>
        <w:t xml:space="preserve">Таблица 4. Требования к </w:t>
      </w:r>
      <w:bookmarkEnd w:id="28"/>
      <w:r>
        <w:rPr>
          <w:b/>
          <w:bCs/>
        </w:rPr>
        <w:t>качеству услуг</w:t>
      </w:r>
      <w:bookmarkEnd w:id="27"/>
      <w:r>
        <w:rPr>
          <w:b/>
          <w:bCs/>
        </w:rPr>
        <w:t xml:space="preserve"> </w:t>
      </w:r>
    </w:p>
    <w:p>
      <w:pPr>
        <w:pStyle w:val="Normal"/>
        <w:jc w:val="both"/>
        <w:rPr>
          <w:i/>
          <w:i/>
          <w:iCs/>
          <w:shd w:fill="FFFF99" w:val="clear"/>
          <w:lang w:val="ru-RU"/>
        </w:rPr>
      </w:pPr>
      <w:r>
        <w:rPr>
          <w:b/>
          <w:lang w:val="ru-RU"/>
        </w:rPr>
        <w:t>Наименование услуг/этапа услуг:</w:t>
      </w:r>
      <w:r>
        <w:rPr>
          <w:lang w:val="ru-RU"/>
        </w:rPr>
        <w:t xml:space="preserve"> ОКПД2 81.29.12.000 Оказание услуг по уборке снега и наледи с крыш объектов филиала ПАО «РусГидро» - «Новосибирская ГЭС»</w:t>
      </w:r>
    </w:p>
    <w:p>
      <w:pPr>
        <w:pStyle w:val="Normal"/>
        <w:jc w:val="center"/>
        <w:rPr>
          <w:b/>
          <w:lang w:val="ru-RU"/>
        </w:rPr>
      </w:pPr>
      <w:r>
        <w:rPr>
          <w:b/>
          <w:lang w:val="ru-RU"/>
        </w:rPr>
      </w:r>
    </w:p>
    <w:tbl>
      <w:tblPr>
        <w:tblStyle w:val="afff"/>
        <w:tblW w:w="14745"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843"/>
        <w:gridCol w:w="3226"/>
        <w:gridCol w:w="4713"/>
        <w:gridCol w:w="2331"/>
        <w:gridCol w:w="1818"/>
        <w:gridCol w:w="1813"/>
      </w:tblGrid>
      <w:tr>
        <w:trPr>
          <w:trHeight w:val="20" w:hRule="atLeast"/>
        </w:trPr>
        <w:tc>
          <w:tcPr>
            <w:tcW w:w="843"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 xml:space="preserve">№ </w:t>
            </w:r>
            <w:r>
              <w:rPr>
                <w:rFonts w:eastAsia="Times New Roman" w:cs="Times New Roman"/>
                <w:b/>
                <w:bCs/>
                <w:kern w:val="0"/>
                <w:sz w:val="20"/>
                <w:szCs w:val="20"/>
                <w:lang w:eastAsia="ru-RU" w:bidi="ar-SA"/>
              </w:rPr>
              <w:t>п/п</w:t>
            </w:r>
          </w:p>
        </w:tc>
        <w:tc>
          <w:tcPr>
            <w:tcW w:w="3226"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Наименование параметра</w:t>
            </w:r>
          </w:p>
        </w:tc>
        <w:tc>
          <w:tcPr>
            <w:tcW w:w="4713"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Требование заказчика</w:t>
            </w:r>
          </w:p>
        </w:tc>
        <w:tc>
          <w:tcPr>
            <w:tcW w:w="4149" w:type="dxa"/>
            <w:gridSpan w:val="2"/>
            <w:tcBorders/>
            <w:vAlign w:val="center"/>
          </w:tcPr>
          <w:p>
            <w:pPr>
              <w:pStyle w:val="Normal"/>
              <w:widowControl w:val="false"/>
              <w:suppressAutoHyphens w:val="true"/>
              <w:spacing w:before="0" w:after="0"/>
              <w:jc w:val="center"/>
              <w:rPr>
                <w:lang w:val="ru-RU"/>
              </w:rPr>
            </w:pPr>
            <w:r>
              <w:rPr>
                <w:rFonts w:eastAsia="Times New Roman" w:cs="Times New Roman"/>
                <w:b/>
                <w:bCs/>
                <w:kern w:val="0"/>
                <w:sz w:val="20"/>
                <w:szCs w:val="20"/>
                <w:lang w:val="ru-RU" w:eastAsia="ru-RU" w:bidi="ar-SA"/>
              </w:rPr>
              <w:t>Способ подтверждения участником соответствия требованиям</w:t>
            </w:r>
          </w:p>
        </w:tc>
        <w:tc>
          <w:tcPr>
            <w:tcW w:w="1813" w:type="dxa"/>
            <w:tcBorders/>
            <w:vAlign w:val="center"/>
          </w:tcPr>
          <w:p>
            <w:pPr>
              <w:pStyle w:val="Normal"/>
              <w:widowControl w:val="false"/>
              <w:suppressAutoHyphens w:val="true"/>
              <w:spacing w:before="0" w:after="0"/>
              <w:jc w:val="center"/>
              <w:rPr>
                <w:lang w:val="ru-RU"/>
              </w:rPr>
            </w:pPr>
            <w:r>
              <w:rPr>
                <w:rFonts w:eastAsia="Times New Roman" w:cs="Times New Roman"/>
                <w:b/>
                <w:bCs/>
                <w:kern w:val="0"/>
                <w:sz w:val="20"/>
                <w:szCs w:val="20"/>
                <w:lang w:val="ru-RU" w:eastAsia="ru-RU" w:bidi="ar-SA"/>
              </w:rPr>
              <w:t>Предложение участника по характеристикам и параметрам</w:t>
            </w:r>
          </w:p>
        </w:tc>
      </w:tr>
      <w:tr>
        <w:trPr>
          <w:trHeight w:val="20" w:hRule="atLeast"/>
        </w:trPr>
        <w:tc>
          <w:tcPr>
            <w:tcW w:w="843" w:type="dxa"/>
            <w:vMerge w:val="continue"/>
            <w:tcBorders/>
          </w:tcPr>
          <w:p>
            <w:pPr>
              <w:pStyle w:val="Normal"/>
              <w:widowControl w:val="false"/>
              <w:suppressAutoHyphens w:val="true"/>
              <w:spacing w:before="0" w:after="0"/>
              <w:jc w:val="left"/>
              <w:rPr>
                <w:b/>
                <w:bCs/>
                <w:sz w:val="20"/>
                <w:szCs w:val="20"/>
                <w:lang w:val="ru-RU"/>
              </w:rPr>
            </w:pPr>
            <w:r>
              <w:rPr>
                <w:b/>
                <w:bCs/>
                <w:sz w:val="20"/>
                <w:szCs w:val="20"/>
                <w:lang w:val="ru-RU"/>
              </w:rPr>
            </w:r>
          </w:p>
        </w:tc>
        <w:tc>
          <w:tcPr>
            <w:tcW w:w="3226" w:type="dxa"/>
            <w:vMerge w:val="continue"/>
            <w:tcBorders/>
            <w:vAlign w:val="center"/>
          </w:tcPr>
          <w:p>
            <w:pPr>
              <w:pStyle w:val="Normal"/>
              <w:widowControl w:val="false"/>
              <w:suppressAutoHyphens w:val="true"/>
              <w:spacing w:before="0" w:after="0"/>
              <w:jc w:val="left"/>
              <w:rPr>
                <w:b/>
                <w:bCs/>
                <w:sz w:val="20"/>
                <w:szCs w:val="20"/>
                <w:lang w:val="ru-RU"/>
              </w:rPr>
            </w:pPr>
            <w:r>
              <w:rPr>
                <w:b/>
                <w:bCs/>
                <w:sz w:val="20"/>
                <w:szCs w:val="20"/>
                <w:lang w:val="ru-RU"/>
              </w:rPr>
            </w:r>
          </w:p>
        </w:tc>
        <w:tc>
          <w:tcPr>
            <w:tcW w:w="4713" w:type="dxa"/>
            <w:vMerge w:val="continue"/>
            <w:tcBorders/>
            <w:vAlign w:val="center"/>
          </w:tcPr>
          <w:p>
            <w:pPr>
              <w:pStyle w:val="Normal"/>
              <w:widowControl w:val="false"/>
              <w:suppressAutoHyphens w:val="true"/>
              <w:spacing w:before="0" w:after="0"/>
              <w:jc w:val="left"/>
              <w:rPr>
                <w:b/>
                <w:bCs/>
                <w:sz w:val="20"/>
                <w:szCs w:val="20"/>
                <w:lang w:val="ru-RU"/>
              </w:rPr>
            </w:pPr>
            <w:r>
              <w:rPr>
                <w:b/>
                <w:bCs/>
                <w:sz w:val="20"/>
                <w:szCs w:val="20"/>
                <w:lang w:val="ru-RU"/>
              </w:rPr>
            </w:r>
          </w:p>
        </w:tc>
        <w:tc>
          <w:tcPr>
            <w:tcW w:w="2331" w:type="dxa"/>
            <w:tcBorders/>
            <w:vAlign w:val="center"/>
          </w:tcPr>
          <w:p>
            <w:pPr>
              <w:pStyle w:val="Normal"/>
              <w:widowControl w:val="false"/>
              <w:suppressAutoHyphens w:val="true"/>
              <w:spacing w:before="0" w:after="0"/>
              <w:jc w:val="center"/>
              <w:rPr>
                <w:lang w:val="ru-RU"/>
              </w:rPr>
            </w:pPr>
            <w:r>
              <w:rPr>
                <w:rFonts w:eastAsia="Times New Roman" w:cs="Times New Roman"/>
                <w:b/>
                <w:bCs/>
                <w:kern w:val="0"/>
                <w:sz w:val="20"/>
                <w:szCs w:val="20"/>
                <w:lang w:val="ru-RU" w:eastAsia="ru-RU" w:bidi="ar-SA"/>
              </w:rPr>
              <w:t>Согласие с требованием/ указание характеристик</w:t>
            </w:r>
          </w:p>
        </w:tc>
        <w:tc>
          <w:tcPr>
            <w:tcW w:w="1818" w:type="dxa"/>
            <w:tcBorders/>
            <w:vAlign w:val="center"/>
          </w:tcPr>
          <w:p>
            <w:pPr>
              <w:pStyle w:val="Normal"/>
              <w:widowControl w:val="false"/>
              <w:suppressAutoHyphens w:val="true"/>
              <w:spacing w:before="0" w:after="0"/>
              <w:jc w:val="center"/>
              <w:rPr>
                <w:lang w:val="ru-RU"/>
              </w:rPr>
            </w:pPr>
            <w:r>
              <w:rPr>
                <w:rFonts w:eastAsia="Times New Roman" w:cs="Times New Roman"/>
                <w:b/>
                <w:bCs/>
                <w:kern w:val="0"/>
                <w:sz w:val="20"/>
                <w:szCs w:val="20"/>
                <w:lang w:val="ru-RU" w:eastAsia="ru-RU" w:bidi="ar-SA"/>
              </w:rPr>
              <w:t>Предоставление подтверждающего документа или иной способ подтверждения</w:t>
            </w:r>
          </w:p>
        </w:tc>
        <w:tc>
          <w:tcPr>
            <w:tcW w:w="1813" w:type="dxa"/>
            <w:tcBorders/>
            <w:vAlign w:val="center"/>
          </w:tcPr>
          <w:p>
            <w:pPr>
              <w:pStyle w:val="Normal"/>
              <w:widowControl w:val="false"/>
              <w:suppressAutoHyphens w:val="true"/>
              <w:spacing w:before="0" w:after="0"/>
              <w:jc w:val="left"/>
              <w:rPr>
                <w:b/>
                <w:bCs/>
                <w:sz w:val="20"/>
                <w:szCs w:val="20"/>
                <w:lang w:val="ru-RU"/>
              </w:rPr>
            </w:pPr>
            <w:r>
              <w:rPr>
                <w:b/>
                <w:bCs/>
                <w:sz w:val="20"/>
                <w:szCs w:val="20"/>
                <w:lang w:val="ru-RU"/>
              </w:rPr>
            </w:r>
          </w:p>
        </w:tc>
      </w:tr>
      <w:tr>
        <w:trPr>
          <w:trHeight w:val="20" w:hRule="atLeast"/>
        </w:trPr>
        <w:tc>
          <w:tcPr>
            <w:tcW w:w="843" w:type="dxa"/>
            <w:tcBorders/>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bookmarkStart w:id="31" w:name="_Toc53499667"/>
            <w:r>
              <w:rPr>
                <w:rFonts w:eastAsia="Times New Roman" w:cs="Times New Roman"/>
                <w:b/>
                <w:bCs/>
                <w:kern w:val="0"/>
                <w:sz w:val="20"/>
                <w:szCs w:val="20"/>
                <w:lang w:eastAsia="ru-RU" w:bidi="ar-SA"/>
              </w:rPr>
              <w:t>1</w:t>
            </w:r>
            <w:bookmarkEnd w:id="31"/>
          </w:p>
        </w:tc>
        <w:tc>
          <w:tcPr>
            <w:tcW w:w="3226"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2</w:t>
            </w:r>
          </w:p>
        </w:tc>
        <w:tc>
          <w:tcPr>
            <w:tcW w:w="4713"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3</w:t>
            </w:r>
          </w:p>
        </w:tc>
        <w:tc>
          <w:tcPr>
            <w:tcW w:w="2331"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4</w:t>
            </w:r>
          </w:p>
        </w:tc>
        <w:tc>
          <w:tcPr>
            <w:tcW w:w="1818"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5</w:t>
            </w:r>
          </w:p>
        </w:tc>
        <w:tc>
          <w:tcPr>
            <w:tcW w:w="1813"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6</w:t>
            </w:r>
          </w:p>
        </w:tc>
      </w:tr>
      <w:tr>
        <w:trPr>
          <w:trHeight w:val="20" w:hRule="atLeast"/>
        </w:trPr>
        <w:tc>
          <w:tcPr>
            <w:tcW w:w="843" w:type="dxa"/>
            <w:tcBorders/>
          </w:tcPr>
          <w:p>
            <w:pPr>
              <w:pStyle w:val="ListParagraph"/>
              <w:widowControl w:val="false"/>
              <w:numPr>
                <w:ilvl w:val="0"/>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Требования к оказанию услуг</w:t>
            </w:r>
          </w:p>
        </w:tc>
        <w:tc>
          <w:tcPr>
            <w:tcW w:w="2331"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1"/>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vAlign w:val="center"/>
          </w:tcPr>
          <w:p>
            <w:pPr>
              <w:pStyle w:val="Normal"/>
              <w:widowControl w:val="false"/>
              <w:suppressAutoHyphens w:val="true"/>
              <w:spacing w:before="0" w:after="0"/>
              <w:jc w:val="left"/>
              <w:rPr>
                <w:lang w:val="ru-RU"/>
              </w:rPr>
            </w:pPr>
            <w:r>
              <w:rPr>
                <w:rFonts w:eastAsia="Times New Roman" w:cs="Times New Roman"/>
                <w:b/>
                <w:kern w:val="0"/>
                <w:sz w:val="20"/>
                <w:szCs w:val="20"/>
                <w:lang w:val="ru-RU" w:eastAsia="ru-RU" w:bidi="ar-SA"/>
              </w:rPr>
              <w:t>Общие требования к оказанию услуг</w:t>
            </w:r>
          </w:p>
        </w:tc>
        <w:tc>
          <w:tcPr>
            <w:tcW w:w="2331"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2"/>
                <w:numId w:val="7"/>
              </w:numPr>
              <w:suppressAutoHyphens w:val="true"/>
              <w:spacing w:before="0" w:after="0"/>
              <w:contextualSpacing w:val="false"/>
              <w:jc w:val="center"/>
              <w:rPr>
                <w:b/>
                <w:bCs/>
                <w:sz w:val="20"/>
                <w:szCs w:val="20"/>
              </w:rPr>
            </w:pPr>
            <w:r>
              <w:rPr>
                <w:b/>
                <w:bCs/>
                <w:sz w:val="20"/>
                <w:szCs w:val="20"/>
              </w:rPr>
            </w:r>
          </w:p>
        </w:tc>
        <w:tc>
          <w:tcPr>
            <w:tcW w:w="3226" w:type="dxa"/>
            <w:tcBorders/>
            <w:shd w:color="auto" w:fill="auto" w:val="clear"/>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Соблюдение при оказании услуг норм и правил нормативно-технических документов</w:t>
            </w:r>
          </w:p>
        </w:tc>
        <w:tc>
          <w:tcPr>
            <w:tcW w:w="4713" w:type="dxa"/>
            <w:tcBorders/>
            <w:shd w:color="auto" w:fill="auto" w:val="clear"/>
          </w:tcPr>
          <w:p>
            <w:pPr>
              <w:pStyle w:val="Normal"/>
              <w:widowControl w:val="false"/>
              <w:suppressAutoHyphens w:val="true"/>
              <w:spacing w:before="0" w:after="0"/>
              <w:jc w:val="both"/>
              <w:rPr>
                <w:sz w:val="20"/>
                <w:szCs w:val="20"/>
              </w:rPr>
            </w:pPr>
            <w:r>
              <w:rPr>
                <w:rFonts w:eastAsia="Times New Roman" w:cs="Times New Roman"/>
                <w:kern w:val="0"/>
                <w:sz w:val="20"/>
                <w:szCs w:val="20"/>
                <w:lang w:val="ru-RU" w:eastAsia="ru-RU" w:bidi="ar-SA"/>
              </w:rPr>
              <w:t>В соответствии с СТО РусГидро 05.02.126-2020 «Правила организации безопасного обслуживания гидротехнических сооружений, гидросилового и гидромеханического оборудования гидроэлектростанций»</w:t>
            </w:r>
            <w:r>
              <w:rPr>
                <w:rFonts w:eastAsia="Times New Roman" w:cs="Times New Roman"/>
                <w:kern w:val="0"/>
                <w:sz w:val="20"/>
                <w:szCs w:val="20"/>
                <w:shd w:fill="auto" w:val="clear"/>
                <w:lang w:val="ru-RU" w:eastAsia="ru-RU" w:bidi="ar-SA"/>
              </w:rPr>
              <w:t xml:space="preserve"> (Приложение 2 настоящим ТТ)</w:t>
            </w:r>
          </w:p>
          <w:p>
            <w:pPr>
              <w:pStyle w:val="Normal"/>
              <w:widowControl w:val="false"/>
              <w:tabs>
                <w:tab w:val="clear" w:pos="708"/>
                <w:tab w:val="left" w:pos="426" w:leader="none"/>
              </w:tabs>
              <w:suppressAutoHyphens w:val="true"/>
              <w:spacing w:before="0" w:after="0"/>
              <w:jc w:val="both"/>
              <w:rPr>
                <w:b/>
                <w:sz w:val="20"/>
                <w:szCs w:val="20"/>
              </w:rPr>
            </w:pPr>
            <w:r>
              <w:rPr>
                <w:sz w:val="20"/>
                <w:szCs w:val="20"/>
                <w:lang w:val="ru-RU"/>
              </w:rPr>
              <w:t xml:space="preserve">Организационно-технические мероприятия по допуску персонала исполнителя осуществляется в соответствии с Методикой допуска персонала подрядных организаций на объектах ПАО «РусГидро» (утв. приказом ПАО «РусГидро» № 82 от 04.02.2022 г.) </w:t>
            </w:r>
            <w:r>
              <w:rPr>
                <w:sz w:val="20"/>
                <w:szCs w:val="20"/>
                <w:shd w:fill="auto" w:val="clear"/>
                <w:lang w:val="ru-RU"/>
              </w:rPr>
              <w:t>(Приложение № 1 к настоящим ТТ).</w:t>
            </w:r>
          </w:p>
        </w:tc>
        <w:tc>
          <w:tcPr>
            <w:tcW w:w="2331" w:type="dxa"/>
            <w:tcBorders/>
            <w:shd w:color="auto" w:fill="auto" w:val="clear"/>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Согласие с требованием</w:t>
            </w:r>
          </w:p>
        </w:tc>
        <w:tc>
          <w:tcPr>
            <w:tcW w:w="1818" w:type="dxa"/>
            <w:tcBorders/>
            <w:shd w:color="auto" w:fill="auto" w:val="clear"/>
            <w:vAlign w:val="center"/>
          </w:tcPr>
          <w:p>
            <w:pPr>
              <w:pStyle w:val="Style32"/>
              <w:keepNext w:val="false"/>
              <w:widowControl w:val="false"/>
              <w:numPr>
                <w:ilvl w:val="0"/>
                <w:numId w:val="0"/>
              </w:numPr>
              <w:suppressAutoHyphens w:val="true"/>
              <w:spacing w:before="0" w:after="0"/>
              <w:ind w:left="0" w:hanging="0"/>
              <w:jc w:val="center"/>
              <w:outlineLvl w:val="2"/>
              <w:rPr>
                <w:rFonts w:ascii="Times New Roman" w:hAnsi="Times New Roman" w:cs="Times New Roman"/>
                <w:kern w:val="0"/>
                <w:lang w:bidi="ar-SA"/>
              </w:rPr>
            </w:pPr>
            <w:r>
              <w:rPr>
                <w:rFonts w:eastAsia="Times New Roman" w:cs="Times New Roman"/>
                <w:kern w:val="0"/>
                <w:sz w:val="20"/>
                <w:szCs w:val="20"/>
                <w:lang w:val="ru-RU" w:eastAsia="ru-RU" w:bidi="ar-SA"/>
              </w:rPr>
              <w:t>-</w:t>
            </w:r>
          </w:p>
        </w:tc>
        <w:tc>
          <w:tcPr>
            <w:tcW w:w="1813" w:type="dxa"/>
            <w:tcBorders/>
            <w:shd w:color="auto" w:fill="auto" w:val="clear"/>
            <w:vAlign w:val="center"/>
          </w:tcPr>
          <w:p>
            <w:pPr>
              <w:pStyle w:val="Normal"/>
              <w:widowControl w:val="false"/>
              <w:suppressAutoHyphens w:val="true"/>
              <w:spacing w:before="0" w:after="0"/>
              <w:jc w:val="center"/>
              <w:rPr>
                <w:sz w:val="20"/>
                <w:szCs w:val="20"/>
              </w:rPr>
            </w:pPr>
            <w:r>
              <w:rPr>
                <w:sz w:val="20"/>
                <w:szCs w:val="20"/>
              </w:rPr>
              <w:t>-</w:t>
            </w:r>
          </w:p>
        </w:tc>
      </w:tr>
      <w:tr>
        <w:trPr>
          <w:trHeight w:val="20" w:hRule="atLeast"/>
        </w:trPr>
        <w:tc>
          <w:tcPr>
            <w:tcW w:w="843" w:type="dxa"/>
            <w:tcBorders/>
          </w:tcPr>
          <w:p>
            <w:pPr>
              <w:pStyle w:val="ListParagraph"/>
              <w:widowControl w:val="false"/>
              <w:numPr>
                <w:ilvl w:val="1"/>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shd w:color="auto" w:fill="auto" w:val="clear"/>
            <w:vAlign w:val="center"/>
          </w:tcPr>
          <w:p>
            <w:pPr>
              <w:pStyle w:val="Normal"/>
              <w:widowControl w:val="false"/>
              <w:suppressAutoHyphens w:val="true"/>
              <w:spacing w:before="0" w:after="0"/>
              <w:jc w:val="left"/>
              <w:rPr>
                <w:lang w:val="ru-RU"/>
              </w:rPr>
            </w:pPr>
            <w:r>
              <w:rPr>
                <w:rFonts w:eastAsia="Times New Roman" w:cs="Times New Roman"/>
                <w:b/>
                <w:kern w:val="0"/>
                <w:sz w:val="20"/>
                <w:szCs w:val="20"/>
                <w:lang w:val="ru-RU" w:eastAsia="ru-RU" w:bidi="ar-SA"/>
              </w:rPr>
              <w:t>Требования к способам оказания услуг</w:t>
            </w:r>
          </w:p>
        </w:tc>
        <w:tc>
          <w:tcPr>
            <w:tcW w:w="2331" w:type="dxa"/>
            <w:tcBorders/>
            <w:shd w:color="auto" w:fill="auto" w:val="clear"/>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shd w:color="auto" w:fill="auto" w:val="clear"/>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shd w:color="auto" w:fill="auto" w:val="clea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2"/>
                <w:numId w:val="7"/>
              </w:numPr>
              <w:suppressAutoHyphens w:val="true"/>
              <w:spacing w:before="0" w:after="0"/>
              <w:contextualSpacing w:val="false"/>
              <w:jc w:val="center"/>
              <w:rPr>
                <w:b/>
                <w:bCs/>
                <w:sz w:val="20"/>
                <w:szCs w:val="20"/>
              </w:rPr>
            </w:pPr>
            <w:r>
              <w:rPr>
                <w:b/>
                <w:bCs/>
                <w:sz w:val="20"/>
                <w:szCs w:val="20"/>
              </w:rPr>
            </w:r>
          </w:p>
        </w:tc>
        <w:tc>
          <w:tcPr>
            <w:tcW w:w="3226" w:type="dxa"/>
            <w:tcBorders/>
            <w:shd w:color="auto" w:fill="auto" w:val="clear"/>
            <w:vAlign w:val="center"/>
          </w:tcPr>
          <w:p>
            <w:pPr>
              <w:pStyle w:val="Normal"/>
              <w:widowControl w:val="false"/>
              <w:suppressAutoHyphens w:val="true"/>
              <w:spacing w:before="0" w:after="0"/>
              <w:jc w:val="left"/>
              <w:rPr>
                <w:lang w:val="ru-RU"/>
              </w:rPr>
            </w:pPr>
            <w:r>
              <w:rPr>
                <w:rFonts w:eastAsia="Times New Roman" w:cs="Times New Roman"/>
                <w:kern w:val="0"/>
                <w:sz w:val="20"/>
                <w:szCs w:val="20"/>
                <w:lang w:val="ru-RU" w:eastAsia="ru-RU" w:bidi="ar-SA"/>
              </w:rPr>
              <w:t>Требование к способам оказания услуг по уборке снега и наледи с крыш</w:t>
            </w:r>
          </w:p>
        </w:tc>
        <w:tc>
          <w:tcPr>
            <w:tcW w:w="4713" w:type="dxa"/>
            <w:tcBorders/>
            <w:shd w:color="auto" w:fill="auto" w:val="clear"/>
            <w:vAlign w:val="center"/>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Согласно раздела 1.7 Настоящих технических требований</w:t>
            </w:r>
          </w:p>
        </w:tc>
        <w:tc>
          <w:tcPr>
            <w:tcW w:w="2331" w:type="dxa"/>
            <w:tcBorders/>
            <w:shd w:color="auto" w:fill="auto" w:val="clear"/>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Согласие с требованием</w:t>
            </w:r>
          </w:p>
        </w:tc>
        <w:tc>
          <w:tcPr>
            <w:tcW w:w="1818" w:type="dxa"/>
            <w:tcBorders/>
            <w:shd w:color="auto" w:fill="auto" w:val="clear"/>
          </w:tcPr>
          <w:p>
            <w:pPr>
              <w:pStyle w:val="Normal"/>
              <w:widowControl w:val="false"/>
              <w:suppressAutoHyphens w:val="true"/>
              <w:spacing w:before="0" w:after="0"/>
              <w:jc w:val="center"/>
              <w:rPr/>
            </w:pPr>
            <w:r>
              <w:rPr>
                <w:rFonts w:eastAsia="Times New Roman" w:cs="Times New Roman"/>
                <w:kern w:val="0"/>
                <w:sz w:val="20"/>
                <w:szCs w:val="20"/>
                <w:lang w:eastAsia="ru-RU" w:bidi="ar-SA"/>
              </w:rPr>
              <w:t>-</w:t>
            </w:r>
          </w:p>
        </w:tc>
        <w:tc>
          <w:tcPr>
            <w:tcW w:w="1813" w:type="dxa"/>
            <w:tcBorders/>
            <w:shd w:color="auto" w:fill="auto" w:val="clear"/>
          </w:tcPr>
          <w:p>
            <w:pPr>
              <w:pStyle w:val="Normal"/>
              <w:widowControl w:val="false"/>
              <w:suppressAutoHyphens w:val="true"/>
              <w:spacing w:before="0" w:after="0"/>
              <w:jc w:val="center"/>
              <w:rPr/>
            </w:pPr>
            <w:r>
              <w:rPr>
                <w:rFonts w:eastAsia="Times New Roman" w:cs="Times New Roman"/>
                <w:kern w:val="0"/>
                <w:sz w:val="20"/>
                <w:szCs w:val="20"/>
                <w:lang w:eastAsia="ru-RU" w:bidi="ar-SA"/>
              </w:rPr>
              <w:t>-</w:t>
            </w:r>
          </w:p>
        </w:tc>
      </w:tr>
      <w:tr>
        <w:trPr>
          <w:trHeight w:val="20" w:hRule="atLeast"/>
        </w:trPr>
        <w:tc>
          <w:tcPr>
            <w:tcW w:w="843" w:type="dxa"/>
            <w:tcBorders/>
          </w:tcPr>
          <w:p>
            <w:pPr>
              <w:pStyle w:val="ListParagraph"/>
              <w:widowControl w:val="false"/>
              <w:numPr>
                <w:ilvl w:val="1"/>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vAlign w:val="center"/>
          </w:tcPr>
          <w:p>
            <w:pPr>
              <w:pStyle w:val="Normal"/>
              <w:widowControl w:val="false"/>
              <w:suppressAutoHyphens w:val="true"/>
              <w:spacing w:before="0" w:after="0"/>
              <w:jc w:val="left"/>
              <w:rPr>
                <w:lang w:val="ru-RU"/>
              </w:rPr>
            </w:pPr>
            <w:r>
              <w:rPr>
                <w:rFonts w:eastAsia="Times New Roman" w:cs="Times New Roman"/>
                <w:b/>
                <w:kern w:val="0"/>
                <w:sz w:val="20"/>
                <w:szCs w:val="20"/>
                <w:lang w:val="ru-RU" w:eastAsia="ru-RU" w:bidi="ar-SA"/>
              </w:rPr>
              <w:t>Требования к применяемым при оказании услуг оборудованию и материалам</w:t>
            </w:r>
          </w:p>
        </w:tc>
        <w:tc>
          <w:tcPr>
            <w:tcW w:w="2331"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2"/>
                <w:numId w:val="7"/>
              </w:numPr>
              <w:suppressAutoHyphens w:val="true"/>
              <w:spacing w:before="0" w:after="0"/>
              <w:contextualSpacing w:val="false"/>
              <w:jc w:val="center"/>
              <w:rPr>
                <w:b/>
                <w:bCs/>
                <w:sz w:val="20"/>
                <w:szCs w:val="20"/>
              </w:rPr>
            </w:pPr>
            <w:r>
              <w:rPr>
                <w:b/>
                <w:bCs/>
                <w:sz w:val="20"/>
                <w:szCs w:val="20"/>
              </w:rPr>
            </w:r>
          </w:p>
        </w:tc>
        <w:tc>
          <w:tcPr>
            <w:tcW w:w="3226" w:type="dxa"/>
            <w:tcBorders/>
          </w:tcPr>
          <w:p>
            <w:pPr>
              <w:pStyle w:val="Normal"/>
              <w:widowControl w:val="false"/>
              <w:suppressAutoHyphens w:val="true"/>
              <w:spacing w:before="0" w:after="0"/>
              <w:jc w:val="both"/>
              <w:rPr>
                <w:lang w:val="ru-RU"/>
              </w:rPr>
            </w:pPr>
            <w:r>
              <w:rPr>
                <w:rFonts w:eastAsia="Times New Roman" w:cs="Times New Roman"/>
                <w:b/>
                <w:kern w:val="0"/>
                <w:sz w:val="20"/>
                <w:szCs w:val="20"/>
                <w:lang w:val="ru-RU" w:eastAsia="ru-RU" w:bidi="ar-SA"/>
              </w:rPr>
              <w:t>Требование к оборудованию и материалам</w:t>
            </w:r>
          </w:p>
        </w:tc>
        <w:tc>
          <w:tcPr>
            <w:tcW w:w="4713" w:type="dxa"/>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Наличие у Исполнителя материально-технических ресурсов (специальная техника, грузоподъемные механизмы, приборы, материалы, механизмы, приспособления, специальный инструмент и т.д.), используемых при оказании услуг и принадлежащих ему на праве собственности или ином законном основании.</w:t>
            </w:r>
          </w:p>
          <w:p>
            <w:pPr>
              <w:pStyle w:val="Normal"/>
              <w:widowControl w:val="false"/>
              <w:suppressAutoHyphens w:val="true"/>
              <w:spacing w:before="0" w:after="0"/>
              <w:jc w:val="left"/>
              <w:rPr>
                <w:lang w:val="ru-RU"/>
              </w:rPr>
            </w:pPr>
            <w:r>
              <w:rPr>
                <w:rFonts w:eastAsia="Times New Roman" w:cs="Times New Roman"/>
                <w:kern w:val="0"/>
                <w:sz w:val="20"/>
                <w:szCs w:val="20"/>
                <w:lang w:val="ru-RU" w:eastAsia="ru-RU" w:bidi="ar-SA"/>
              </w:rPr>
              <w:t>До начала оказания услуг в рамках исполнения договора после его заключения. Заказчик не предоставляет Исполнителю давальческие материалы.</w:t>
            </w:r>
          </w:p>
        </w:tc>
        <w:tc>
          <w:tcPr>
            <w:tcW w:w="2331"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Согласие с требованием</w:t>
            </w:r>
          </w:p>
        </w:tc>
        <w:tc>
          <w:tcPr>
            <w:tcW w:w="1818" w:type="dxa"/>
            <w:tcBorders/>
          </w:tcPr>
          <w:p>
            <w:pPr>
              <w:pStyle w:val="Normal"/>
              <w:widowControl w:val="false"/>
              <w:suppressAutoHyphens w:val="true"/>
              <w:spacing w:before="0" w:after="0"/>
              <w:jc w:val="center"/>
              <w:rPr>
                <w:lang w:val="ru-RU"/>
              </w:rPr>
            </w:pPr>
            <w:r>
              <w:rPr>
                <w:lang w:val="ru-RU"/>
              </w:rPr>
              <w:t>-</w:t>
            </w:r>
          </w:p>
        </w:tc>
        <w:tc>
          <w:tcPr>
            <w:tcW w:w="1813" w:type="dxa"/>
            <w:tcBorders/>
          </w:tcPr>
          <w:p>
            <w:pPr>
              <w:pStyle w:val="Normal"/>
              <w:widowControl w:val="false"/>
              <w:suppressAutoHyphens w:val="true"/>
              <w:spacing w:before="0" w:after="0"/>
              <w:jc w:val="center"/>
              <w:rPr>
                <w:b/>
                <w:sz w:val="20"/>
                <w:szCs w:val="20"/>
                <w:lang w:val="ru-RU"/>
              </w:rPr>
            </w:pPr>
            <w:r>
              <w:rPr>
                <w:b/>
                <w:sz w:val="20"/>
                <w:szCs w:val="20"/>
                <w:lang w:val="ru-RU"/>
              </w:rPr>
              <w:t>-</w:t>
            </w:r>
          </w:p>
        </w:tc>
      </w:tr>
      <w:tr>
        <w:trPr>
          <w:trHeight w:val="20" w:hRule="atLeast"/>
        </w:trPr>
        <w:tc>
          <w:tcPr>
            <w:tcW w:w="843" w:type="dxa"/>
            <w:tcBorders/>
          </w:tcPr>
          <w:p>
            <w:pPr>
              <w:pStyle w:val="ListParagraph"/>
              <w:widowControl w:val="false"/>
              <w:numPr>
                <w:ilvl w:val="1"/>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tcPr>
          <w:p>
            <w:pPr>
              <w:pStyle w:val="Normal"/>
              <w:widowControl w:val="false"/>
              <w:suppressAutoHyphens w:val="true"/>
              <w:spacing w:before="0" w:after="0"/>
              <w:jc w:val="left"/>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Требования к персоналу исполнителя</w:t>
            </w:r>
          </w:p>
        </w:tc>
        <w:tc>
          <w:tcPr>
            <w:tcW w:w="2331"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2"/>
                <w:numId w:val="7"/>
              </w:numPr>
              <w:suppressAutoHyphens w:val="true"/>
              <w:spacing w:before="0" w:after="0"/>
              <w:contextualSpacing w:val="false"/>
              <w:jc w:val="center"/>
              <w:rPr>
                <w:b/>
                <w:bCs/>
                <w:sz w:val="20"/>
                <w:szCs w:val="20"/>
              </w:rPr>
            </w:pPr>
            <w:r>
              <w:rPr>
                <w:b/>
                <w:bCs/>
                <w:sz w:val="20"/>
                <w:szCs w:val="20"/>
              </w:rPr>
            </w:r>
          </w:p>
        </w:tc>
        <w:tc>
          <w:tcPr>
            <w:tcW w:w="3226" w:type="dxa"/>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Квалификация персонала исполнителя, привлекаемого к оказанию услуг</w:t>
            </w:r>
          </w:p>
        </w:tc>
        <w:tc>
          <w:tcPr>
            <w:tcW w:w="4713" w:type="dxa"/>
            <w:tcBorders/>
          </w:tcPr>
          <w:p>
            <w:pPr>
              <w:pStyle w:val="Normal"/>
              <w:widowControl w:val="false"/>
              <w:suppressAutoHyphens w:val="true"/>
              <w:spacing w:before="0" w:after="0"/>
              <w:jc w:val="both"/>
              <w:rPr>
                <w:sz w:val="20"/>
                <w:szCs w:val="20"/>
                <w:lang w:val="ru-RU"/>
              </w:rPr>
            </w:pPr>
            <w:r>
              <w:rPr>
                <w:rFonts w:eastAsia="Times New Roman" w:cs="Times New Roman"/>
                <w:kern w:val="0"/>
                <w:sz w:val="20"/>
                <w:szCs w:val="20"/>
                <w:lang w:val="ru-RU" w:eastAsia="ru-RU" w:bidi="ar-SA"/>
              </w:rPr>
              <w:t>Согласно Раздела 1.6 Настоящих Технических Требований.</w:t>
            </w:r>
          </w:p>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Оказание услуг осуществляется персоналом Исполнителя.</w:t>
            </w:r>
          </w:p>
          <w:p>
            <w:pPr>
              <w:pStyle w:val="Normal"/>
              <w:widowControl w:val="false"/>
              <w:suppressAutoHyphens w:val="true"/>
              <w:spacing w:before="0" w:after="0"/>
              <w:jc w:val="both"/>
              <w:rPr>
                <w:lang w:val="ru-RU"/>
              </w:rPr>
            </w:pPr>
            <w:r>
              <w:rPr>
                <w:lang w:val="ru-RU"/>
              </w:rPr>
            </w:r>
          </w:p>
        </w:tc>
        <w:tc>
          <w:tcPr>
            <w:tcW w:w="2331"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Согласие с требованием</w:t>
            </w:r>
          </w:p>
        </w:tc>
        <w:tc>
          <w:tcPr>
            <w:tcW w:w="1818" w:type="dxa"/>
            <w:tcBorders/>
          </w:tcPr>
          <w:p>
            <w:pPr>
              <w:pStyle w:val="Normal"/>
              <w:widowControl w:val="false"/>
              <w:suppressAutoHyphens w:val="true"/>
              <w:spacing w:before="0" w:after="0"/>
              <w:jc w:val="left"/>
              <w:rPr>
                <w:b/>
                <w:sz w:val="20"/>
                <w:szCs w:val="20"/>
              </w:rPr>
            </w:pPr>
            <w:r>
              <w:rPr>
                <w:b/>
                <w:sz w:val="20"/>
                <w:szCs w:val="20"/>
              </w:rPr>
            </w:r>
          </w:p>
        </w:tc>
        <w:tc>
          <w:tcPr>
            <w:tcW w:w="1813" w:type="dxa"/>
            <w:tcBorders/>
          </w:tcPr>
          <w:p>
            <w:pPr>
              <w:pStyle w:val="Normal"/>
              <w:widowControl w:val="false"/>
              <w:suppressAutoHyphens w:val="true"/>
              <w:spacing w:before="0" w:after="0"/>
              <w:jc w:val="left"/>
              <w:rPr>
                <w:b/>
                <w:sz w:val="20"/>
                <w:szCs w:val="20"/>
              </w:rPr>
            </w:pPr>
            <w:r>
              <w:rPr>
                <w:b/>
                <w:sz w:val="20"/>
                <w:szCs w:val="20"/>
              </w:rPr>
            </w:r>
          </w:p>
        </w:tc>
      </w:tr>
      <w:tr>
        <w:trPr>
          <w:trHeight w:val="20" w:hRule="atLeast"/>
        </w:trPr>
        <w:tc>
          <w:tcPr>
            <w:tcW w:w="843" w:type="dxa"/>
            <w:tcBorders/>
          </w:tcPr>
          <w:p>
            <w:pPr>
              <w:pStyle w:val="ListParagraph"/>
              <w:widowControl w:val="false"/>
              <w:numPr>
                <w:ilvl w:val="0"/>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eastAsia="ru-RU" w:bidi="ar-SA"/>
              </w:rPr>
            </w:pPr>
            <w:r>
              <w:rPr>
                <w:rFonts w:eastAsia="Times New Roman" w:cs="Times New Roman"/>
                <w:b/>
                <w:bCs/>
                <w:kern w:val="0"/>
                <w:sz w:val="20"/>
                <w:szCs w:val="20"/>
                <w:lang w:eastAsia="ru-RU" w:bidi="ar-SA"/>
              </w:rPr>
              <w:t>Требования к результатам у</w:t>
            </w:r>
            <w:r>
              <w:rPr>
                <w:rFonts w:eastAsia="Times New Roman" w:cs="Times New Roman"/>
                <w:b/>
                <w:kern w:val="0"/>
                <w:sz w:val="20"/>
                <w:szCs w:val="20"/>
                <w:lang w:eastAsia="ru-RU" w:bidi="ar-SA"/>
              </w:rPr>
              <w:t>слуг</w:t>
            </w:r>
          </w:p>
        </w:tc>
        <w:tc>
          <w:tcPr>
            <w:tcW w:w="2331"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1"/>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vAlign w:val="center"/>
          </w:tcPr>
          <w:p>
            <w:pPr>
              <w:pStyle w:val="Normal"/>
              <w:widowControl w:val="false"/>
              <w:suppressAutoHyphens w:val="true"/>
              <w:spacing w:before="0" w:after="0"/>
              <w:jc w:val="left"/>
              <w:rPr>
                <w:lang w:val="ru-RU"/>
              </w:rPr>
            </w:pPr>
            <w:r>
              <w:rPr>
                <w:rFonts w:eastAsia="Times New Roman" w:cs="Times New Roman"/>
                <w:b/>
                <w:bCs/>
                <w:kern w:val="0"/>
                <w:sz w:val="20"/>
                <w:szCs w:val="20"/>
                <w:lang w:val="ru-RU" w:eastAsia="ru-RU" w:bidi="ar-SA"/>
              </w:rPr>
              <w:t>Общие требования к результатам услуг</w:t>
            </w:r>
          </w:p>
        </w:tc>
        <w:tc>
          <w:tcPr>
            <w:tcW w:w="2331"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2"/>
                <w:numId w:val="7"/>
              </w:numPr>
              <w:suppressAutoHyphens w:val="true"/>
              <w:spacing w:before="0" w:after="0"/>
              <w:contextualSpacing w:val="false"/>
              <w:jc w:val="center"/>
              <w:rPr>
                <w:b/>
                <w:bCs/>
                <w:sz w:val="20"/>
                <w:szCs w:val="20"/>
              </w:rPr>
            </w:pPr>
            <w:r>
              <w:rPr>
                <w:b/>
                <w:bCs/>
                <w:sz w:val="20"/>
                <w:szCs w:val="20"/>
              </w:rPr>
            </w:r>
          </w:p>
        </w:tc>
        <w:tc>
          <w:tcPr>
            <w:tcW w:w="3226" w:type="dxa"/>
            <w:tcBorders/>
          </w:tcPr>
          <w:p>
            <w:pPr>
              <w:pStyle w:val="Normal"/>
              <w:widowControl w:val="false"/>
              <w:suppressAutoHyphens w:val="true"/>
              <w:spacing w:before="0" w:after="0"/>
              <w:jc w:val="left"/>
              <w:rPr>
                <w:lang w:val="ru-RU" w:eastAsia="ru-RU" w:bidi="ar-SA"/>
              </w:rPr>
            </w:pPr>
            <w:r>
              <w:rPr>
                <w:rFonts w:eastAsia="Times New Roman" w:cs="Times New Roman"/>
                <w:kern w:val="0"/>
                <w:sz w:val="20"/>
                <w:szCs w:val="20"/>
                <w:lang w:val="ru-RU" w:eastAsia="ru-RU" w:bidi="ar-SA"/>
              </w:rPr>
              <w:t>Результат оказания услуг</w:t>
            </w:r>
          </w:p>
        </w:tc>
        <w:tc>
          <w:tcPr>
            <w:tcW w:w="4713" w:type="dxa"/>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Уборка снега, скол сосулек с крыш зданий. Обеспечение надлежащего содержания территории в зимний период, обеспечения беспрепятственного прохода людей и проезда транспорта.</w:t>
            </w:r>
          </w:p>
        </w:tc>
        <w:tc>
          <w:tcPr>
            <w:tcW w:w="2331"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Согласие с требованием</w:t>
            </w:r>
          </w:p>
        </w:tc>
        <w:tc>
          <w:tcPr>
            <w:tcW w:w="1818" w:type="dxa"/>
            <w:tcBorders/>
          </w:tcPr>
          <w:p>
            <w:pPr>
              <w:pStyle w:val="Style32"/>
              <w:keepNext w:val="false"/>
              <w:widowControl w:val="false"/>
              <w:numPr>
                <w:ilvl w:val="0"/>
                <w:numId w:val="0"/>
              </w:numPr>
              <w:suppressAutoHyphens w:val="true"/>
              <w:spacing w:before="0" w:after="0"/>
              <w:ind w:left="0" w:hanging="0"/>
              <w:jc w:val="left"/>
              <w:outlineLvl w:val="2"/>
              <w:rPr>
                <w:rFonts w:eastAsia="Times New Roman"/>
                <w:b w:val="false"/>
                <w:sz w:val="20"/>
                <w:szCs w:val="20"/>
                <w:lang w:val="ru-RU" w:eastAsia="ru-RU"/>
              </w:rPr>
            </w:pPr>
            <w:r>
              <w:rPr>
                <w:rFonts w:eastAsia="Times New Roman" w:cs="Times New Roman"/>
                <w:b w:val="false"/>
                <w:kern w:val="0"/>
                <w:sz w:val="20"/>
                <w:szCs w:val="20"/>
                <w:lang w:val="ru-RU" w:eastAsia="ru-RU" w:bidi="ar-SA"/>
              </w:rPr>
            </w:r>
          </w:p>
        </w:tc>
        <w:tc>
          <w:tcPr>
            <w:tcW w:w="1813" w:type="dxa"/>
            <w:tcBorders/>
          </w:tcPr>
          <w:p>
            <w:pPr>
              <w:pStyle w:val="Normal"/>
              <w:widowControl w:val="false"/>
              <w:suppressAutoHyphens w:val="true"/>
              <w:spacing w:before="0" w:after="0"/>
              <w:jc w:val="left"/>
              <w:rPr>
                <w:b/>
                <w:sz w:val="20"/>
                <w:szCs w:val="20"/>
              </w:rPr>
            </w:pPr>
            <w:r>
              <w:rPr>
                <w:b/>
                <w:sz w:val="20"/>
                <w:szCs w:val="20"/>
              </w:rPr>
            </w:r>
          </w:p>
        </w:tc>
      </w:tr>
      <w:tr>
        <w:trPr>
          <w:trHeight w:val="20" w:hRule="atLeast"/>
        </w:trPr>
        <w:tc>
          <w:tcPr>
            <w:tcW w:w="843" w:type="dxa"/>
            <w:tcBorders/>
          </w:tcPr>
          <w:p>
            <w:pPr>
              <w:pStyle w:val="ListParagraph"/>
              <w:widowControl w:val="false"/>
              <w:numPr>
                <w:ilvl w:val="1"/>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vAlign w:val="center"/>
          </w:tcPr>
          <w:p>
            <w:pPr>
              <w:pStyle w:val="Normal"/>
              <w:widowControl w:val="false"/>
              <w:suppressAutoHyphens w:val="true"/>
              <w:spacing w:before="0" w:after="0"/>
              <w:jc w:val="left"/>
              <w:rPr>
                <w:lang w:val="ru-RU"/>
              </w:rPr>
            </w:pPr>
            <w:r>
              <w:rPr>
                <w:rFonts w:eastAsia="Times New Roman" w:cs="Times New Roman"/>
                <w:b/>
                <w:bCs/>
                <w:kern w:val="0"/>
                <w:sz w:val="20"/>
                <w:szCs w:val="20"/>
                <w:lang w:val="ru-RU" w:eastAsia="ru-RU" w:bidi="ar-SA"/>
              </w:rPr>
              <w:t>Требования к приемке результата оказания у</w:t>
            </w:r>
            <w:r>
              <w:rPr>
                <w:rFonts w:eastAsia="Times New Roman" w:cs="Times New Roman"/>
                <w:b/>
                <w:kern w:val="0"/>
                <w:sz w:val="20"/>
                <w:szCs w:val="20"/>
                <w:lang w:val="ru-RU" w:eastAsia="ru-RU" w:bidi="ar-SA"/>
              </w:rPr>
              <w:t>слуг</w:t>
            </w:r>
          </w:p>
        </w:tc>
        <w:tc>
          <w:tcPr>
            <w:tcW w:w="2331"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2"/>
                <w:numId w:val="7"/>
              </w:numPr>
              <w:suppressAutoHyphens w:val="true"/>
              <w:spacing w:before="0" w:after="0"/>
              <w:contextualSpacing w:val="false"/>
              <w:jc w:val="center"/>
              <w:rPr>
                <w:b/>
                <w:bCs/>
                <w:sz w:val="20"/>
                <w:szCs w:val="20"/>
              </w:rPr>
            </w:pPr>
            <w:r>
              <w:rPr>
                <w:b/>
                <w:bCs/>
                <w:sz w:val="20"/>
                <w:szCs w:val="20"/>
              </w:rPr>
            </w:r>
          </w:p>
        </w:tc>
        <w:tc>
          <w:tcPr>
            <w:tcW w:w="3226" w:type="dxa"/>
            <w:tcBorders/>
            <w:vAlign w:val="center"/>
          </w:tcPr>
          <w:p>
            <w:pPr>
              <w:pStyle w:val="Normal"/>
              <w:widowControl w:val="false"/>
              <w:suppressAutoHyphens w:val="true"/>
              <w:spacing w:before="0" w:after="0"/>
              <w:jc w:val="left"/>
              <w:rPr>
                <w:lang w:val="ru-RU"/>
              </w:rPr>
            </w:pPr>
            <w:r>
              <w:rPr>
                <w:rFonts w:eastAsia="Times New Roman" w:cs="Times New Roman"/>
                <w:kern w:val="0"/>
                <w:sz w:val="20"/>
                <w:szCs w:val="20"/>
                <w:lang w:val="ru-RU" w:eastAsia="ru-RU" w:bidi="ar-SA"/>
              </w:rPr>
              <w:t>Мероприятия по приемке оказания услуг</w:t>
            </w:r>
          </w:p>
        </w:tc>
        <w:tc>
          <w:tcPr>
            <w:tcW w:w="4713" w:type="dxa"/>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По результатам оказанных услуг ответственный сотрудник проводит визуальный осмотр. При наличии замечаний оформляется «Ведомость замечаний» и направляется исполнителю</w:t>
            </w:r>
            <w:r>
              <w:rPr>
                <w:rFonts w:eastAsia="Times New Roman" w:cs="Times New Roman"/>
                <w:b/>
                <w:kern w:val="0"/>
                <w:sz w:val="20"/>
                <w:szCs w:val="20"/>
                <w:lang w:val="ru-RU" w:eastAsia="ru-RU" w:bidi="ar-SA"/>
              </w:rPr>
              <w:t>.</w:t>
            </w:r>
          </w:p>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После надлежащего оказания услуг, сторона</w:t>
            </w:r>
            <w:bookmarkStart w:id="32" w:name="_GoBack_Копия_1"/>
            <w:bookmarkEnd w:id="32"/>
            <w:r>
              <w:rPr>
                <w:rFonts w:eastAsia="Times New Roman" w:cs="Times New Roman"/>
                <w:kern w:val="0"/>
                <w:sz w:val="20"/>
                <w:szCs w:val="20"/>
                <w:lang w:val="ru-RU" w:eastAsia="ru-RU" w:bidi="ar-SA"/>
              </w:rPr>
              <w:t>ми подписывает Акт об оказании услуг.</w:t>
            </w:r>
          </w:p>
        </w:tc>
        <w:tc>
          <w:tcPr>
            <w:tcW w:w="2331"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Согласие с требованием</w:t>
            </w:r>
          </w:p>
        </w:tc>
        <w:tc>
          <w:tcPr>
            <w:tcW w:w="1818" w:type="dxa"/>
            <w:tcBorders/>
          </w:tcPr>
          <w:p>
            <w:pPr>
              <w:pStyle w:val="Normal"/>
              <w:widowControl w:val="false"/>
              <w:suppressAutoHyphens w:val="true"/>
              <w:spacing w:before="0" w:after="0"/>
              <w:jc w:val="left"/>
              <w:rPr>
                <w:b/>
                <w:sz w:val="20"/>
                <w:szCs w:val="20"/>
              </w:rPr>
            </w:pPr>
            <w:r>
              <w:rPr>
                <w:b/>
                <w:sz w:val="20"/>
                <w:szCs w:val="20"/>
              </w:rPr>
            </w:r>
          </w:p>
        </w:tc>
        <w:tc>
          <w:tcPr>
            <w:tcW w:w="1813" w:type="dxa"/>
            <w:tcBorders/>
          </w:tcPr>
          <w:p>
            <w:pPr>
              <w:pStyle w:val="Normal"/>
              <w:widowControl w:val="false"/>
              <w:suppressAutoHyphens w:val="true"/>
              <w:spacing w:before="0" w:after="0"/>
              <w:jc w:val="left"/>
              <w:rPr>
                <w:b/>
                <w:sz w:val="20"/>
                <w:szCs w:val="20"/>
              </w:rPr>
            </w:pPr>
            <w:r>
              <w:rPr>
                <w:b/>
                <w:sz w:val="20"/>
                <w:szCs w:val="20"/>
              </w:rPr>
            </w:r>
          </w:p>
        </w:tc>
      </w:tr>
      <w:tr>
        <w:trPr>
          <w:trHeight w:val="20" w:hRule="atLeast"/>
        </w:trPr>
        <w:tc>
          <w:tcPr>
            <w:tcW w:w="843" w:type="dxa"/>
            <w:tcBorders/>
          </w:tcPr>
          <w:p>
            <w:pPr>
              <w:pStyle w:val="ListParagraph"/>
              <w:widowControl w:val="false"/>
              <w:numPr>
                <w:ilvl w:val="1"/>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vAlign w:val="center"/>
          </w:tcPr>
          <w:p>
            <w:pPr>
              <w:pStyle w:val="Normal"/>
              <w:widowControl w:val="false"/>
              <w:suppressAutoHyphens w:val="true"/>
              <w:spacing w:before="0" w:after="0"/>
              <w:jc w:val="left"/>
              <w:rPr>
                <w:lang w:val="ru-RU"/>
              </w:rPr>
            </w:pPr>
            <w:r>
              <w:rPr>
                <w:rFonts w:eastAsia="Times New Roman" w:cs="Times New Roman"/>
                <w:b/>
                <w:kern w:val="0"/>
                <w:sz w:val="20"/>
                <w:szCs w:val="20"/>
                <w:lang w:val="ru-RU" w:eastAsia="ru-RU" w:bidi="ar-SA"/>
              </w:rPr>
              <w:t>Требования к документации, описывающей результат оказания услуг</w:t>
            </w:r>
          </w:p>
        </w:tc>
        <w:tc>
          <w:tcPr>
            <w:tcW w:w="2331"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8"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2"/>
                <w:numId w:val="7"/>
              </w:numPr>
              <w:suppressAutoHyphens w:val="true"/>
              <w:spacing w:before="0" w:after="0"/>
              <w:contextualSpacing w:val="false"/>
              <w:jc w:val="center"/>
              <w:rPr>
                <w:b/>
                <w:bCs/>
                <w:sz w:val="20"/>
                <w:szCs w:val="20"/>
              </w:rPr>
            </w:pPr>
            <w:r>
              <w:rPr>
                <w:b/>
                <w:bCs/>
                <w:sz w:val="20"/>
                <w:szCs w:val="20"/>
              </w:rPr>
            </w:r>
          </w:p>
        </w:tc>
        <w:tc>
          <w:tcPr>
            <w:tcW w:w="3226" w:type="dxa"/>
            <w:tcBorders/>
          </w:tcPr>
          <w:p>
            <w:pPr>
              <w:pStyle w:val="Normal"/>
              <w:widowControl w:val="false"/>
              <w:suppressAutoHyphens w:val="true"/>
              <w:spacing w:before="0" w:after="0"/>
              <w:jc w:val="left"/>
              <w:rPr>
                <w:lang w:val="ru-RU"/>
              </w:rPr>
            </w:pPr>
            <w:r>
              <w:rPr>
                <w:rFonts w:eastAsia="Times New Roman" w:cs="Times New Roman"/>
                <w:kern w:val="0"/>
                <w:sz w:val="20"/>
                <w:szCs w:val="20"/>
                <w:lang w:val="ru-RU" w:eastAsia="ru-RU" w:bidi="ar-SA"/>
              </w:rPr>
              <w:t>Документы, передаваемые Заказчику по результатам оказанных услуг</w:t>
            </w:r>
          </w:p>
        </w:tc>
        <w:tc>
          <w:tcPr>
            <w:tcW w:w="4713" w:type="dxa"/>
            <w:tcBorders/>
            <w:vAlign w:val="center"/>
          </w:tcPr>
          <w:p>
            <w:pPr>
              <w:pStyle w:val="Normal"/>
              <w:widowControl w:val="false"/>
              <w:suppressAutoHyphens w:val="true"/>
              <w:spacing w:before="0" w:after="0"/>
              <w:jc w:val="both"/>
              <w:rPr>
                <w:lang w:val="ru-RU"/>
              </w:rPr>
            </w:pPr>
            <w:r>
              <w:rPr>
                <w:rFonts w:eastAsia="Times New Roman" w:cs="Times New Roman"/>
                <w:kern w:val="0"/>
                <w:sz w:val="20"/>
                <w:szCs w:val="20"/>
                <w:lang w:val="ru-RU" w:eastAsia="ru-RU" w:bidi="ar-SA"/>
              </w:rPr>
              <w:t>По окончании оказания Услуг / Услуг по Заявке / (в определенный период) Исполнитель в течение 2 (двух) рабочих дней предоставляет Заказчику подписанные со своей стороны в 2 (двух) экземплярах Акты об оказании Услуг с приложением Отчета об оказании Услуг и иных отчетных документов.</w:t>
            </w:r>
          </w:p>
          <w:p>
            <w:pPr>
              <w:pStyle w:val="ListParagraph"/>
              <w:widowControl w:val="false"/>
              <w:suppressAutoHyphens w:val="true"/>
              <w:spacing w:before="0" w:after="0"/>
              <w:ind w:left="0" w:hanging="0"/>
              <w:contextualSpacing w:val="false"/>
              <w:jc w:val="both"/>
              <w:rPr>
                <w:rFonts w:ascii="Times New Roman" w:hAnsi="Times New Roman" w:eastAsia="Times New Roman" w:cs="Times New Roman"/>
                <w:kern w:val="0"/>
                <w:lang w:eastAsia="ru-RU" w:bidi="ar-SA"/>
              </w:rPr>
            </w:pPr>
            <w:r>
              <w:rPr>
                <w:rFonts w:eastAsia="Times New Roman" w:cs="Times New Roman"/>
                <w:iCs/>
                <w:kern w:val="0"/>
                <w:sz w:val="20"/>
                <w:szCs w:val="20"/>
                <w:lang w:eastAsia="ru-RU" w:bidi="ar-SA"/>
              </w:rPr>
              <w:t>Услуги, оказанные Исполнителем, считаются принятыми Заказчиком с момента подписания актов оказания услуг.</w:t>
            </w:r>
          </w:p>
          <w:p>
            <w:pPr>
              <w:pStyle w:val="Normal"/>
              <w:widowControl w:val="false"/>
              <w:suppressAutoHyphens w:val="true"/>
              <w:spacing w:before="0" w:after="0"/>
              <w:jc w:val="both"/>
              <w:rPr>
                <w:lang w:val="ru-RU"/>
              </w:rPr>
            </w:pPr>
            <w:r>
              <w:rPr>
                <w:rFonts w:eastAsia="Times New Roman" w:cs="Times New Roman"/>
                <w:iCs/>
                <w:kern w:val="0"/>
                <w:sz w:val="20"/>
                <w:szCs w:val="20"/>
                <w:lang w:val="ru-RU" w:eastAsia="ru-RU" w:bidi="ar-SA"/>
              </w:rPr>
              <w:t>Исполнитель оформляет отчетную и исполнительную документации, по форме, указанной в Приложениях к договору.</w:t>
            </w:r>
          </w:p>
        </w:tc>
        <w:tc>
          <w:tcPr>
            <w:tcW w:w="2331"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Согласие с требованием</w:t>
            </w:r>
          </w:p>
        </w:tc>
        <w:tc>
          <w:tcPr>
            <w:tcW w:w="1818" w:type="dxa"/>
            <w:tcBorders/>
          </w:tcPr>
          <w:p>
            <w:pPr>
              <w:pStyle w:val="Style32"/>
              <w:keepNext w:val="false"/>
              <w:widowControl w:val="false"/>
              <w:numPr>
                <w:ilvl w:val="0"/>
                <w:numId w:val="0"/>
              </w:numPr>
              <w:suppressAutoHyphens w:val="true"/>
              <w:spacing w:before="0" w:after="0"/>
              <w:ind w:left="0" w:hanging="0"/>
              <w:jc w:val="left"/>
              <w:outlineLvl w:val="2"/>
              <w:rPr>
                <w:rFonts w:eastAsia="Times New Roman"/>
                <w:sz w:val="20"/>
                <w:szCs w:val="20"/>
                <w:lang w:val="ru-RU" w:eastAsia="ru-RU"/>
              </w:rPr>
            </w:pPr>
            <w:r>
              <w:rPr>
                <w:rFonts w:eastAsia="Times New Roman" w:cs="Times New Roman"/>
                <w:kern w:val="0"/>
                <w:sz w:val="20"/>
                <w:szCs w:val="20"/>
                <w:lang w:val="ru-RU" w:eastAsia="ru-RU" w:bidi="ar-SA"/>
              </w:rPr>
            </w:r>
          </w:p>
        </w:tc>
        <w:tc>
          <w:tcPr>
            <w:tcW w:w="1813" w:type="dxa"/>
            <w:tcBorders/>
          </w:tcPr>
          <w:p>
            <w:pPr>
              <w:pStyle w:val="Style32"/>
              <w:keepNext w:val="false"/>
              <w:widowControl w:val="false"/>
              <w:numPr>
                <w:ilvl w:val="0"/>
                <w:numId w:val="0"/>
              </w:numPr>
              <w:suppressAutoHyphens w:val="true"/>
              <w:spacing w:before="0" w:after="0"/>
              <w:ind w:left="0" w:hanging="0"/>
              <w:jc w:val="left"/>
              <w:outlineLvl w:val="2"/>
              <w:rPr>
                <w:rFonts w:eastAsia="Times New Roman"/>
                <w:sz w:val="20"/>
                <w:szCs w:val="20"/>
                <w:lang w:val="ru-RU" w:eastAsia="ru-RU"/>
              </w:rPr>
            </w:pPr>
            <w:r>
              <w:rPr>
                <w:rFonts w:eastAsia="Times New Roman" w:cs="Times New Roman"/>
                <w:kern w:val="0"/>
                <w:sz w:val="20"/>
                <w:szCs w:val="20"/>
                <w:lang w:val="ru-RU" w:eastAsia="ru-RU" w:bidi="ar-SA"/>
              </w:rPr>
            </w:r>
          </w:p>
        </w:tc>
      </w:tr>
      <w:tr>
        <w:trPr>
          <w:trHeight w:val="20" w:hRule="atLeast"/>
        </w:trPr>
        <w:tc>
          <w:tcPr>
            <w:tcW w:w="843" w:type="dxa"/>
            <w:tcBorders/>
          </w:tcPr>
          <w:p>
            <w:pPr>
              <w:pStyle w:val="ListParagraph"/>
              <w:widowControl w:val="false"/>
              <w:numPr>
                <w:ilvl w:val="0"/>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vAlign w:val="center"/>
          </w:tcPr>
          <w:p>
            <w:pPr>
              <w:pStyle w:val="Normal"/>
              <w:widowControl w:val="false"/>
              <w:suppressAutoHyphens w:val="true"/>
              <w:spacing w:before="0" w:after="0"/>
              <w:jc w:val="both"/>
              <w:rPr>
                <w:lang w:val="ru-RU"/>
              </w:rPr>
            </w:pPr>
            <w:r>
              <w:rPr>
                <w:rFonts w:eastAsia="Times New Roman" w:cs="Times New Roman"/>
                <w:b/>
                <w:kern w:val="0"/>
                <w:sz w:val="20"/>
                <w:szCs w:val="20"/>
                <w:lang w:val="ru-RU" w:eastAsia="ru-RU" w:bidi="ar-SA"/>
              </w:rPr>
              <w:t>Требования к ответственности и гарантиям исполнителя</w:t>
            </w:r>
          </w:p>
        </w:tc>
        <w:tc>
          <w:tcPr>
            <w:tcW w:w="2331"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w:t>
            </w:r>
          </w:p>
        </w:tc>
        <w:tc>
          <w:tcPr>
            <w:tcW w:w="1818" w:type="dxa"/>
            <w:tcBorders/>
            <w:vAlign w:val="center"/>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c>
          <w:tcPr>
            <w:tcW w:w="1813" w:type="dxa"/>
            <w:tcBorders/>
          </w:tcPr>
          <w:p>
            <w:pPr>
              <w:pStyle w:val="Normal"/>
              <w:keepNext w:val="true"/>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b/>
                <w:kern w:val="0"/>
                <w:sz w:val="20"/>
                <w:szCs w:val="20"/>
                <w:lang w:eastAsia="ru-RU" w:bidi="ar-SA"/>
              </w:rPr>
              <w:t>-//-</w:t>
            </w:r>
          </w:p>
        </w:tc>
      </w:tr>
      <w:tr>
        <w:trPr>
          <w:trHeight w:val="20" w:hRule="atLeast"/>
        </w:trPr>
        <w:tc>
          <w:tcPr>
            <w:tcW w:w="843" w:type="dxa"/>
            <w:tcBorders/>
          </w:tcPr>
          <w:p>
            <w:pPr>
              <w:pStyle w:val="ListParagraph"/>
              <w:widowControl w:val="false"/>
              <w:numPr>
                <w:ilvl w:val="2"/>
                <w:numId w:val="7"/>
              </w:numPr>
              <w:suppressAutoHyphens w:val="true"/>
              <w:spacing w:before="0" w:after="0"/>
              <w:contextualSpacing w:val="false"/>
              <w:jc w:val="center"/>
              <w:rPr>
                <w:b/>
                <w:bCs/>
                <w:sz w:val="20"/>
                <w:szCs w:val="20"/>
              </w:rPr>
            </w:pPr>
            <w:r>
              <w:rPr>
                <w:b/>
                <w:bCs/>
                <w:sz w:val="20"/>
                <w:szCs w:val="20"/>
              </w:rPr>
            </w:r>
          </w:p>
        </w:tc>
        <w:tc>
          <w:tcPr>
            <w:tcW w:w="7939" w:type="dxa"/>
            <w:gridSpan w:val="2"/>
            <w:tcBorders/>
          </w:tcPr>
          <w:p>
            <w:pPr>
              <w:pStyle w:val="Normal"/>
              <w:widowControl w:val="false"/>
              <w:suppressAutoHyphens w:val="true"/>
              <w:spacing w:before="0" w:after="0"/>
              <w:jc w:val="both"/>
              <w:rPr>
                <w:lang w:val="ru-RU"/>
              </w:rPr>
            </w:pPr>
            <w:r>
              <w:rPr>
                <w:rFonts w:eastAsia="Times New Roman" w:cs="Times New Roman"/>
                <w:kern w:val="0"/>
                <w:sz w:val="20"/>
                <w:szCs w:val="20"/>
                <w:lang w:val="ru-RU" w:eastAsia="x-none" w:bidi="ar-SA"/>
              </w:rPr>
              <w:t>При обнаружении дефектов кровли в акте производится подробное описание обнаруженных дефектов. При отказе Исполнителя от подписания акта Заказчик имеет право составить такой акт самостоятельно.</w:t>
            </w:r>
          </w:p>
          <w:p>
            <w:pPr>
              <w:pStyle w:val="ListParagraph"/>
              <w:widowControl w:val="false"/>
              <w:suppressAutoHyphens w:val="true"/>
              <w:spacing w:before="0" w:after="0"/>
              <w:ind w:left="0" w:hanging="0"/>
              <w:contextualSpacing w:val="false"/>
              <w:jc w:val="both"/>
              <w:rPr>
                <w:rFonts w:ascii="Times New Roman" w:hAnsi="Times New Roman" w:eastAsia="Times New Roman" w:cs="Times New Roman"/>
                <w:kern w:val="0"/>
                <w:lang w:bidi="ar-SA"/>
              </w:rPr>
            </w:pPr>
            <w:r>
              <w:rPr>
                <w:rFonts w:eastAsia="Times New Roman" w:cs="Times New Roman"/>
                <w:kern w:val="0"/>
                <w:sz w:val="20"/>
                <w:szCs w:val="20"/>
                <w:lang w:eastAsia="x-none" w:bidi="ar-SA"/>
              </w:rPr>
              <w:t>В случае повреждения кровли Исполнитель в течение 20 календарных дней после составления акта, за свой счет производит устранение имеющихся дефектов кровельного покрытия.</w:t>
            </w:r>
          </w:p>
          <w:p>
            <w:pPr>
              <w:pStyle w:val="ListParagraph"/>
              <w:widowControl w:val="false"/>
              <w:suppressAutoHyphens w:val="true"/>
              <w:spacing w:before="0" w:after="0"/>
              <w:ind w:left="0" w:hanging="0"/>
              <w:contextualSpacing w:val="false"/>
              <w:jc w:val="both"/>
              <w:rPr>
                <w:rFonts w:ascii="Times New Roman" w:hAnsi="Times New Roman" w:eastAsia="Times New Roman" w:cs="Times New Roman"/>
                <w:kern w:val="0"/>
                <w:lang w:bidi="ar-SA"/>
              </w:rPr>
            </w:pPr>
            <w:r>
              <w:rPr>
                <w:rFonts w:eastAsia="Times New Roman" w:cs="Times New Roman"/>
                <w:kern w:val="0"/>
                <w:sz w:val="20"/>
                <w:szCs w:val="20"/>
                <w:lang w:eastAsia="x-none" w:bidi="ar-SA"/>
              </w:rPr>
              <w:t>В случае если объекту работ был причинен ущерб либо порча, Исполнитель обязан по выбору Заказчика самостоятельно за свой счет восстановить поврежденный объект, произведя необходимые работы, либо возместить Заказчику расходы, связанные с восстановлением объекта работ силами третьих лиц, либо компенсировать понесенные Заказчиком убытки (реальный ущерб в размере страховой оценки объекта и упущенная выгода). В случае если Объект был уничтожен, утрачен (похищен или утерян) или же причиненные ему повреждения исключают возможность восстановления, Исполнитель обязан возместить Заказчику убытки, вызванные случайной гибелью или случайным повреждением Объекта, произошедшим до момента приемки Заказчиком работ, предусмотренных настоящим договором.</w:t>
            </w:r>
          </w:p>
          <w:p>
            <w:pPr>
              <w:pStyle w:val="ListParagraph"/>
              <w:widowControl w:val="false"/>
              <w:suppressAutoHyphens w:val="true"/>
              <w:spacing w:before="0" w:after="0"/>
              <w:ind w:left="0" w:hanging="0"/>
              <w:contextualSpacing w:val="false"/>
              <w:jc w:val="both"/>
              <w:rPr>
                <w:rFonts w:ascii="Times New Roman" w:hAnsi="Times New Roman" w:eastAsia="Times New Roman" w:cs="Times New Roman"/>
                <w:kern w:val="0"/>
                <w:lang w:bidi="ar-SA"/>
              </w:rPr>
            </w:pPr>
            <w:r>
              <w:rPr>
                <w:rFonts w:eastAsia="Times New Roman" w:cs="Times New Roman"/>
                <w:kern w:val="0"/>
                <w:lang w:bidi="ar-SA"/>
              </w:rPr>
            </w:r>
          </w:p>
        </w:tc>
        <w:tc>
          <w:tcPr>
            <w:tcW w:w="2331"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eastAsia="ru-RU" w:bidi="ar-SA"/>
              </w:rPr>
            </w:pPr>
            <w:r>
              <w:rPr>
                <w:rFonts w:eastAsia="Times New Roman" w:cs="Times New Roman"/>
                <w:kern w:val="0"/>
                <w:sz w:val="20"/>
                <w:szCs w:val="20"/>
                <w:lang w:eastAsia="ru-RU" w:bidi="ar-SA"/>
              </w:rPr>
              <w:t>Согласие с требованием</w:t>
            </w:r>
          </w:p>
        </w:tc>
        <w:tc>
          <w:tcPr>
            <w:tcW w:w="1818" w:type="dxa"/>
            <w:tcBorders/>
          </w:tcPr>
          <w:p>
            <w:pPr>
              <w:pStyle w:val="Normal"/>
              <w:widowControl w:val="false"/>
              <w:suppressAutoHyphens w:val="true"/>
              <w:spacing w:before="0" w:after="0"/>
              <w:jc w:val="left"/>
              <w:rPr>
                <w:b/>
                <w:bCs/>
                <w:sz w:val="20"/>
                <w:szCs w:val="20"/>
              </w:rPr>
            </w:pPr>
            <w:r>
              <w:rPr>
                <w:b/>
                <w:bCs/>
                <w:sz w:val="20"/>
                <w:szCs w:val="20"/>
              </w:rPr>
            </w:r>
          </w:p>
        </w:tc>
        <w:tc>
          <w:tcPr>
            <w:tcW w:w="1813" w:type="dxa"/>
            <w:tcBorders/>
          </w:tcPr>
          <w:p>
            <w:pPr>
              <w:pStyle w:val="Style32"/>
              <w:keepNext w:val="false"/>
              <w:widowControl w:val="false"/>
              <w:numPr>
                <w:ilvl w:val="0"/>
                <w:numId w:val="0"/>
              </w:numPr>
              <w:suppressAutoHyphens w:val="true"/>
              <w:spacing w:before="0" w:after="0"/>
              <w:ind w:left="0" w:hanging="0"/>
              <w:jc w:val="left"/>
              <w:outlineLvl w:val="2"/>
              <w:rPr>
                <w:rFonts w:eastAsia="Times New Roman"/>
                <w:b w:val="false"/>
                <w:bCs/>
                <w:sz w:val="20"/>
                <w:szCs w:val="20"/>
                <w:lang w:val="ru-RU" w:eastAsia="ru-RU"/>
              </w:rPr>
            </w:pPr>
            <w:r>
              <w:rPr>
                <w:rFonts w:eastAsia="Times New Roman" w:cs="Times New Roman"/>
                <w:b w:val="false"/>
                <w:bCs/>
                <w:kern w:val="0"/>
                <w:sz w:val="20"/>
                <w:szCs w:val="20"/>
                <w:lang w:val="ru-RU" w:eastAsia="ru-RU" w:bidi="ar-SA"/>
              </w:rPr>
            </w:r>
          </w:p>
        </w:tc>
      </w:tr>
      <w:tr>
        <w:trPr>
          <w:trHeight w:val="1551" w:hRule="atLeast"/>
        </w:trPr>
        <w:tc>
          <w:tcPr>
            <w:tcW w:w="843" w:type="dxa"/>
            <w:tcBorders>
              <w:top w:val="nil"/>
            </w:tcBorders>
          </w:tcPr>
          <w:p>
            <w:pPr>
              <w:pStyle w:val="ListParagraph"/>
              <w:widowControl w:val="false"/>
              <w:numPr>
                <w:ilvl w:val="0"/>
                <w:numId w:val="7"/>
              </w:numPr>
              <w:suppressAutoHyphens w:val="true"/>
              <w:spacing w:before="0" w:after="0"/>
              <w:contextualSpacing w:val="false"/>
              <w:jc w:val="center"/>
              <w:rPr>
                <w:b/>
                <w:bCs/>
                <w:sz w:val="20"/>
                <w:szCs w:val="20"/>
              </w:rPr>
            </w:pPr>
            <w:r>
              <w:rPr>
                <w:b/>
                <w:bCs/>
                <w:sz w:val="20"/>
                <w:szCs w:val="20"/>
              </w:rPr>
            </w:r>
          </w:p>
        </w:tc>
        <w:tc>
          <w:tcPr>
            <w:tcW w:w="3226" w:type="dxa"/>
            <w:tcBorders>
              <w:top w:val="nil"/>
            </w:tcBorders>
            <w:shd w:color="auto" w:fill="auto" w:val="clear"/>
            <w:vAlign w:val="center"/>
          </w:tcPr>
          <w:p>
            <w:pPr>
              <w:pStyle w:val="Normal"/>
              <w:widowControl w:val="false"/>
              <w:suppressAutoHyphens w:val="true"/>
              <w:spacing w:before="0" w:after="0"/>
              <w:jc w:val="both"/>
              <w:rPr>
                <w:lang w:val="ru-RU"/>
              </w:rPr>
            </w:pPr>
            <w:r>
              <w:rPr>
                <w:rFonts w:eastAsia="Times New Roman" w:cs="Times New Roman"/>
                <w:b/>
                <w:kern w:val="0"/>
                <w:sz w:val="20"/>
                <w:szCs w:val="20"/>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c>
          <w:tcPr>
            <w:tcW w:w="4713" w:type="dxa"/>
            <w:tcBorders>
              <w:top w:val="nil"/>
            </w:tcBorders>
            <w:shd w:color="auto" w:fill="auto" w:val="clear"/>
            <w:vAlign w:val="center"/>
          </w:tcPr>
          <w:p>
            <w:pPr>
              <w:pStyle w:val="Normal"/>
              <w:widowControl w:val="false"/>
              <w:suppressAutoHyphens w:val="true"/>
              <w:spacing w:before="0" w:after="0"/>
              <w:jc w:val="both"/>
              <w:rPr>
                <w:rFonts w:ascii="Times New Roman" w:hAnsi="Times New Roman" w:eastAsia="Times New Roman" w:cs="Times New Roman"/>
                <w:kern w:val="0"/>
                <w:lang w:bidi="ar-SA"/>
              </w:rPr>
            </w:pPr>
            <w:r>
              <w:rPr>
                <w:rFonts w:eastAsia="Times New Roman" w:cs="Times New Roman"/>
                <w:kern w:val="0"/>
                <w:sz w:val="20"/>
                <w:szCs w:val="20"/>
                <w:lang w:eastAsia="x-none" w:bidi="ar-SA"/>
              </w:rPr>
              <w:t>В соответствии с п 1.6.3 настоящих ТТ</w:t>
            </w:r>
          </w:p>
          <w:p>
            <w:pPr>
              <w:pStyle w:val="Normal"/>
              <w:widowControl w:val="false"/>
              <w:suppressAutoHyphens w:val="true"/>
              <w:spacing w:before="0" w:after="0"/>
              <w:jc w:val="both"/>
              <w:rPr>
                <w:bCs/>
                <w:sz w:val="20"/>
                <w:szCs w:val="20"/>
              </w:rPr>
            </w:pPr>
            <w:r>
              <w:rPr>
                <w:bCs/>
                <w:sz w:val="20"/>
                <w:szCs w:val="20"/>
              </w:rPr>
            </w:r>
          </w:p>
        </w:tc>
        <w:tc>
          <w:tcPr>
            <w:tcW w:w="2331" w:type="dxa"/>
            <w:tcBorders>
              <w:top w:val="nil"/>
            </w:tcBorders>
            <w:vAlign w:val="center"/>
          </w:tcPr>
          <w:p>
            <w:pPr>
              <w:pStyle w:val="Normal"/>
              <w:widowControl w:val="false"/>
              <w:suppressAutoHyphens w:val="true"/>
              <w:spacing w:before="0" w:after="0"/>
              <w:jc w:val="center"/>
              <w:rPr>
                <w:sz w:val="20"/>
                <w:szCs w:val="20"/>
              </w:rPr>
            </w:pPr>
            <w:r>
              <w:rPr>
                <w:sz w:val="20"/>
                <w:szCs w:val="20"/>
              </w:rPr>
            </w:r>
          </w:p>
        </w:tc>
        <w:tc>
          <w:tcPr>
            <w:tcW w:w="1818" w:type="dxa"/>
            <w:tcBorders>
              <w:top w:val="nil"/>
            </w:tcBorders>
          </w:tcPr>
          <w:p>
            <w:pPr>
              <w:pStyle w:val="Style32"/>
              <w:keepNext w:val="false"/>
              <w:widowControl w:val="false"/>
              <w:numPr>
                <w:ilvl w:val="0"/>
                <w:numId w:val="0"/>
              </w:numPr>
              <w:suppressAutoHyphens w:val="true"/>
              <w:spacing w:before="0" w:after="0"/>
              <w:ind w:left="0" w:hanging="0"/>
              <w:jc w:val="left"/>
              <w:outlineLvl w:val="2"/>
              <w:rPr>
                <w:rFonts w:eastAsia="Times New Roman"/>
                <w:sz w:val="20"/>
                <w:szCs w:val="20"/>
                <w:lang w:val="ru-RU" w:eastAsia="ru-RU"/>
              </w:rPr>
            </w:pPr>
            <w:r>
              <w:rPr>
                <w:rFonts w:eastAsia="Times New Roman" w:cs="Times New Roman"/>
                <w:kern w:val="0"/>
                <w:sz w:val="20"/>
                <w:szCs w:val="20"/>
                <w:lang w:val="ru-RU" w:eastAsia="ru-RU" w:bidi="ar-SA"/>
              </w:rPr>
            </w:r>
          </w:p>
        </w:tc>
        <w:tc>
          <w:tcPr>
            <w:tcW w:w="1813" w:type="dxa"/>
            <w:tcBorders>
              <w:top w:val="nil"/>
            </w:tcBorders>
          </w:tcPr>
          <w:p>
            <w:pPr>
              <w:pStyle w:val="Style32"/>
              <w:keepNext w:val="false"/>
              <w:widowControl w:val="false"/>
              <w:numPr>
                <w:ilvl w:val="0"/>
                <w:numId w:val="0"/>
              </w:numPr>
              <w:suppressAutoHyphens w:val="true"/>
              <w:spacing w:before="0" w:after="0"/>
              <w:ind w:left="0" w:hanging="0"/>
              <w:jc w:val="left"/>
              <w:outlineLvl w:val="2"/>
              <w:rPr>
                <w:rFonts w:eastAsia="Times New Roman"/>
                <w:sz w:val="20"/>
                <w:szCs w:val="20"/>
                <w:lang w:val="ru-RU" w:eastAsia="ru-RU"/>
              </w:rPr>
            </w:pPr>
            <w:r>
              <w:rPr>
                <w:rFonts w:eastAsia="Times New Roman" w:cs="Times New Roman"/>
                <w:kern w:val="0"/>
                <w:sz w:val="20"/>
                <w:szCs w:val="20"/>
                <w:lang w:val="ru-RU" w:eastAsia="ru-RU" w:bidi="ar-SA"/>
              </w:rPr>
            </w:r>
          </w:p>
        </w:tc>
      </w:tr>
    </w:tbl>
    <w:p>
      <w:pPr>
        <w:pStyle w:val="Normal"/>
        <w:rPr>
          <w:lang w:val="ru-RU"/>
        </w:rPr>
      </w:pPr>
      <w:r>
        <w:rPr>
          <w:lang w:val="ru-RU"/>
        </w:rPr>
      </w:r>
    </w:p>
    <w:p>
      <w:pPr>
        <w:sectPr>
          <w:headerReference w:type="default" r:id="rId5"/>
          <w:headerReference w:type="first" r:id="rId6"/>
          <w:footerReference w:type="default" r:id="rId7"/>
          <w:footerReference w:type="first" r:id="rId8"/>
          <w:type w:val="nextPage"/>
          <w:pgSz w:orient="landscape" w:w="16838" w:h="11906"/>
          <w:pgMar w:left="1134" w:right="1134" w:gutter="0" w:header="567" w:top="1134" w:footer="709" w:bottom="766"/>
          <w:pgNumType w:fmt="decimal"/>
          <w:formProt w:val="false"/>
          <w:textDirection w:val="lrTb"/>
          <w:docGrid w:type="default" w:linePitch="360" w:charSpace="0"/>
        </w:sectPr>
        <w:pStyle w:val="Normal"/>
        <w:jc w:val="center"/>
        <w:rPr>
          <w:b/>
          <w:bCs/>
          <w:lang w:val="ru-RU"/>
        </w:rPr>
      </w:pPr>
      <w:r>
        <w:rPr>
          <w:b/>
          <w:lang w:val="ru-RU"/>
        </w:rPr>
        <w:t xml:space="preserve"> </w:t>
      </w:r>
    </w:p>
    <w:p>
      <w:pPr>
        <w:pStyle w:val="ListParagraph"/>
        <w:ind w:left="0" w:hanging="0"/>
        <w:jc w:val="center"/>
        <w:rPr>
          <w:sz w:val="24"/>
          <w:szCs w:val="24"/>
        </w:rPr>
      </w:pPr>
      <w:r>
        <w:rPr>
          <w:b/>
          <w:bCs/>
          <w:sz w:val="24"/>
          <w:szCs w:val="24"/>
        </w:rPr>
        <w:t>3.</w:t>
      </w:r>
      <w:bookmarkStart w:id="33" w:name="_Toc54643710"/>
      <w:bookmarkStart w:id="34" w:name="_Toc46743519"/>
      <w:bookmarkStart w:id="35" w:name="_Toc51339699"/>
      <w:bookmarkStart w:id="36" w:name="_Toc53393312"/>
      <w:bookmarkStart w:id="37" w:name="_Toc53395937"/>
      <w:r>
        <w:rPr>
          <w:b/>
          <w:bCs/>
          <w:sz w:val="24"/>
          <w:szCs w:val="24"/>
        </w:rPr>
        <w:t>Требования к документации по ценообразованию</w:t>
      </w:r>
      <w:bookmarkEnd w:id="36"/>
      <w:bookmarkEnd w:id="37"/>
      <w:r>
        <w:rPr>
          <w:b/>
          <w:bCs/>
          <w:sz w:val="24"/>
          <w:szCs w:val="24"/>
        </w:rPr>
        <w:t xml:space="preserve"> на этапе закупки</w:t>
      </w:r>
      <w:bookmarkEnd w:id="33"/>
      <w:bookmarkEnd w:id="34"/>
      <w:bookmarkEnd w:id="35"/>
    </w:p>
    <w:p>
      <w:pPr>
        <w:pStyle w:val="ListParagraph"/>
        <w:ind w:left="0" w:right="0" w:firstLine="709"/>
        <w:jc w:val="both"/>
        <w:rPr/>
      </w:pPr>
      <w:r>
        <w:rPr/>
        <w:t>3.1 В обоснование стоимости своей заявки Участник предоставляет Коммерческое предложение, по установленным в Документации о закупке формам (с учетом прилагаемых к ним инструкций по заполнению).</w:t>
      </w:r>
    </w:p>
    <w:p>
      <w:pPr>
        <w:pStyle w:val="ListParagraph"/>
        <w:ind w:left="0" w:right="0" w:firstLine="709"/>
        <w:jc w:val="both"/>
        <w:rPr/>
      </w:pPr>
      <w:r>
        <w:rPr>
          <w:bCs/>
        </w:rPr>
        <w:t>3.2 Стоимость за единицу продукции (услуги) должна включать в себя налоги, сборы, пошлины и другие обязательные платежи, стоимость расходных материалов, используемых при оказании услуг, расходы на содержание, эксплуатацию, перебазировку спецоборудования и инструментов, и прочие расходы, связанные с оказанием услуг, предусмотренные Проектом договора.</w:t>
      </w:r>
    </w:p>
    <w:p>
      <w:pPr>
        <w:pStyle w:val="Normal"/>
        <w:widowControl w:val="false"/>
        <w:snapToGrid w:val="false"/>
        <w:rPr>
          <w:rFonts w:cs="Calibri"/>
          <w:b/>
          <w:bCs/>
          <w:color w:val="000000"/>
          <w:szCs w:val="22"/>
          <w:lang w:val="ru-RU" w:eastAsia="en-US" w:bidi="en-US"/>
        </w:rPr>
      </w:pPr>
      <w:r>
        <w:rPr>
          <w:rFonts w:cs="Calibri"/>
          <w:b/>
          <w:bCs/>
          <w:color w:val="000000"/>
          <w:szCs w:val="22"/>
          <w:lang w:val="ru-RU" w:eastAsia="en-US" w:bidi="en-US"/>
        </w:rPr>
      </w:r>
    </w:p>
    <w:p>
      <w:pPr>
        <w:pStyle w:val="Normal"/>
        <w:ind w:firstLine="709"/>
        <w:jc w:val="both"/>
        <w:rPr>
          <w:lang w:val="ru-RU"/>
        </w:rPr>
      </w:pPr>
      <w:r>
        <w:rPr>
          <w:rFonts w:cs="Calibri"/>
          <w:b/>
          <w:bCs/>
          <w:color w:val="000000"/>
          <w:lang w:val="ru-RU" w:eastAsia="en-US" w:bidi="en-US"/>
        </w:rPr>
        <w:t>4.Требования к документации по ценообразованию на этапе заключения (исполнения) договора</w:t>
      </w:r>
    </w:p>
    <w:p>
      <w:pPr>
        <w:pStyle w:val="Normal"/>
        <w:spacing w:lineRule="atLeast" w:line="17" w:before="0" w:after="0"/>
        <w:ind w:left="0" w:right="0" w:firstLine="709"/>
        <w:jc w:val="both"/>
        <w:rPr/>
      </w:pPr>
      <w:r>
        <w:rPr>
          <w:rFonts w:eastAsia="Tempora LGC Uni"/>
          <w:sz w:val="24"/>
          <w:szCs w:val="24"/>
          <w:lang w:val="ru-RU"/>
        </w:rPr>
        <w:t xml:space="preserve">4.1. </w:t>
      </w:r>
      <w:r>
        <w:rPr>
          <w:rFonts w:eastAsia="Tempora LGC Uni"/>
          <w:sz w:val="24"/>
          <w:szCs w:val="24"/>
          <w:lang w:val="ru-RU"/>
        </w:rPr>
        <w:t>По результатам настоящей закупки заключается договор с предельной ценой, предложенной Участником закупки, который был признан Победителем, заявка которого соответствовала требованиям ТТ и содержала наиболее низкую цену.</w:t>
      </w:r>
    </w:p>
    <w:p>
      <w:pPr>
        <w:pStyle w:val="Normal"/>
        <w:ind w:firstLine="709"/>
        <w:rPr>
          <w:rFonts w:cs="Calibri"/>
          <w:color w:val="000000"/>
          <w:szCs w:val="22"/>
          <w:lang w:val="ru-RU" w:eastAsia="en-US" w:bidi="en-US"/>
          <w14:ligatures w14:val="standardContextual"/>
        </w:rPr>
      </w:pPr>
      <w:r>
        <w:rPr>
          <w:rFonts w:cs="Calibri"/>
          <w:color w:val="000000"/>
          <w:szCs w:val="22"/>
          <w:lang w:val="ru-RU" w:eastAsia="en-US" w:bidi="en-US"/>
          <w14:ligatures w14:val="standardContextual"/>
        </w:rPr>
      </w:r>
    </w:p>
    <w:p>
      <w:pPr>
        <w:pStyle w:val="Normal"/>
        <w:widowControl w:val="false"/>
        <w:snapToGrid w:val="false"/>
        <w:ind w:hanging="0"/>
        <w:jc w:val="center"/>
        <w:rPr>
          <w:lang w:val="ru-RU"/>
        </w:rPr>
      </w:pPr>
      <w:r>
        <w:rPr>
          <w:rFonts w:eastAsia="Calibri"/>
          <w:b/>
          <w:bCs/>
          <w:lang w:val="ru-RU"/>
        </w:rPr>
        <w:t>5. Приложения</w:t>
      </w:r>
    </w:p>
    <w:p>
      <w:pPr>
        <w:pStyle w:val="Normal"/>
        <w:widowControl w:val="false"/>
        <w:snapToGrid w:val="false"/>
        <w:ind w:firstLine="709"/>
        <w:jc w:val="both"/>
        <w:rPr>
          <w:rFonts w:eastAsia="Calibri"/>
          <w:b/>
          <w:bCs/>
          <w:lang w:val="ru-RU"/>
        </w:rPr>
      </w:pPr>
      <w:r>
        <w:rPr>
          <w:rFonts w:eastAsia="Calibri"/>
          <w:b/>
          <w:bCs/>
          <w:lang w:val="ru-RU"/>
        </w:rPr>
      </w:r>
    </w:p>
    <w:p>
      <w:pPr>
        <w:pStyle w:val="Normal"/>
        <w:ind w:firstLine="709"/>
        <w:rPr>
          <w:lang w:val="ru-RU"/>
        </w:rPr>
      </w:pPr>
      <w:r>
        <w:rPr>
          <w:rFonts w:eastAsia="Calibri"/>
          <w:b/>
          <w:bCs/>
          <w:lang w:val="ru-RU"/>
        </w:rPr>
        <w:t>Приложение № 1 -</w:t>
      </w:r>
      <w:r>
        <w:rPr>
          <w:rFonts w:eastAsia="Calibri"/>
          <w:lang w:val="ru-RU"/>
        </w:rPr>
        <w:t xml:space="preserve"> Методика допуска персонала подрядных организаций к выполнению работ на объектах Общества </w:t>
      </w:r>
    </w:p>
    <w:p>
      <w:pPr>
        <w:pStyle w:val="Normal"/>
        <w:ind w:firstLine="709"/>
        <w:rPr>
          <w:lang w:val="ru-RU"/>
        </w:rPr>
      </w:pPr>
      <w:r>
        <w:rPr>
          <w:rFonts w:eastAsia="Calibri"/>
          <w:b/>
          <w:bCs/>
          <w:lang w:val="ru-RU"/>
        </w:rPr>
        <w:t>Приложение № 2 -</w:t>
      </w:r>
      <w:r>
        <w:rPr>
          <w:rFonts w:eastAsia="Calibri"/>
          <w:lang w:val="ru-RU"/>
        </w:rPr>
        <w:t xml:space="preserve"> Правила организации безопасного обслуживания ГТС гидросилового и гидромеханического оборудования</w:t>
      </w:r>
    </w:p>
    <w:p>
      <w:pPr>
        <w:pStyle w:val="Normal"/>
        <w:ind w:firstLine="709"/>
        <w:rPr>
          <w:lang w:val="ru-RU"/>
        </w:rPr>
      </w:pPr>
      <w:r>
        <w:rPr>
          <w:lang w:val="ru-RU"/>
        </w:rPr>
      </w:r>
    </w:p>
    <w:p>
      <w:pPr>
        <w:pStyle w:val="Normal"/>
        <w:spacing w:before="0" w:after="0"/>
        <w:ind w:left="426" w:firstLine="283"/>
        <w:contextualSpacing/>
        <w:rPr>
          <w:lang w:val="ru-RU"/>
        </w:rPr>
      </w:pPr>
      <w:r>
        <w:rPr>
          <w:lang w:val="ru-RU"/>
        </w:rPr>
      </w:r>
    </w:p>
    <w:p>
      <w:pPr>
        <w:pStyle w:val="Normal"/>
        <w:rPr>
          <w:lang w:val="ru-RU"/>
        </w:rPr>
      </w:pPr>
      <w:r>
        <w:rPr/>
      </w:r>
    </w:p>
    <w:sectPr>
      <w:headerReference w:type="default" r:id="rId9"/>
      <w:headerReference w:type="first" r:id="rId10"/>
      <w:footerReference w:type="default" r:id="rId11"/>
      <w:footerReference w:type="first" r:id="rId12"/>
      <w:type w:val="nextPage"/>
      <w:pgSz w:w="11906" w:h="16838"/>
      <w:pgMar w:left="1134" w:right="765"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Cambria">
    <w:charset w:val="01"/>
    <w:family w:val="roman"/>
    <w:pitch w:val="default"/>
  </w:font>
  <w:font w:name="OpenSymbol">
    <w:altName w:val="Arial Unicode MS"/>
    <w:charset w:val="01"/>
    <w:family w:val="roman"/>
    <w:pitch w:val="default"/>
  </w:font>
  <w:font w:name="Liberation Sans">
    <w:altName w:val="Arial"/>
    <w:charset w:val="01"/>
    <w:family w:val="roman"/>
    <w:pitch w:val="default"/>
  </w:font>
  <w:font w:name="Verdana">
    <w:charset w:val="01"/>
    <w:family w:val="roman"/>
    <w:pitch w:val="default"/>
  </w:font>
  <w:font w:name="Consolas">
    <w:charset w:val="01"/>
    <w:family w:val="roman"/>
    <w:pitch w:val="default"/>
  </w:font>
  <w:font w:name="Tahoma">
    <w:charset w:val="01"/>
    <w:family w:val="roman"/>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7</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8</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11</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t xml:space="preserve"> </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152" w:hanging="432"/>
      </w:pPr>
      <w:rPr>
        <w:sz w:val="24"/>
        <w:b/>
        <w:szCs w:val="24"/>
        <w:bCs/>
        <w:rFonts w:ascii="Times New Roman" w:hAnsi="Times New Roman"/>
      </w:rPr>
    </w:lvl>
    <w:lvl w:ilvl="2">
      <w:start w:val="1"/>
      <w:numFmt w:val="decimal"/>
      <w:lvlText w:val="%1.%2.%3."/>
      <w:lvlJc w:val="left"/>
      <w:pPr>
        <w:tabs>
          <w:tab w:val="num" w:pos="0"/>
        </w:tabs>
        <w:ind w:left="1584" w:hanging="504"/>
      </w:pPr>
      <w:rPr/>
    </w:lvl>
    <w:lvl w:ilvl="3">
      <w:start w:val="1"/>
      <w:numFmt w:val="decimal"/>
      <w:lvlText w:val="%1.%2.%3.%4."/>
      <w:lvlJc w:val="left"/>
      <w:pPr>
        <w:tabs>
          <w:tab w:val="num" w:pos="0"/>
        </w:tabs>
        <w:ind w:left="2088" w:hanging="648"/>
      </w:pPr>
      <w:rPr/>
    </w:lvl>
    <w:lvl w:ilvl="4">
      <w:start w:val="1"/>
      <w:numFmt w:val="decimal"/>
      <w:lvlText w:val="%1.%2.%3.%4.%5."/>
      <w:lvlJc w:val="left"/>
      <w:pPr>
        <w:tabs>
          <w:tab w:val="num" w:pos="0"/>
        </w:tabs>
        <w:ind w:left="2592" w:hanging="792"/>
      </w:pPr>
      <w:rPr/>
    </w:lvl>
    <w:lvl w:ilvl="5">
      <w:start w:val="1"/>
      <w:numFmt w:val="decimal"/>
      <w:lvlText w:val="%1.%2.%3.%4.%5.%6."/>
      <w:lvlJc w:val="left"/>
      <w:pPr>
        <w:tabs>
          <w:tab w:val="num" w:pos="0"/>
        </w:tabs>
        <w:ind w:left="3096" w:hanging="936"/>
      </w:pPr>
      <w:rPr/>
    </w:lvl>
    <w:lvl w:ilvl="6">
      <w:start w:val="1"/>
      <w:numFmt w:val="decimal"/>
      <w:lvlText w:val="%1.%2.%3.%4.%5.%6.%7."/>
      <w:lvlJc w:val="left"/>
      <w:pPr>
        <w:tabs>
          <w:tab w:val="num" w:pos="0"/>
        </w:tabs>
        <w:ind w:left="3600" w:hanging="1080"/>
      </w:pPr>
      <w:rPr/>
    </w:lvl>
    <w:lvl w:ilvl="7">
      <w:start w:val="1"/>
      <w:numFmt w:val="decimal"/>
      <w:lvlText w:val="%1.%2.%3.%4.%5.%6.%7.%8."/>
      <w:lvlJc w:val="left"/>
      <w:pPr>
        <w:tabs>
          <w:tab w:val="num" w:pos="0"/>
        </w:tabs>
        <w:ind w:left="4104" w:hanging="1224"/>
      </w:pPr>
      <w:rPr/>
    </w:lvl>
    <w:lvl w:ilvl="8">
      <w:start w:val="1"/>
      <w:numFmt w:val="decimal"/>
      <w:lvlText w:val="%1.%2.%3.%4.%5.%6.%7.%8.%9."/>
      <w:lvlJc w:val="left"/>
      <w:pPr>
        <w:tabs>
          <w:tab w:val="num" w:pos="0"/>
        </w:tabs>
        <w:ind w:left="4680" w:hanging="1440"/>
      </w:pPr>
      <w:rPr/>
    </w:lvl>
  </w:abstractNum>
  <w:abstractNum w:abstractNumId="6">
    <w:lvl w:ilvl="0">
      <w:start w:val="1"/>
      <w:numFmt w:val="decimal"/>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30"/>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4124e"/>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UnresolvedMention" w:customStyle="1">
    <w:name w:val="Unresolved Mention"/>
    <w:basedOn w:val="DefaultParagraphFont"/>
    <w:uiPriority w:val="99"/>
    <w:semiHidden/>
    <w:unhideWhenUsed/>
    <w:qFormat/>
    <w:rsid w:val="00540ad9"/>
    <w:rPr>
      <w:color w:val="605E5C"/>
      <w:shd w:fill="E1DFDD" w:val="clear"/>
    </w:rPr>
  </w:style>
  <w:style w:type="character" w:styleId="Style17" w:customStyle="1">
    <w:name w:val="комментарий"/>
    <w:qFormat/>
    <w:rsid w:val="0034724c"/>
    <w:rPr>
      <w:b/>
      <w:i/>
      <w:shd w:fill="FFFF99" w:val="clear"/>
    </w:rPr>
  </w:style>
  <w:style w:type="character" w:styleId="Linenumber1" w:customStyle="1">
    <w:name w:val="line number1"/>
    <w:qFormat/>
    <w:rPr/>
  </w:style>
  <w:style w:type="character" w:styleId="Linenumber">
    <w:name w:val="line number"/>
    <w:qFormat/>
    <w:rPr/>
  </w:style>
  <w:style w:type="character" w:styleId="Style18">
    <w:name w:val="Символ нумерации"/>
    <w:qFormat/>
    <w:rPr/>
  </w:style>
  <w:style w:type="character" w:styleId="Style19">
    <w:name w:val="Маркеры"/>
    <w:qFormat/>
    <w:rPr>
      <w:rFonts w:ascii="OpenSymbol" w:hAnsi="OpenSymbol" w:eastAsia="OpenSymbol" w:cs="OpenSymbol"/>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Caption111" w:customStyle="1">
    <w:name w:val="caption111"/>
    <w:basedOn w:val="Normal"/>
    <w:qFormat/>
    <w:pPr>
      <w:suppressLineNumbers/>
      <w:spacing w:before="120" w:after="120"/>
    </w:pPr>
    <w:rPr>
      <w:i/>
      <w:iCs/>
    </w:rPr>
  </w:style>
  <w:style w:type="paragraph" w:styleId="Caption1111" w:customStyle="1">
    <w:name w:val="caption11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30" w:customStyle="1">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spacing w:before="240" w:after="240"/>
      <w:ind w:left="704" w:hanging="504"/>
      <w:textAlignment w:val="baseline"/>
      <w:outlineLvl w:val="1"/>
    </w:pPr>
    <w:rPr>
      <w:szCs w:val="20"/>
      <w:lang w:val="ru-RU"/>
    </w:rPr>
  </w:style>
  <w:style w:type="paragraph" w:styleId="Caption11111" w:customStyle="1">
    <w:name w:val="caption11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3"/>
      </w:numPr>
      <w:tabs>
        <w:tab w:val="clear" w:pos="708"/>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3"/>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3"/>
      </w:numPr>
      <w:tabs>
        <w:tab w:val="clear" w:pos="708"/>
        <w:tab w:val="left" w:pos="1620" w:leader="none"/>
      </w:tabs>
      <w:spacing w:before="0" w:after="0"/>
      <w:jc w:val="both"/>
      <w:textAlignment w:val="baseline"/>
    </w:pPr>
    <w:rPr>
      <w:rFonts w:ascii="Times New Roman" w:hAnsi="Times New Roman"/>
      <w:color w:val="auto"/>
      <w:lang w:val="x-none"/>
    </w:rPr>
  </w:style>
  <w:style w:type="paragraph" w:styleId="Style31" w:customStyle="1">
    <w:name w:val="Таблица шапка"/>
    <w:basedOn w:val="Normal"/>
    <w:qFormat/>
    <w:rsid w:val="0034724c"/>
    <w:pPr>
      <w:keepNext w:val="true"/>
      <w:spacing w:before="40" w:after="40"/>
      <w:ind w:left="57" w:right="57" w:hanging="0"/>
    </w:pPr>
    <w:rPr>
      <w:sz w:val="22"/>
      <w:szCs w:val="26"/>
      <w:lang w:val="ru-RU"/>
    </w:rPr>
  </w:style>
  <w:style w:type="paragraph" w:styleId="Style32" w:customStyle="1">
    <w:name w:val="Таблица"/>
    <w:basedOn w:val="Normal"/>
    <w:qFormat/>
    <w:rsid w:val="0034724c"/>
    <w:pPr>
      <w:keepNext w:val="true"/>
      <w:spacing w:before="60" w:after="60"/>
      <w:jc w:val="center"/>
    </w:pPr>
    <w:rPr>
      <w:rFonts w:eastAsia="Calibri"/>
      <w:b/>
      <w:lang w:val="x-none" w:eastAsia="x-none"/>
    </w:rPr>
  </w:style>
  <w:style w:type="numbering" w:styleId="NoList" w:default="1">
    <w:name w:val="No List"/>
    <w:uiPriority w:val="99"/>
    <w:semiHidden/>
    <w:unhideWhenUsed/>
    <w:qFormat/>
  </w:style>
  <w:style w:type="numbering" w:styleId="22" w:customStyle="1">
    <w:name w:val="Стиль2"/>
    <w:uiPriority w:val="99"/>
    <w:qFormat/>
    <w:rsid w:val="0034724c"/>
  </w:style>
  <w:style w:type="numbering" w:styleId="20963460371">
    <w:name w:val="20963460371"/>
    <w:qFormat/>
  </w:style>
  <w:style w:type="numbering" w:styleId="10823095011">
    <w:name w:val="10823095011"/>
    <w:qFormat/>
  </w:style>
  <w:style w:type="numbering" w:styleId="38450143791">
    <w:name w:val="3845014379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uiPriority w:val="39"/>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641343C4F5717A60C6C8AB164E0613718FF2BFC46E6C4EF34D8D528439w9T8N"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Relationship Id="rId22" Type="http://schemas.openxmlformats.org/officeDocument/2006/relationships/customXml" Target="../customXml/item6.xml"/><Relationship Id="rId2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1C3A620-F76F-4C18-914A-E38AFE49F11E}">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B5A2B270-3976-4291-B0EC-412EA3B06AE0}">
  <ds:schemaRefs>
    <ds:schemaRef ds:uri="http://schemas.openxmlformats.org/officeDocument/2006/bibliography"/>
  </ds:schemaRefs>
</ds:datastoreItem>
</file>

<file path=customXml/itemProps6.xml><?xml version="1.0" encoding="utf-8"?>
<ds:datastoreItem xmlns:ds="http://schemas.openxmlformats.org/officeDocument/2006/customXml" ds:itemID="{EA58CD06-F548-4866-9814-EB75F3C0D2A1}">
  <ds:schemaRefs>
    <ds:schemaRef ds:uri="http://schemas.openxmlformats.org/officeDocument/2006/bibliography"/>
  </ds:schemaRefs>
</ds:datastoreItem>
</file>

<file path=customXml/itemProps7.xml><?xml version="1.0" encoding="utf-8"?>
<ds:datastoreItem xmlns:ds="http://schemas.openxmlformats.org/officeDocument/2006/customXml" ds:itemID="{CE3E4ED8-4DC2-4DB1-BDD1-4308CE8DA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Application>AlterOffice/3.4.0.9$Linux_X86_64 LibreOffice_project/b8daf9e823b1a5463a2f48435ddc2e8696e7d4fc</Application>
  <AppVersion>15.0000</AppVersion>
  <Pages>11</Pages>
  <Words>2824</Words>
  <Characters>19050</Characters>
  <CharactersWithSpaces>21637</CharactersWithSpaces>
  <Paragraphs>270</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2024-12-04T01:45:00Z</dcterms:created>
  <dc:creator>UK VoHEC</dc:creator>
  <dc:description/>
  <dc:language>ru-RU</dc:language>
  <cp:lastModifiedBy>kabakovaes</cp:lastModifiedBy>
  <cp:lastPrinted>2025-11-14T11:54:39Z</cp:lastPrinted>
  <dcterms:modified xsi:type="dcterms:W3CDTF">2026-11-06T09:48:44Z</dcterms:modified>
  <cp:revision>24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