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bookmarkStart w:id="0" w:name="_Toc139856287"/>
      <w:bookmarkStart w:id="1" w:name="_Toc141696704"/>
      <w:bookmarkStart w:id="2" w:name="_Toc137554584"/>
      <w:r>
        <w:rPr>
          <w:rFonts w:eastAsia="Calibri"/>
          <w:b/>
          <w:color w:val="000000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color w:val="000000"/>
        </w:rPr>
      </w:pPr>
      <w:r>
        <w:rPr>
          <w:b/>
        </w:rPr>
        <w:t xml:space="preserve">71.20.19.120 </w:t>
      </w:r>
      <w:r>
        <w:rPr>
          <w:b/>
          <w:color w:val="000000"/>
        </w:rPr>
        <w:t>Первичная аттестация лаборатории неразрушающего контроля</w:t>
      </w:r>
      <w:r>
        <w:rPr>
          <w:b/>
        </w:rPr>
        <w:t xml:space="preserve"> Бурейской ГЭС</w:t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СОДЕРЖАНИЕ</w:t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Содержание</w:t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4"/>
          <w:szCs w:val="24"/>
        </w:rPr>
        <w:t>2</w:t>
      </w:r>
    </w:p>
    <w:p>
      <w:pPr>
        <w:pStyle w:val="Normal"/>
        <w:rPr>
          <w:color w:val="000000"/>
          <w:sz w:val="24"/>
          <w:szCs w:val="24"/>
          <w:u w:val="dotted"/>
        </w:rPr>
      </w:pPr>
      <w:r>
        <w:rPr>
          <w:color w:val="000000"/>
          <w:sz w:val="24"/>
          <w:szCs w:val="24"/>
        </w:rPr>
        <w:t>1. Наименование закупаемой продукции (товаров, работ, услуг)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Заказчик (подразделение Заказчика)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Цели и задачи. Существующее положение</w:t>
      </w:r>
      <w:r>
        <w:rPr>
          <w:color w:val="000000"/>
          <w:sz w:val="24"/>
          <w:szCs w:val="24"/>
          <w:u w:val="dotted"/>
        </w:rPr>
        <w:tab/>
        <w:tab/>
        <w:tab/>
        <w:tab/>
        <w:tab/>
        <w:tab/>
        <w:t>3</w:t>
      </w:r>
    </w:p>
    <w:p>
      <w:pPr>
        <w:pStyle w:val="Normal"/>
        <w:ind w:left="238" w:right="0" w:hanging="2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Требования к закупаемой продукции </w:t>
        <w:br/>
        <w:t>(технические и иные характеристики)</w:t>
      </w:r>
      <w:r>
        <w:rPr>
          <w:color w:val="000000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  <w:t>3</w:t>
      </w:r>
    </w:p>
    <w:p>
      <w:pPr>
        <w:pStyle w:val="Normal"/>
        <w:rPr>
          <w:color w:val="000000"/>
          <w:sz w:val="24"/>
          <w:szCs w:val="24"/>
        </w:rPr>
      </w:pPr>
      <w:r>
        <w:rPr/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Normal"/>
        <w:numPr>
          <w:ilvl w:val="0"/>
          <w:numId w:val="2"/>
        </w:numPr>
        <w:ind w:left="284" w:right="0" w:hanging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Наименование закупаемой продукции (товаров, работ, услуг).</w:t>
      </w:r>
    </w:p>
    <w:p>
      <w:pPr>
        <w:pStyle w:val="Normal"/>
        <w:ind w:left="284" w:right="0" w:hanging="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b w:val="false"/>
          <w:bCs w:val="false"/>
          <w:color w:val="000000"/>
          <w:sz w:val="24"/>
          <w:szCs w:val="24"/>
        </w:rPr>
        <w:t>Первичная аттестация лаборатории неразрушающего контроля</w:t>
      </w:r>
      <w:r>
        <w:rPr>
          <w:b w:val="false"/>
          <w:bCs w:val="false"/>
          <w:color w:val="000000"/>
          <w:sz w:val="24"/>
          <w:szCs w:val="24"/>
        </w:rPr>
        <w:t xml:space="preserve"> Бурейской ГЭС.</w:t>
      </w:r>
    </w:p>
    <w:p>
      <w:pPr>
        <w:pStyle w:val="Normal"/>
        <w:numPr>
          <w:ilvl w:val="0"/>
          <w:numId w:val="2"/>
        </w:numPr>
        <w:ind w:left="284" w:right="0" w:hanging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Заказчик (подразделение Заказчика). </w:t>
      </w:r>
    </w:p>
    <w:p>
      <w:pPr>
        <w:pStyle w:val="ListParagraph"/>
        <w:tabs>
          <w:tab w:val="clear" w:pos="708"/>
          <w:tab w:val="left" w:pos="1047" w:leader="none"/>
        </w:tabs>
        <w:spacing w:before="120" w:after="120"/>
        <w:ind w:left="284" w:right="-2" w:firstLine="436"/>
        <w:contextualSpacing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Филиал ПАО «РусГидро» - «Бурейская ГЭС» Амурская область, Бурейский район, п. Талакан, 676730.</w:t>
      </w:r>
    </w:p>
    <w:p>
      <w:pPr>
        <w:pStyle w:val="Normal"/>
        <w:numPr>
          <w:ilvl w:val="0"/>
          <w:numId w:val="2"/>
        </w:numPr>
        <w:ind w:left="284" w:right="0" w:hanging="0"/>
        <w:jc w:val="both"/>
        <w:rPr>
          <w:rFonts w:eastAsia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Цели и задачи. Существующее положение</w:t>
      </w:r>
    </w:p>
    <w:p>
      <w:pPr>
        <w:pStyle w:val="Normal"/>
        <w:ind w:left="284" w:right="-2" w:firstLine="424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Первичная аттестация лаборатории неразрушающего контроля Бурейской ГЭС </w:t>
      </w:r>
      <w:r>
        <w:rPr>
          <w:bCs/>
          <w:color w:val="000000"/>
          <w:sz w:val="24"/>
          <w:szCs w:val="24"/>
        </w:rPr>
        <w:t>на соответствие СДАНК-01-2020 «Правила аттестации и основные требования к лабораториям неразрушающего контроля».</w:t>
      </w:r>
    </w:p>
    <w:p>
      <w:pPr>
        <w:pStyle w:val="Normal"/>
        <w:ind w:left="284" w:right="-2" w:hanging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</w:r>
    </w:p>
    <w:p>
      <w:pPr>
        <w:pStyle w:val="Normal"/>
        <w:ind w:left="720" w:right="0" w:hanging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Таблица 1</w:t>
      </w:r>
    </w:p>
    <w:tbl>
      <w:tblPr>
        <w:tblW w:w="98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82"/>
        <w:gridCol w:w="6958"/>
      </w:tblGrid>
      <w:tr>
        <w:trPr>
          <w:trHeight w:val="2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827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left="166" w:right="0" w:hanging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Краткое описание характера работ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Первичная аттестация лаборатории неразрушающего контроля осуществляется в соответствии с </w:t>
            </w: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равилами аттестации и основны</w:t>
            </w:r>
            <w:r>
              <w:rPr>
                <w:color w:val="000000"/>
                <w:sz w:val="24"/>
                <w:szCs w:val="24"/>
              </w:rPr>
              <w:t>ми</w:t>
            </w:r>
            <w:r>
              <w:rPr>
                <w:color w:val="000000"/>
                <w:sz w:val="24"/>
                <w:szCs w:val="24"/>
              </w:rPr>
              <w:t xml:space="preserve"> требования</w:t>
            </w:r>
            <w:r>
              <w:rPr>
                <w:color w:val="000000"/>
                <w:sz w:val="24"/>
                <w:szCs w:val="24"/>
              </w:rPr>
              <w:t xml:space="preserve">ми </w:t>
            </w:r>
            <w:r>
              <w:rPr>
                <w:color w:val="000000"/>
                <w:sz w:val="24"/>
                <w:szCs w:val="24"/>
              </w:rPr>
              <w:t>к лабораториям неразрушающего контроля (</w:t>
            </w:r>
            <w:r>
              <w:rPr>
                <w:color w:val="000000"/>
                <w:sz w:val="24"/>
                <w:szCs w:val="24"/>
              </w:rPr>
              <w:t>СДАНК</w:t>
            </w:r>
            <w:r>
              <w:rPr>
                <w:color w:val="000000"/>
                <w:sz w:val="24"/>
                <w:szCs w:val="24"/>
              </w:rPr>
              <w:t>-01-2020).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Лаборатория неразрушающего контроля аттестуется на следующие </w:t>
            </w:r>
            <w:r>
              <w:rPr>
                <w:color w:val="000000"/>
                <w:sz w:val="24"/>
                <w:szCs w:val="24"/>
              </w:rPr>
              <w:t>области</w:t>
            </w:r>
            <w:r>
              <w:rPr>
                <w:color w:val="000000"/>
                <w:sz w:val="24"/>
                <w:szCs w:val="24"/>
              </w:rPr>
              <w:t>: УК, ТК, ВД.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Объект контроля: п.12 Оборудование электроэнергетики.</w:t>
            </w:r>
          </w:p>
        </w:tc>
      </w:tr>
      <w:tr>
        <w:trPr>
          <w:trHeight w:val="827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left="166" w:right="0" w:hanging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Требования к </w:t>
            </w:r>
            <w:r>
              <w:rPr>
                <w:bCs/>
                <w:color w:val="000000"/>
                <w:sz w:val="24"/>
                <w:szCs w:val="24"/>
              </w:rPr>
              <w:t>Исполнителю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Аттестация лаборатории неразрушающего контроля выполняется Независимым органом по аттестации лабораторий неразрушающего контроля (Независимый орган) - организацией, уполномоченной в рамках Системы НК проводить аттестацию лабораторий неразрушающего контроля. </w:t>
            </w:r>
          </w:p>
        </w:tc>
      </w:tr>
      <w:tr>
        <w:trPr>
          <w:trHeight w:val="1821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left="166" w:right="0" w:hanging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Требования к </w:t>
            </w:r>
            <w:r>
              <w:rPr>
                <w:bCs/>
                <w:color w:val="000000"/>
                <w:sz w:val="24"/>
                <w:szCs w:val="24"/>
              </w:rPr>
              <w:t>оказанию услуг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Для выполнения работ по рассмотрению документов, проверки заявителя и составления отчета по результатам рассмотрения документов и проверки заявителя Независимый орган формирует экспертную комиссию.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Возглавляет экспертную комиссию в качестве председателя эксперт, работа для которого в Независимом органе является основной.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Проведение проверки заявителя состоит из следующих этапов: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предварительного совещания;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на месте;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выводов проверки на месте и акта;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заключительного совещания.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 проведении проверки заявитель обеспечивает экспертной комиссии необходимые для ее работы условия, предоставляет необходимые материалы, документы и средства НК, демонстрирует умение персонала выполнять возложенные функции.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Экспертная комиссия на месте оценивает все подразделения заявителя, в которых осуществляются заявленные виды деятельности, проверяет соответствие фактического состояния заявителя представленным документам, его способность выполнять заявленные функции. По результатам проверки на месте оформляется Акт оценки.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После завершения работ по рассмотрению документов, проверке заявителя на месте и анализа информации по устранению несоответствий, указанных в Акте оценки, экспертная комиссия в срок, не превышающий трех рабочих дней, составляет Отчет, включающий информацию о степени организационно-технической готовности заявителя к выполнению работ в заявленной области аттестации лаборатории, а также предложения об аттестации или об отказе в аттестации заявителя.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Акт оценки, отчет, заявку на аттестацию и другие документы, полученные в процессе выполнения работ, экспертная комиссия передает в Комиссию по аттестации Независимого органа.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Решения по вопросам аттестации принимает Комиссия по аттестации, действующая в Независимом органе и проводящая заседания не реже двух раз в месяц (при наличии материалов для рассмотрения).</w:t>
            </w:r>
          </w:p>
          <w:p>
            <w:pPr>
              <w:pStyle w:val="ListParagraph"/>
              <w:widowControl w:val="false"/>
              <w:ind w:left="0" w:right="0" w:hanging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 положительном решении Комиссии по аттестации Независимый орган в срок, не превышающий трех рабочих дней, оформляет свидетельство об аттестации, вносит сведения в перечень аттестованных лабораторий  и передает информацию об этом в Координирующий орган для включения в реестр аттестованных лабораторий. Свидетельства об аттестации являются бланками строгой отчетности. ЛНК считается аттестованной с даты регистрации в Независимом органе при условии последующего внесения ее в реестр аттестованных лабораторий Системы НК (в отчетном квартале).</w:t>
            </w:r>
          </w:p>
        </w:tc>
      </w:tr>
      <w:tr>
        <w:trPr>
          <w:trHeight w:val="752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ind w:left="166" w:right="0" w:hanging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pacing w:before="0" w:after="0"/>
              <w:ind w:left="0" w:hanging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 xml:space="preserve">Место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оказания услуг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right="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676730, Амурская область, Бурейский район, п. Талакан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1257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66" w:right="0" w:hanging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</w:numPr>
              <w:spacing w:lineRule="auto" w:line="240" w:before="480" w:after="0"/>
              <w:ind w:left="0" w:hanging="0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right="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23.11.2026-25.12.2026</w:t>
            </w:r>
          </w:p>
          <w:p>
            <w:pPr>
              <w:pStyle w:val="ListParagraph"/>
              <w:widowControl w:val="false"/>
              <w:ind w:left="0" w:right="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Default"/>
        <w:jc w:val="right"/>
        <w:rPr/>
      </w:pPr>
      <w:r>
        <w:rPr/>
      </w:r>
    </w:p>
    <w:sectPr>
      <w:footerReference w:type="default" r:id="rId2"/>
      <w:type w:val="nextPage"/>
      <w:pgSz w:w="11906" w:h="16838"/>
      <w:pgMar w:left="1304" w:right="924" w:gutter="0" w:header="0" w:top="709" w:footer="709" w:bottom="766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numPr>
        <w:ilvl w:val="0"/>
        <w:numId w:val="0"/>
      </w:numPr>
      <w:spacing w:lineRule="auto" w:line="276" w:before="480" w:after="0"/>
      <w:outlineLvl w:val="0"/>
    </w:pPr>
    <w:rPr>
      <w:rFonts w:ascii="Cambria" w:hAnsi="Cambria"/>
      <w:b/>
      <w:bCs/>
      <w:color w:val="365F91"/>
      <w:lang w:eastAsia="en-US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numPr>
        <w:ilvl w:val="0"/>
        <w:numId w:val="0"/>
      </w:numPr>
      <w:spacing w:lineRule="auto" w:line="276"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31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ascii="Cambria" w:hAnsi="Cambria" w:eastAsia="Calibri" w:cs="Times New Roman"/>
      <w:color w:val="243F60"/>
      <w:sz w:val="24"/>
      <w:szCs w:val="24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 w:eastAsia="Times New Roman"/>
      <w:b/>
      <w:bCs/>
      <w:color w:val="365F91"/>
      <w:sz w:val="28"/>
      <w:szCs w:val="28"/>
    </w:rPr>
  </w:style>
  <w:style w:type="character" w:styleId="2">
    <w:name w:val="Заголовок 2 Знак"/>
    <w:basedOn w:val="DefaultParagraphFont"/>
    <w:qFormat/>
    <w:rPr>
      <w:rFonts w:ascii="Cambria" w:hAnsi="Cambria" w:eastAsia="Times New Roman"/>
      <w:b/>
      <w:bCs/>
      <w:color w:val="4F81BD"/>
      <w:sz w:val="26"/>
      <w:szCs w:val="26"/>
    </w:rPr>
  </w:style>
  <w:style w:type="character" w:styleId="Style6">
    <w:name w:val="Нижний колонтитул Знак"/>
    <w:basedOn w:val="DefaultParagraphFont"/>
    <w:qFormat/>
    <w:rPr>
      <w:rFonts w:ascii="Times New Roman" w:hAnsi="Times New Roman" w:eastAsia="Times New Roman"/>
      <w:sz w:val="28"/>
      <w:szCs w:val="28"/>
      <w:lang w:eastAsia="ru-RU"/>
    </w:rPr>
  </w:style>
  <w:style w:type="character" w:styleId="Style7">
    <w:name w:val="Основной текст Знак"/>
    <w:basedOn w:val="DefaultParagraphFont"/>
    <w:qFormat/>
    <w:rPr>
      <w:rFonts w:ascii="Times New Roman" w:hAnsi="Times New Roman" w:eastAsia="Times New Roman"/>
      <w:sz w:val="28"/>
      <w:szCs w:val="28"/>
      <w:lang w:eastAsia="ru-RU"/>
    </w:rPr>
  </w:style>
  <w:style w:type="character" w:styleId="3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/>
      <w:sz w:val="16"/>
      <w:szCs w:val="16"/>
      <w:lang w:eastAsia="ru-RU"/>
    </w:rPr>
  </w:style>
  <w:style w:type="character" w:styleId="Style8">
    <w:name w:val="Текст примечания Знак"/>
    <w:basedOn w:val="DefaultParagraphFont"/>
    <w:link w:val="Annotationtext"/>
    <w:qFormat/>
    <w:rPr>
      <w:rFonts w:ascii="Times New Roman" w:hAnsi="Times New Roman" w:eastAsia="Times New Roman"/>
      <w:lang w:eastAsia="ru-RU"/>
    </w:rPr>
  </w:style>
  <w:style w:type="character" w:styleId="Style9">
    <w:name w:val="Текст выноски Знак"/>
    <w:basedOn w:val="DefaultParagraphFont"/>
    <w:link w:val="BalloonTex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31">
    <w:name w:val="Заголовок 3 Знак"/>
    <w:basedOn w:val="DefaultParagraphFont"/>
    <w:qFormat/>
    <w:rPr>
      <w:rFonts w:ascii="Cambria" w:hAnsi="Cambria" w:eastAsia="Calibri" w:cs="Times New Roman"/>
      <w:color w:val="243F60"/>
      <w:sz w:val="24"/>
      <w:szCs w:val="24"/>
      <w:lang w:eastAsia="ru-RU"/>
    </w:rPr>
  </w:style>
  <w:style w:type="character" w:styleId="Style10">
    <w:name w:val="Символ сноски"/>
    <w:qFormat/>
    <w:rPr/>
  </w:style>
  <w:style w:type="character" w:styleId="LineNumber">
    <w:name w:val="Line Number"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Style13">
    <w:name w:val="Колонтитул"/>
    <w:basedOn w:val="Normal"/>
    <w:qFormat/>
    <w:pPr/>
    <w:rPr/>
  </w:style>
  <w:style w:type="paragraph" w:styleId="Footer">
    <w:name w:val="Foot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"/>
    <w:qFormat/>
    <w:pPr>
      <w:spacing w:before="0" w:after="120"/>
      <w:ind w:left="283" w:right="0" w:hanging="0"/>
    </w:pPr>
    <w:rPr>
      <w:sz w:val="16"/>
      <w:szCs w:val="16"/>
    </w:rPr>
  </w:style>
  <w:style w:type="paragraph" w:styleId="Annotationtext">
    <w:name w:val="annotation text"/>
    <w:basedOn w:val="Normal"/>
    <w:link w:val="Style8"/>
    <w:qFormat/>
    <w:pPr/>
    <w:rPr>
      <w:sz w:val="20"/>
      <w:szCs w:val="20"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9"/>
    <w:qFormat/>
    <w:pPr/>
    <w:rPr>
      <w:rFonts w:ascii="Segoe UI" w:hAnsi="Segoe UI" w:cs="Segoe UI"/>
      <w:sz w:val="18"/>
      <w:szCs w:val="18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Application>AlterOffice/3.4.0.9$Linux_X86_64 LibreOffice_project/b8daf9e823b1a5463a2f48435ddc2e8696e7d4fc</Application>
  <AppVersion>15.0000</AppVersion>
  <Pages>4</Pages>
  <Words>506</Words>
  <Characters>3645</Characters>
  <CharactersWithSpaces>4138</CharactersWithSpaces>
  <Paragraphs>53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2022-06-16T02:12:00Z</dcterms:created>
  <dc:creator>Степанова Юлия Владимировна</dc:creator>
  <dc:description/>
  <dc:language>ru-RU</dc:language>
  <cp:lastModifiedBy>pryatkinauv@corp.gidroogk.com</cp:lastModifiedBy>
  <cp:lastPrinted>2022-08-19T01:41:00Z</cp:lastPrinted>
  <dcterms:modified xsi:type="dcterms:W3CDTF">2026-11-06T08:52:34Z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