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oter8.xml" ContentType="application/vnd.openxmlformats-officedocument.wordprocessingml.foot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7.xml" ContentType="application/vnd.openxmlformats-officedocument.wordprocessingml.footer+xml"/>
  <Override PartName="/word/footer9.xml" ContentType="application/vnd.openxmlformats-officedocument.wordprocessingml.footer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hd w:val="clear" w:color="auto" w:fill="FFFFFF"/>
        <w:tabs>
          <w:tab w:val="clear" w:pos="708"/>
          <w:tab w:val="left" w:pos="1349" w:leader="none"/>
        </w:tabs>
        <w:spacing w:lineRule="auto" w:line="240" w:before="10" w:after="0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</w:r>
    </w:p>
    <w:tbl>
      <w:tblPr>
        <w:tblStyle w:val="affa"/>
        <w:tblW w:w="1529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5097"/>
        <w:gridCol w:w="5098"/>
        <w:gridCol w:w="5098"/>
      </w:tblGrid>
      <w:tr>
        <w:trPr/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0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0"/>
                <w:szCs w:val="24"/>
                <w:lang w:eastAsia="ru-RU"/>
              </w:rPr>
            </w:r>
          </w:p>
        </w:tc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16"/>
              <w:widowControl w:val="false"/>
              <w:suppressAutoHyphens w:val="true"/>
              <w:spacing w:before="0" w:after="0"/>
              <w:jc w:val="right"/>
              <w:rPr>
                <w:rFonts w:ascii="Times New Roman" w:hAnsi="Times New Roman"/>
                <w:color w:val="000000"/>
                <w:spacing w:val="20"/>
                <w:szCs w:val="28"/>
              </w:rPr>
            </w:pPr>
            <w:r>
              <w:rPr>
                <w:rFonts w:eastAsia="SimSun" w:cs="Times New Roman" w:ascii="Times New Roman" w:hAnsi="Times New Roman"/>
                <w:color w:val="000000"/>
                <w:spacing w:val="20"/>
                <w:kern w:val="0"/>
                <w:sz w:val="22"/>
                <w:szCs w:val="28"/>
                <w:lang w:val="ru-RU" w:eastAsia="ru-RU" w:bidi="ar-SA"/>
              </w:rPr>
              <w:t>«УТВЕРЖДАЮ»</w:t>
            </w:r>
          </w:p>
          <w:p>
            <w:pPr>
              <w:pStyle w:val="Style16"/>
              <w:widowControl w:val="false"/>
              <w:suppressAutoHyphens w:val="true"/>
              <w:spacing w:before="0" w:after="0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0"/>
                <w:sz w:val="22"/>
                <w:szCs w:val="28"/>
                <w:lang w:val="ru-RU" w:eastAsia="ru-RU" w:bidi="ar-SA"/>
              </w:rPr>
              <w:t>Главный инженер ЦЭС</w:t>
            </w:r>
          </w:p>
          <w:p>
            <w:pPr>
              <w:pStyle w:val="Style16"/>
              <w:widowControl w:val="false"/>
              <w:suppressAutoHyphens w:val="true"/>
              <w:spacing w:before="0" w:after="0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0"/>
                <w:sz w:val="22"/>
                <w:szCs w:val="28"/>
                <w:lang w:val="ru-RU" w:eastAsia="ru-RU" w:bidi="ar-SA"/>
              </w:rPr>
              <w:t>ПАО «Якутскэнерго»</w:t>
            </w:r>
          </w:p>
          <w:p>
            <w:pPr>
              <w:pStyle w:val="Style16"/>
              <w:widowControl w:val="false"/>
              <w:suppressAutoHyphens w:val="true"/>
              <w:spacing w:before="0" w:after="0"/>
              <w:jc w:val="right"/>
              <w:rPr>
                <w:rFonts w:ascii="Times New Roman" w:hAnsi="Times New Roman"/>
                <w:color w:val="000000"/>
                <w:szCs w:val="28"/>
                <w:u w:val="single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0"/>
                <w:sz w:val="22"/>
                <w:szCs w:val="28"/>
                <w:u w:val="single"/>
                <w:lang w:val="ru-RU" w:eastAsia="ru-RU" w:bidi="ar-SA"/>
              </w:rPr>
            </w:r>
          </w:p>
          <w:p>
            <w:pPr>
              <w:pStyle w:val="Style16"/>
              <w:widowControl w:val="false"/>
              <w:suppressAutoHyphens w:val="true"/>
              <w:spacing w:before="0" w:after="0"/>
              <w:jc w:val="right"/>
              <w:rPr>
                <w:rFonts w:eastAsia="SimSun" w:cs="Times New Roman"/>
                <w:kern w:val="0"/>
                <w:sz w:val="22"/>
                <w:lang w:val="ru-RU" w:eastAsia="ru-RU" w:bidi="ar-SA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0"/>
                <w:sz w:val="22"/>
                <w:szCs w:val="28"/>
                <w:u w:val="single"/>
                <w:lang w:val="ru-RU" w:eastAsia="ru-RU" w:bidi="ar-SA"/>
              </w:rPr>
              <w:tab/>
              <w:tab/>
            </w:r>
            <w:r>
              <w:rPr>
                <w:rFonts w:eastAsia="SimSun" w:cs="Times New Roman" w:ascii="Times New Roman" w:hAnsi="Times New Roman"/>
                <w:color w:val="000000"/>
                <w:kern w:val="0"/>
                <w:sz w:val="22"/>
                <w:szCs w:val="28"/>
                <w:lang w:val="ru-RU" w:eastAsia="ru-RU" w:bidi="ar-SA"/>
              </w:rPr>
              <w:t xml:space="preserve"> М. В. Варейкис</w:t>
            </w:r>
          </w:p>
          <w:p>
            <w:pPr>
              <w:pStyle w:val="Style16"/>
              <w:widowControl w:val="false"/>
              <w:suppressAutoHyphens w:val="true"/>
              <w:spacing w:before="0" w:after="0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0"/>
                <w:sz w:val="22"/>
                <w:szCs w:val="28"/>
                <w:lang w:val="ru-RU" w:eastAsia="ru-RU" w:bidi="ar-SA"/>
              </w:rPr>
            </w:r>
          </w:p>
          <w:p>
            <w:pPr>
              <w:pStyle w:val="Style16"/>
              <w:widowControl w:val="false"/>
              <w:suppressAutoHyphens w:val="true"/>
              <w:spacing w:before="0" w:after="0"/>
              <w:jc w:val="right"/>
              <w:rPr>
                <w:rFonts w:eastAsia="SimSun" w:cs="Times New Roman"/>
                <w:kern w:val="0"/>
                <w:sz w:val="22"/>
                <w:lang w:val="ru-RU" w:eastAsia="ru-RU" w:bidi="ar-SA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0"/>
                <w:sz w:val="22"/>
                <w:szCs w:val="28"/>
                <w:lang w:val="ru-RU" w:eastAsia="ru-RU" w:bidi="ar-SA"/>
              </w:rPr>
              <w:t>«</w:t>
            </w:r>
            <w:r>
              <w:rPr>
                <w:rFonts w:eastAsia="SimSun" w:cs="Times New Roman" w:ascii="Times New Roman" w:hAnsi="Times New Roman"/>
                <w:color w:val="000000"/>
                <w:kern w:val="0"/>
                <w:sz w:val="22"/>
                <w:szCs w:val="28"/>
                <w:u w:val="single"/>
                <w:lang w:val="ru-RU" w:eastAsia="ru-RU" w:bidi="ar-SA"/>
              </w:rPr>
              <w:tab/>
            </w:r>
            <w:r>
              <w:rPr>
                <w:rFonts w:eastAsia="SimSun" w:cs="Times New Roman" w:ascii="Times New Roman" w:hAnsi="Times New Roman"/>
                <w:color w:val="000000"/>
                <w:kern w:val="0"/>
                <w:sz w:val="22"/>
                <w:szCs w:val="28"/>
                <w:lang w:val="ru-RU" w:eastAsia="ru-RU" w:bidi="ar-SA"/>
              </w:rPr>
              <w:t>»</w:t>
            </w:r>
            <w:r>
              <w:rPr>
                <w:rFonts w:eastAsia="SimSun" w:cs="Times New Roman" w:ascii="Times New Roman" w:hAnsi="Times New Roman"/>
                <w:color w:val="000000"/>
                <w:kern w:val="0"/>
                <w:sz w:val="22"/>
                <w:szCs w:val="28"/>
                <w:u w:val="single"/>
                <w:lang w:val="ru-RU" w:eastAsia="ru-RU" w:bidi="ar-SA"/>
              </w:rPr>
              <w:tab/>
              <w:tab/>
            </w:r>
            <w:r>
              <w:rPr>
                <w:rFonts w:eastAsia="SimSun" w:cs="Times New Roman" w:ascii="Times New Roman" w:hAnsi="Times New Roman"/>
                <w:color w:val="000000"/>
                <w:kern w:val="0"/>
                <w:sz w:val="22"/>
                <w:szCs w:val="28"/>
                <w:lang w:val="ru-RU" w:eastAsia="ru-RU" w:bidi="ar-SA"/>
              </w:rPr>
              <w:t>2026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1416" w:hanging="0"/>
              <w:jc w:val="left"/>
              <w:rPr>
                <w:rFonts w:ascii="Times New Roman" w:hAnsi="Times New Roman" w:eastAsia="Times New Roman"/>
                <w:sz w:val="20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0"/>
                <w:szCs w:val="24"/>
                <w:lang w:eastAsia="ru-RU"/>
              </w:rPr>
            </w:r>
          </w:p>
        </w:tc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1416" w:hanging="0"/>
              <w:jc w:val="left"/>
              <w:rPr>
                <w:rFonts w:ascii="Times New Roman" w:hAnsi="Times New Roman" w:eastAsia="Times New Roman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4"/>
                <w:lang w:val="ru-RU" w:eastAsia="ru-RU" w:bidi="ar-SA"/>
              </w:rPr>
              <w:t>«УТВЕРЖДАЮ»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1416" w:hanging="0"/>
              <w:jc w:val="left"/>
              <w:rPr>
                <w:rFonts w:ascii="Times New Roman" w:hAnsi="Times New Roman" w:eastAsia="Times New Roman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4"/>
                <w:lang w:val="ru-RU" w:eastAsia="ru-RU" w:bidi="ar-SA"/>
              </w:rPr>
              <w:t>Главный инженер ЦЭС</w:t>
            </w:r>
          </w:p>
          <w:p>
            <w:pPr>
              <w:pStyle w:val="Normal"/>
              <w:widowControl w:val="false"/>
              <w:suppressAutoHyphens w:val="true"/>
              <w:spacing w:lineRule="auto" w:line="480" w:before="0" w:after="0"/>
              <w:ind w:left="1416" w:hanging="0"/>
              <w:jc w:val="left"/>
              <w:rPr>
                <w:rFonts w:ascii="Times New Roman" w:hAnsi="Times New Roman" w:eastAsia="Times New Roman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4"/>
                <w:lang w:val="ru-RU" w:eastAsia="ru-RU" w:bidi="ar-SA"/>
              </w:rPr>
              <w:t>ПАО «Якутскэнерго»</w:t>
            </w:r>
          </w:p>
          <w:p>
            <w:pPr>
              <w:pStyle w:val="Normal"/>
              <w:widowControl w:val="false"/>
              <w:suppressAutoHyphens w:val="true"/>
              <w:spacing w:lineRule="auto" w:line="480" w:before="0" w:after="0"/>
              <w:ind w:left="1416" w:hanging="0"/>
              <w:jc w:val="left"/>
              <w:rPr>
                <w:rFonts w:ascii="Times New Roman" w:hAnsi="Times New Roman" w:eastAsia="Times New Roman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4"/>
                <w:lang w:val="ru-RU" w:eastAsia="ru-RU" w:bidi="ar-SA"/>
              </w:rPr>
              <w:t>______________ /М. В. Варейкис/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1416" w:hanging="0"/>
              <w:jc w:val="left"/>
              <w:rPr>
                <w:rFonts w:ascii="Times New Roman" w:hAnsi="Times New Roman" w:eastAsia="Times New Roman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4"/>
                <w:lang w:val="ru-RU" w:eastAsia="ru-RU" w:bidi="ar-SA"/>
              </w:rPr>
              <w:t>«___»_________________ 2024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0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0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8"/>
          <w:szCs w:val="26"/>
          <w:lang w:eastAsia="ru-RU"/>
        </w:rPr>
        <w:t>Технические требования на выполнение работ</w:t>
      </w:r>
      <w:r>
        <w:rPr>
          <w:rFonts w:ascii="Times New Roman" w:hAnsi="Times New Roman"/>
          <w:b/>
          <w:sz w:val="26"/>
          <w:szCs w:val="26"/>
          <w:lang w:eastAsia="ru-RU"/>
        </w:rPr>
        <w:t>:</w:t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C2D2E"/>
          <w:spacing w:val="0"/>
          <w:sz w:val="26"/>
          <w:szCs w:val="26"/>
          <w:lang w:eastAsia="ru-RU"/>
        </w:rPr>
        <w:t>ОКПД2 71.12.19.000 Проведение проектно-изыскательских работ для создания Системы сбора и передачи информации на подстанции 110 киловольт Сулгача в рамках  инвестиционного проекта P_508-92538</w:t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/>
          <w:sz w:val="26"/>
          <w:szCs w:val="26"/>
        </w:rPr>
      </w:pPr>
      <w:r>
        <w:rPr>
          <w:rFonts w:eastAsia="Times New Roman" w:ascii="Times New Roman" w:hAnsi="Times New Roman"/>
          <w:b w:val="false"/>
          <w:bCs w:val="false"/>
          <w:sz w:val="26"/>
          <w:szCs w:val="26"/>
        </w:rPr>
        <w:t>Лот №12801-ТПИР ОБСЛ-2027-ЯЭ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jc w:val="center"/>
        <w:rPr>
          <w:rFonts w:ascii="Times New Roman" w:hAnsi="Times New Roman" w:eastAsia="Times New Roman"/>
          <w:b/>
          <w:i/>
          <w:i/>
          <w:sz w:val="26"/>
          <w:szCs w:val="26"/>
          <w:shd w:fill="FFFF99" w:val="clear"/>
          <w:lang w:eastAsia="ru-RU"/>
        </w:rPr>
      </w:pPr>
      <w:r>
        <w:rPr>
          <w:rFonts w:eastAsia="Times New Roman" w:ascii="Times New Roman" w:hAnsi="Times New Roman"/>
          <w:b/>
          <w:i/>
          <w:sz w:val="26"/>
          <w:szCs w:val="26"/>
          <w:shd w:fill="FFFF99" w:val="clear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0" w:hanging="0"/>
        <w:jc w:val="center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1349" w:leader="none"/>
        </w:tabs>
        <w:spacing w:lineRule="auto" w:line="240" w:before="10" w:after="0"/>
        <w:ind w:left="6663" w:hanging="0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1349" w:leader="none"/>
        </w:tabs>
        <w:spacing w:lineRule="auto" w:line="240" w:before="10" w:after="0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СОДЕРЖАНИЕ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tbl>
      <w:tblPr>
        <w:tblW w:w="10200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9764"/>
        <w:gridCol w:w="435"/>
      </w:tblGrid>
      <w:tr>
        <w:trPr/>
        <w:tc>
          <w:tcPr>
            <w:tcW w:w="9764" w:type="dxa"/>
            <w:tcBorders/>
          </w:tcPr>
          <w:p>
            <w:pPr>
              <w:pStyle w:val="Contents1"/>
              <w:widowControl w:val="false"/>
              <w:tabs>
                <w:tab w:val="clear" w:pos="708"/>
                <w:tab w:val="left" w:pos="560" w:leader="none"/>
                <w:tab w:val="right" w:pos="10196" w:leader="dot"/>
              </w:tabs>
              <w:rPr/>
            </w:pPr>
            <w:hyperlink w:anchor="_Toc138770041">
              <w:r>
                <w:rPr>
                  <w:rFonts w:ascii="Times New Roman" w:hAnsi="Times New Roman"/>
                </w:rPr>
                <w:t>1</w:t>
              </w:r>
            </w:hyperlink>
            <w:r>
              <w:rPr>
                <w:rFonts w:ascii="Times New Roman" w:hAnsi="Times New Roman"/>
              </w:rPr>
              <w:t>. Общие сведения……………………………………………………………………………………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764" w:type="dxa"/>
            <w:tcBorders/>
          </w:tcPr>
          <w:p>
            <w:pPr>
              <w:pStyle w:val="Contents4"/>
              <w:widowControl w:val="false"/>
              <w:tabs>
                <w:tab w:val="clear" w:pos="708"/>
                <w:tab w:val="left" w:pos="1680" w:leader="none"/>
                <w:tab w:val="right" w:pos="10756" w:leader="dot"/>
              </w:tabs>
              <w:ind w:left="560" w:hanging="0"/>
              <w:rPr/>
            </w:pPr>
            <w:hyperlink w:anchor="_Toc138770042">
              <w:r>
                <w:rPr>
                  <w:rFonts w:ascii="Times New Roman" w:hAnsi="Times New Roman"/>
                  <w:iCs/>
                </w:rPr>
                <w:t>1.</w:t>
              </w:r>
            </w:hyperlink>
            <w:r>
              <w:rPr>
                <w:rFonts w:ascii="Times New Roman" w:hAnsi="Times New Roman"/>
                <w:iCs/>
              </w:rPr>
              <w:t>1. Наименование закупаемой продукции…………………………………………………..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764" w:type="dxa"/>
            <w:tcBorders/>
          </w:tcPr>
          <w:p>
            <w:pPr>
              <w:pStyle w:val="Contents4"/>
              <w:widowControl w:val="false"/>
              <w:tabs>
                <w:tab w:val="clear" w:pos="708"/>
                <w:tab w:val="left" w:pos="1680" w:leader="none"/>
                <w:tab w:val="right" w:pos="10756" w:leader="dot"/>
              </w:tabs>
              <w:ind w:left="560" w:hanging="0"/>
              <w:rPr/>
            </w:pPr>
            <w:hyperlink w:anchor="_Toc138770043">
              <w:r>
                <w:rPr>
                  <w:rFonts w:cs="Times New Roman" w:ascii="Times New Roman" w:hAnsi="Times New Roman"/>
                  <w:iCs/>
                </w:rPr>
                <w:t>1.2.</w:t>
              </w:r>
              <w:r>
                <w:rPr>
                  <w:rFonts w:eastAsia="PMingLiU" w:cs="Times New Roman" w:ascii="Times New Roman" w:hAnsi="Times New Roman"/>
                </w:rPr>
                <w:t xml:space="preserve"> Заказчик (подразделение заказчика)……………………………………………………</w:t>
              </w:r>
            </w:hyperlink>
            <w:r>
              <w:rPr>
                <w:rFonts w:eastAsia="PMingLiU" w:cs="Times New Roman" w:ascii="Times New Roman" w:hAnsi="Times New Roman"/>
              </w:rPr>
              <w:t>...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764" w:type="dxa"/>
            <w:tcBorders/>
          </w:tcPr>
          <w:p>
            <w:pPr>
              <w:pStyle w:val="Contents4"/>
              <w:widowControl w:val="false"/>
              <w:tabs>
                <w:tab w:val="clear" w:pos="708"/>
                <w:tab w:val="left" w:pos="1680" w:leader="none"/>
                <w:tab w:val="right" w:pos="10756" w:leader="dot"/>
              </w:tabs>
              <w:ind w:left="560" w:hanging="0"/>
              <w:rPr/>
            </w:pPr>
            <w:hyperlink w:anchor="_Toc138770044">
              <w:r>
                <w:rPr>
                  <w:rFonts w:ascii="Times New Roman" w:hAnsi="Times New Roman"/>
                  <w:iCs/>
                </w:rPr>
                <w:t>1.3. Цель выполнения работ…………………………………………………………………</w:t>
              </w:r>
            </w:hyperlink>
            <w:r>
              <w:rPr>
                <w:rFonts w:eastAsia="PMingLiU" w:cs="Arial" w:ascii="Calibri" w:hAnsi="Calibri"/>
                <w:iCs/>
                <w:sz w:val="22"/>
                <w:szCs w:val="22"/>
              </w:rPr>
              <w:t>...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764" w:type="dxa"/>
            <w:tcBorders/>
          </w:tcPr>
          <w:p>
            <w:pPr>
              <w:pStyle w:val="Contents4"/>
              <w:widowControl w:val="false"/>
              <w:tabs>
                <w:tab w:val="clear" w:pos="708"/>
                <w:tab w:val="left" w:pos="1680" w:leader="none"/>
                <w:tab w:val="right" w:pos="10756" w:leader="dot"/>
              </w:tabs>
              <w:ind w:left="560" w:hanging="0"/>
              <w:rPr/>
            </w:pPr>
            <w:hyperlink w:anchor="_Toc138770045">
              <w:r>
                <w:rPr>
                  <w:rFonts w:ascii="Times New Roman" w:hAnsi="Times New Roman"/>
                  <w:iCs/>
                </w:rPr>
                <w:t>1.4. Существующее положение………………………………………………………………</w:t>
              </w:r>
            </w:hyperlink>
            <w:r>
              <w:rPr>
                <w:rFonts w:ascii="Times New Roman" w:hAnsi="Times New Roman"/>
                <w:iCs/>
              </w:rPr>
              <w:t>..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764" w:type="dxa"/>
            <w:tcBorders/>
          </w:tcPr>
          <w:p>
            <w:pPr>
              <w:pStyle w:val="Contents1"/>
              <w:widowControl w:val="false"/>
              <w:tabs>
                <w:tab w:val="clear" w:pos="708"/>
                <w:tab w:val="right" w:pos="10196" w:leader="dot"/>
              </w:tabs>
              <w:rPr/>
            </w:pPr>
            <w:hyperlink w:anchor="_Toc138770047">
              <w:r>
                <w:rPr>
                  <w:rFonts w:ascii="Times New Roman" w:hAnsi="Times New Roman"/>
                </w:rPr>
                <w:t>2.</w:t>
              </w:r>
              <w:r>
                <w:rPr>
                  <w:rFonts w:eastAsia="PMingLiU" w:cs="Arial" w:ascii="Calibri" w:hAnsi="Calibri"/>
                  <w:sz w:val="22"/>
                  <w:szCs w:val="22"/>
                </w:rPr>
                <w:t xml:space="preserve"> </w:t>
              </w:r>
              <w:r>
                <w:rPr>
                  <w:rFonts w:ascii="Times New Roman" w:hAnsi="Times New Roman"/>
                  <w:iCs/>
                </w:rPr>
                <w:t>Требования к продукции…………………………………………………………………………</w:t>
              </w:r>
            </w:hyperlink>
            <w:r>
              <w:rPr>
                <w:rFonts w:ascii="Times New Roman" w:hAnsi="Times New Roman"/>
                <w:iCs/>
              </w:rPr>
              <w:t>..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9764" w:type="dxa"/>
            <w:tcBorders/>
          </w:tcPr>
          <w:p>
            <w:pPr>
              <w:pStyle w:val="Contents4"/>
              <w:widowControl w:val="false"/>
              <w:tabs>
                <w:tab w:val="clear" w:pos="708"/>
                <w:tab w:val="left" w:pos="1680" w:leader="none"/>
                <w:tab w:val="right" w:pos="10756" w:leader="dot"/>
              </w:tabs>
              <w:ind w:left="560" w:hanging="0"/>
              <w:rPr/>
            </w:pPr>
            <w:hyperlink w:anchor="_Toc138770048">
              <w:r>
                <w:rPr>
                  <w:rFonts w:ascii="Times New Roman" w:hAnsi="Times New Roman"/>
                  <w:iCs/>
                </w:rPr>
                <w:t>2.1.</w:t>
              </w:r>
              <w:r>
                <w:rPr>
                  <w:rFonts w:eastAsia="PMingLiU" w:cs="Arial" w:ascii="Calibri" w:hAnsi="Calibri"/>
                  <w:sz w:val="22"/>
                  <w:szCs w:val="22"/>
                </w:rPr>
                <w:t xml:space="preserve"> </w:t>
              </w:r>
              <w:r>
                <w:rPr>
                  <w:rFonts w:ascii="Times New Roman" w:hAnsi="Times New Roman"/>
                </w:rPr>
                <w:t>Требования к объемам и срокам выполнения работ……………………………………</w:t>
              </w:r>
            </w:hyperlink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9764" w:type="dxa"/>
            <w:tcBorders/>
          </w:tcPr>
          <w:p>
            <w:pPr>
              <w:pStyle w:val="Contents3"/>
              <w:widowControl w:val="false"/>
              <w:tabs>
                <w:tab w:val="clear" w:pos="708"/>
                <w:tab w:val="left" w:pos="1400" w:leader="none"/>
                <w:tab w:val="right" w:pos="10476" w:leader="dot"/>
              </w:tabs>
              <w:ind w:left="993" w:hanging="0"/>
              <w:rPr/>
            </w:pPr>
            <w:hyperlink w:anchor="_Toc138770049">
              <w:r>
                <w:rPr>
                  <w:rFonts w:ascii="Times New Roman" w:hAnsi="Times New Roman"/>
                </w:rPr>
                <w:t>2.1.1.</w:t>
              </w:r>
              <w:r>
                <w:rPr>
                  <w:rFonts w:eastAsia="PMingLiU" w:cs="Arial" w:ascii="Calibri" w:hAnsi="Calibri"/>
                  <w:sz w:val="22"/>
                  <w:szCs w:val="22"/>
                </w:rPr>
                <w:t xml:space="preserve"> </w:t>
              </w:r>
              <w:r>
                <w:rPr>
                  <w:rFonts w:ascii="Times New Roman" w:hAnsi="Times New Roman"/>
                </w:rPr>
                <w:t>Требования к видам и объемам работ……………………………………………</w:t>
              </w:r>
            </w:hyperlink>
            <w:r>
              <w:rPr>
                <w:rFonts w:ascii="Times New Roman" w:hAnsi="Times New Roman"/>
              </w:rPr>
              <w:t>..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9764" w:type="dxa"/>
            <w:tcBorders/>
          </w:tcPr>
          <w:p>
            <w:pPr>
              <w:pStyle w:val="Contents3"/>
              <w:widowControl w:val="false"/>
              <w:tabs>
                <w:tab w:val="clear" w:pos="708"/>
                <w:tab w:val="left" w:pos="1400" w:leader="none"/>
                <w:tab w:val="right" w:pos="10476" w:leader="dot"/>
              </w:tabs>
              <w:ind w:left="993" w:hanging="0"/>
              <w:rPr/>
            </w:pPr>
            <w:hyperlink w:anchor="_Toc138770051">
              <w:r>
                <w:rPr>
                  <w:rFonts w:ascii="Times New Roman" w:hAnsi="Times New Roman"/>
                </w:rPr>
                <w:t>2.1.2.</w:t>
              </w:r>
              <w:r>
                <w:rPr>
                  <w:rFonts w:eastAsia="PMingLiU" w:cs="Arial" w:ascii="Calibri" w:hAnsi="Calibri"/>
                  <w:sz w:val="22"/>
                  <w:szCs w:val="22"/>
                </w:rPr>
                <w:t xml:space="preserve"> </w:t>
              </w:r>
              <w:r>
                <w:rPr>
                  <w:rFonts w:ascii="Times New Roman" w:hAnsi="Times New Roman"/>
                </w:rPr>
                <w:t>Требования к срокам выполнения работ…………………………………………</w:t>
              </w:r>
            </w:hyperlink>
            <w:r>
              <w:rPr>
                <w:rFonts w:ascii="Times New Roman" w:hAnsi="Times New Roman"/>
              </w:rPr>
              <w:t>..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>
        <w:trPr/>
        <w:tc>
          <w:tcPr>
            <w:tcW w:w="9764" w:type="dxa"/>
            <w:tcBorders/>
          </w:tcPr>
          <w:p>
            <w:pPr>
              <w:pStyle w:val="Contents4"/>
              <w:widowControl w:val="false"/>
              <w:tabs>
                <w:tab w:val="clear" w:pos="708"/>
                <w:tab w:val="left" w:pos="1680" w:leader="none"/>
                <w:tab w:val="right" w:pos="10756" w:leader="dot"/>
              </w:tabs>
              <w:ind w:left="560" w:hanging="0"/>
              <w:rPr/>
            </w:pPr>
            <w:hyperlink w:anchor="_Toc138770048">
              <w:r>
                <w:rPr>
                  <w:rFonts w:ascii="Times New Roman" w:hAnsi="Times New Roman"/>
                  <w:iCs/>
                </w:rPr>
                <w:t>2.2.</w:t>
              </w:r>
              <w:r>
                <w:rPr>
                  <w:rFonts w:eastAsia="PMingLiU" w:cs="Arial" w:ascii="Calibri" w:hAnsi="Calibri"/>
                  <w:sz w:val="22"/>
                  <w:szCs w:val="22"/>
                </w:rPr>
                <w:t xml:space="preserve"> </w:t>
              </w:r>
              <w:r>
                <w:rPr>
                  <w:rFonts w:eastAsia="PMingLiU" w:cs="Arial" w:ascii="Times New Roman" w:hAnsi="Times New Roman"/>
                  <w:b w:val="false"/>
                  <w:sz w:val="24"/>
                  <w:szCs w:val="24"/>
                </w:rPr>
                <w:t xml:space="preserve">Требования к </w:t>
              </w:r>
              <w:r>
                <w:rPr>
                  <w:rFonts w:eastAsia="PMingLiU" w:cs="Arial" w:ascii="Times New Roman" w:hAnsi="Times New Roman"/>
                  <w:b w:val="false"/>
                  <w:sz w:val="24"/>
                  <w:szCs w:val="24"/>
                  <w:lang w:eastAsia="ru-RU"/>
                </w:rPr>
                <w:t>качеству работ……………………………………………………………</w:t>
              </w:r>
            </w:hyperlink>
            <w:r>
              <w:rPr>
                <w:rFonts w:ascii="Times New Roman" w:hAnsi="Times New Roman"/>
              </w:rPr>
              <w:t>...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9764" w:type="dxa"/>
            <w:tcBorders/>
          </w:tcPr>
          <w:p>
            <w:pPr>
              <w:pStyle w:val="Contents4"/>
              <w:widowControl w:val="false"/>
              <w:tabs>
                <w:tab w:val="clear" w:pos="708"/>
                <w:tab w:val="left" w:pos="1680" w:leader="none"/>
                <w:tab w:val="right" w:pos="10756" w:leader="dot"/>
              </w:tabs>
              <w:rPr/>
            </w:pPr>
            <w:hyperlink w:anchor="_Toc138770054">
              <w:r>
                <w:rPr>
                  <w:rFonts w:ascii="Times New Roman" w:hAnsi="Times New Roman"/>
                  <w:iCs/>
                </w:rPr>
                <w:t>3.</w:t>
              </w:r>
              <w:r>
                <w:rPr>
                  <w:rFonts w:eastAsia="PMingLiU" w:cs="Arial" w:ascii="Calibri" w:hAnsi="Calibri"/>
                  <w:iCs/>
                  <w:sz w:val="22"/>
                  <w:szCs w:val="22"/>
                </w:rPr>
                <w:t xml:space="preserve"> </w:t>
              </w:r>
              <w:r>
                <w:rPr>
                  <w:rFonts w:ascii="Times New Roman" w:hAnsi="Times New Roman"/>
                  <w:iCs/>
                </w:rPr>
                <w:t>Требования к документации по ценообразованию на этапе закупки…………………………</w:t>
              </w:r>
            </w:hyperlink>
            <w:r>
              <w:rPr>
                <w:rFonts w:ascii="Times New Roman" w:hAnsi="Times New Roman"/>
                <w:iCs/>
              </w:rPr>
              <w:t>..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>
        <w:trPr/>
        <w:tc>
          <w:tcPr>
            <w:tcW w:w="9764" w:type="dxa"/>
            <w:tcBorders/>
          </w:tcPr>
          <w:p>
            <w:pPr>
              <w:pStyle w:val="Contents1"/>
              <w:widowControl w:val="false"/>
              <w:tabs>
                <w:tab w:val="clear" w:pos="708"/>
                <w:tab w:val="left" w:pos="560" w:leader="none"/>
                <w:tab w:val="left" w:pos="9981" w:leader="none"/>
                <w:tab w:val="right" w:pos="10196" w:leader="dot"/>
              </w:tabs>
              <w:ind w:right="-227" w:hanging="0"/>
              <w:rPr>
                <w:rFonts w:ascii="Times New Roman" w:hAnsi="Times New Roman"/>
              </w:rPr>
            </w:pPr>
            <w:hyperlink w:anchor="_Toc138770062">
              <w:r>
                <w:rPr>
                  <w:rFonts w:ascii="Times New Roman" w:hAnsi="Times New Roman"/>
                  <w:iCs/>
                </w:rPr>
                <w:t>4</w:t>
              </w:r>
            </w:hyperlink>
            <w:r>
              <w:rPr>
                <w:rFonts w:ascii="Times New Roman" w:hAnsi="Times New Roman"/>
                <w:iCs/>
              </w:rPr>
              <w:t>. Условия составления сметной документации (при заключении договора ….</w:t>
            </w:r>
            <w:hyperlink w:anchor="_Toc138770062">
              <w:r>
                <w:rPr>
                  <w:rFonts w:ascii="Times New Roman" w:hAnsi="Times New Roman"/>
                  <w:iCs/>
                </w:rPr>
                <w:t>………………</w:t>
              </w:r>
            </w:hyperlink>
            <w:r>
              <w:rPr>
                <w:rFonts w:ascii="Times New Roman" w:hAnsi="Times New Roman"/>
                <w:iCs/>
              </w:rPr>
              <w:t>..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>
        <w:trPr/>
        <w:tc>
          <w:tcPr>
            <w:tcW w:w="9764" w:type="dxa"/>
            <w:tcBorders/>
          </w:tcPr>
          <w:p>
            <w:pPr>
              <w:pStyle w:val="Contents1"/>
              <w:widowControl w:val="false"/>
              <w:tabs>
                <w:tab w:val="clear" w:pos="708"/>
                <w:tab w:val="left" w:pos="560" w:leader="none"/>
                <w:tab w:val="right" w:pos="10196" w:leader="dot"/>
              </w:tabs>
              <w:rPr/>
            </w:pPr>
            <w:r>
              <w:rPr>
                <w:iCs/>
              </w:rPr>
              <w:t>5. Приложения………………………………………………………………………………………...</w:t>
            </w:r>
          </w:p>
        </w:tc>
        <w:tc>
          <w:tcPr>
            <w:tcW w:w="435" w:type="dxa"/>
            <w:tcBorders/>
          </w:tcPr>
          <w:p>
            <w:pPr>
              <w:pStyle w:val="Style18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</w:tbl>
    <w:p>
      <w:pPr>
        <w:pStyle w:val="Normal"/>
        <w:tabs>
          <w:tab w:val="clear" w:pos="708"/>
          <w:tab w:val="left" w:pos="560" w:leader="none"/>
          <w:tab w:val="right" w:pos="10196" w:leader="dot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4"/>
          <w:lang w:eastAsia="ru-RU"/>
        </w:rPr>
      </w:pPr>
      <w:r>
        <w:rPr>
          <w:rFonts w:eastAsia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sz w:val="20"/>
          <w:szCs w:val="24"/>
          <w:lang w:eastAsia="ru-RU"/>
        </w:rPr>
      </w:pPr>
      <w:r>
        <w:rPr>
          <w:rFonts w:eastAsia="Times New Roman" w:ascii="Times New Roman" w:hAnsi="Times New Roman"/>
          <w:b/>
          <w:sz w:val="20"/>
          <w:szCs w:val="24"/>
          <w:lang w:eastAsia="ru-RU"/>
        </w:rPr>
        <w:t>ОБОЗНАЧЕНИЯ И СОКРАЩЕНИЯ</w:t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eastAsia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sz w:val="20"/>
          <w:szCs w:val="20"/>
          <w:lang w:eastAsia="ru-RU"/>
        </w:rPr>
      </w:pPr>
      <w:r>
        <w:rPr>
          <w:rFonts w:eastAsia="Times New Roman" w:ascii="Times New Roman" w:hAnsi="Times New Roman"/>
          <w:b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sz w:val="20"/>
          <w:szCs w:val="20"/>
          <w:lang w:eastAsia="ru-RU"/>
        </w:rPr>
      </w:pPr>
      <w:r>
        <w:rPr>
          <w:rFonts w:eastAsia="Times New Roman" w:ascii="Times New Roman" w:hAnsi="Times New Roman"/>
          <w:b/>
          <w:sz w:val="20"/>
          <w:szCs w:val="20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120"/>
        <w:ind w:left="0" w:hanging="0"/>
        <w:jc w:val="both"/>
        <w:outlineLvl w:val="0"/>
        <w:rPr>
          <w:rFonts w:ascii="Times New Roman" w:hAnsi="Times New Roman" w:eastAsia="Times New Roman"/>
          <w:b/>
          <w:bCs/>
          <w:iCs/>
          <w:sz w:val="20"/>
          <w:szCs w:val="20"/>
          <w:lang w:eastAsia="ru-RU"/>
        </w:rPr>
      </w:pPr>
      <w:r>
        <w:rPr>
          <w:rFonts w:eastAsia="Times New Roman" w:ascii="Times New Roman" w:hAnsi="Times New Roman"/>
          <w:b/>
          <w:bCs/>
          <w:iCs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ascii="Times New Roman" w:hAnsi="Times New Roman"/>
          <w:i/>
          <w:sz w:val="24"/>
          <w:szCs w:val="24"/>
          <w:lang w:eastAsia="ru-RU"/>
        </w:rPr>
        <w:t>ПС  - Подстанция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ascii="Times New Roman" w:hAnsi="Times New Roman"/>
          <w:i/>
          <w:sz w:val="24"/>
          <w:szCs w:val="24"/>
          <w:shd w:fill="auto" w:val="clear"/>
          <w:lang w:eastAsia="ru-RU"/>
        </w:rPr>
        <w:t>СДТУ - средства диспетчерского и технологического управления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ascii="Times New Roman" w:hAnsi="Times New Roman"/>
          <w:i/>
          <w:sz w:val="24"/>
          <w:szCs w:val="24"/>
          <w:lang w:eastAsia="ru-RU"/>
        </w:rPr>
        <w:t xml:space="preserve">ОПУ -  обще подстанционный пункт управления   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ascii="Times New Roman" w:hAnsi="Times New Roman"/>
          <w:i/>
          <w:sz w:val="24"/>
          <w:szCs w:val="24"/>
          <w:lang w:eastAsia="ru-RU"/>
        </w:rPr>
        <w:t>ОРУ - открытое распределительное устройство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ascii="Times New Roman" w:hAnsi="Times New Roman"/>
          <w:i/>
          <w:sz w:val="24"/>
          <w:szCs w:val="24"/>
          <w:lang w:eastAsia="ru-RU"/>
        </w:rPr>
        <w:t>РДУ - Региональное диспетчерское управление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ascii="Times New Roman" w:hAnsi="Times New Roman"/>
          <w:i/>
          <w:sz w:val="24"/>
          <w:szCs w:val="24"/>
          <w:lang w:eastAsia="ru-RU"/>
        </w:rPr>
        <w:t>ССПИ - Система сбора и передачи информации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ascii="Times New Roman" w:hAnsi="Times New Roman"/>
          <w:i/>
          <w:sz w:val="24"/>
          <w:szCs w:val="24"/>
          <w:lang w:eastAsia="ru-RU"/>
        </w:rPr>
        <w:t>ОИК - Оперативно-информационный комплекс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ascii="Times New Roman" w:hAnsi="Times New Roman"/>
          <w:i/>
          <w:sz w:val="24"/>
          <w:szCs w:val="24"/>
          <w:lang w:eastAsia="ru-RU"/>
        </w:rPr>
        <w:t>ДП - Диспетчерский пункт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ascii="Times New Roman" w:hAnsi="Times New Roman"/>
          <w:i/>
          <w:sz w:val="24"/>
          <w:szCs w:val="24"/>
          <w:lang w:eastAsia="ru-RU"/>
        </w:rPr>
        <w:t>ТИ - Телеизмерения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ascii="Times New Roman" w:hAnsi="Times New Roman"/>
          <w:i/>
          <w:sz w:val="24"/>
          <w:szCs w:val="24"/>
          <w:lang w:eastAsia="ru-RU"/>
        </w:rPr>
        <w:t>ТС - Телесигнализация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ascii="Times New Roman" w:hAnsi="Times New Roman"/>
          <w:i/>
          <w:sz w:val="24"/>
          <w:szCs w:val="24"/>
          <w:lang w:eastAsia="ru-RU"/>
        </w:rPr>
        <w:t>ТУ - Телеуправление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i/>
          <w:i/>
          <w:sz w:val="24"/>
          <w:szCs w:val="24"/>
          <w:lang w:eastAsia="ru-RU"/>
        </w:rPr>
      </w:pPr>
      <w:r>
        <w:rPr>
          <w:rFonts w:eastAsia="Times New Roman" w:ascii="Times New Roman" w:hAnsi="Times New Roman"/>
          <w:i/>
          <w:sz w:val="24"/>
          <w:szCs w:val="24"/>
          <w:lang w:eastAsia="ru-RU"/>
        </w:rPr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1349" w:leader="none"/>
        </w:tabs>
        <w:spacing w:lineRule="auto" w:line="240" w:before="10" w:after="0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hanging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Heading1"/>
        <w:keepLines/>
        <w:widowControl w:val="false"/>
        <w:numPr>
          <w:ilvl w:val="0"/>
          <w:numId w:val="8"/>
        </w:numPr>
        <w:tabs>
          <w:tab w:val="clear" w:pos="708"/>
          <w:tab w:val="left" w:pos="357" w:leader="none"/>
        </w:tabs>
        <w:spacing w:before="240" w:after="120"/>
        <w:jc w:val="left"/>
        <w:textAlignment w:val="baseline"/>
        <w:rPr>
          <w:bCs/>
          <w:color w:val="000000"/>
          <w:szCs w:val="24"/>
          <w:lang w:eastAsia="ru-RU"/>
        </w:rPr>
      </w:pPr>
      <w:r>
        <w:rPr>
          <w:iCs/>
          <w:szCs w:val="24"/>
        </w:rPr>
        <w:t>Общие</w:t>
      </w:r>
      <w:r>
        <w:rPr>
          <w:bCs/>
          <w:color w:val="000000"/>
          <w:szCs w:val="24"/>
          <w:lang w:eastAsia="ru-RU"/>
        </w:rPr>
        <w:t xml:space="preserve"> сведения</w:t>
      </w:r>
    </w:p>
    <w:p>
      <w:pPr>
        <w:pStyle w:val="Normal"/>
        <w:widowControl w:val="false"/>
        <w:spacing w:lineRule="exact" w:line="281" w:before="0" w:after="0"/>
        <w:ind w:right="40" w:hanging="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1.1. 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Наименование закупаемой продукции (товаров, работ, услуг): </w:t>
      </w:r>
    </w:p>
    <w:p>
      <w:pPr>
        <w:pStyle w:val="Normal"/>
        <w:widowControl w:val="false"/>
        <w:spacing w:lineRule="exact" w:line="281"/>
        <w:ind w:right="40" w:hanging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eastAsia="ru-RU"/>
        </w:rPr>
        <w:t>ОКПД2 71.12.19.000 Проведение проектно-изыскательских работ для создания Системы сбора и передачи информации на подстанции 110 киловольт Сулгача в рамках  инвестиционного проекта P_508-92538.</w:t>
      </w:r>
    </w:p>
    <w:p>
      <w:pPr>
        <w:pStyle w:val="Normal"/>
        <w:widowControl w:val="false"/>
        <w:tabs>
          <w:tab w:val="clear" w:pos="708"/>
          <w:tab w:val="left" w:pos="1391" w:leader="none"/>
        </w:tabs>
        <w:spacing w:lineRule="exact" w:line="220" w:before="0" w:after="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1.2. Заказчик (подразделение Заказчика).</w:t>
      </w:r>
    </w:p>
    <w:p>
      <w:pPr>
        <w:pStyle w:val="Normal"/>
        <w:widowControl w:val="false"/>
        <w:tabs>
          <w:tab w:val="clear" w:pos="708"/>
          <w:tab w:val="left" w:pos="1391" w:leader="none"/>
        </w:tabs>
        <w:spacing w:lineRule="exact" w:line="281" w:before="0" w:after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Наименование филиала: Центральные электрические сети ПАО «Якутскэнерго».</w:t>
      </w:r>
    </w:p>
    <w:p>
      <w:pPr>
        <w:pStyle w:val="Normal"/>
        <w:widowControl w:val="false"/>
        <w:spacing w:lineRule="exact" w:line="281"/>
        <w:ind w:right="40" w:hanging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Подразделение-куратор: </w:t>
      </w:r>
      <w:r>
        <w:rPr>
          <w:rFonts w:eastAsia="Times New Roman" w:ascii="Times New Roman" w:hAnsi="Times New Roman"/>
          <w:bCs/>
          <w:iCs/>
          <w:sz w:val="24"/>
          <w:szCs w:val="24"/>
          <w:lang w:eastAsia="ru-RU"/>
        </w:rPr>
        <w:t>Служба средств диспетчерского и технологического управления</w:t>
      </w:r>
      <w:r>
        <w:rPr>
          <w:rFonts w:eastAsia="Times New Roman" w:ascii="Times New Roman" w:hAnsi="Times New Roman"/>
          <w:bCs/>
          <w:iCs/>
          <w:color w:val="000000"/>
          <w:sz w:val="24"/>
          <w:szCs w:val="24"/>
          <w:lang w:eastAsia="ru-RU"/>
        </w:rPr>
        <w:t>.</w:t>
      </w:r>
    </w:p>
    <w:p>
      <w:pPr>
        <w:pStyle w:val="Normal"/>
        <w:widowControl w:val="false"/>
        <w:tabs>
          <w:tab w:val="clear" w:pos="708"/>
          <w:tab w:val="left" w:pos="1391" w:leader="none"/>
        </w:tabs>
        <w:spacing w:lineRule="exact" w:line="274" w:before="0" w:after="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1.3. Цель выполнения работ</w:t>
      </w:r>
    </w:p>
    <w:p>
      <w:pPr>
        <w:pStyle w:val="Style111"/>
        <w:shd w:val="clear" w:color="auto" w:fill="auto"/>
        <w:spacing w:lineRule="auto" w:line="240" w:before="0" w:after="0"/>
        <w:ind w:right="4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  <w:shd w:fill="auto" w:val="clear"/>
        </w:rPr>
        <w:t>создание систем сбора и передачи информации с целью соответствия объемов передаваемой телеинформации на верхний уровень управления в соответствии с Целевой программой наблюдаемости ПС 35 кВ и выше.</w:t>
      </w:r>
    </w:p>
    <w:p>
      <w:pPr>
        <w:pStyle w:val="Style111"/>
        <w:shd w:val="clear" w:color="auto" w:fill="auto"/>
        <w:spacing w:lineRule="auto" w:line="240" w:before="0" w:after="0"/>
        <w:ind w:right="4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проектировании должны быть достигнуты следующие цели:</w:t>
      </w:r>
    </w:p>
    <w:p>
      <w:pPr>
        <w:pStyle w:val="Style111"/>
        <w:shd w:val="clear" w:color="auto" w:fill="auto"/>
        <w:spacing w:lineRule="auto" w:line="240" w:before="0" w:after="0"/>
        <w:ind w:right="4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оперативный контроль параметров оборудования;</w:t>
      </w:r>
    </w:p>
    <w:p>
      <w:pPr>
        <w:pStyle w:val="Style111"/>
        <w:shd w:val="clear" w:color="auto" w:fill="auto"/>
        <w:spacing w:lineRule="auto" w:line="240" w:before="0" w:after="0"/>
        <w:ind w:right="4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прием, обработка, передача и хранение телеметрических данных о состоянии оборудования подстанции и предоставление полученной информации оперативно-диспетчерскому персоналу;</w:t>
      </w:r>
    </w:p>
    <w:p>
      <w:pPr>
        <w:pStyle w:val="Style111"/>
        <w:shd w:val="clear" w:color="auto" w:fill="auto"/>
        <w:spacing w:lineRule="auto" w:line="240" w:before="0" w:after="0"/>
        <w:ind w:right="4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управление коммутационными аппаратами и их квитирование после аварийных отключений с ДП Чурапчинского РЭС;</w:t>
      </w:r>
    </w:p>
    <w:p>
      <w:pPr>
        <w:pStyle w:val="Style111"/>
        <w:shd w:val="clear" w:color="auto" w:fill="auto"/>
        <w:spacing w:lineRule="auto" w:line="240" w:before="0" w:after="0"/>
        <w:ind w:right="4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надежное получение данных о текущем режиме работы подстанции, высокопроизводительной обработки поступающей информации и выдачи всех изменений режима, состояния оборудования и аварийно-предупредительных сообщений в темпе поступления информации;</w:t>
      </w:r>
    </w:p>
    <w:p>
      <w:pPr>
        <w:pStyle w:val="Style111"/>
        <w:shd w:val="clear" w:color="auto" w:fill="auto"/>
        <w:spacing w:lineRule="auto" w:line="240" w:before="0" w:after="0"/>
        <w:ind w:right="4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1391" w:leader="none"/>
        </w:tabs>
        <w:spacing w:lineRule="exact" w:line="274" w:before="0" w:after="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1.4. Существующее положение.</w:t>
      </w:r>
    </w:p>
    <w:p>
      <w:pPr>
        <w:pStyle w:val="Normal"/>
        <w:widowControl w:val="false"/>
        <w:tabs>
          <w:tab w:val="clear" w:pos="708"/>
          <w:tab w:val="left" w:pos="1391" w:leader="none"/>
        </w:tabs>
        <w:spacing w:lineRule="exact" w:line="274" w:before="0" w:after="0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настоящий момент на </w:t>
      </w:r>
      <w:r>
        <w:rPr>
          <w:rFonts w:ascii="Times New Roman" w:hAnsi="Times New Roman"/>
          <w:color w:val="000000"/>
          <w:sz w:val="24"/>
          <w:szCs w:val="24"/>
          <w:lang w:bidi="ru-RU"/>
        </w:rPr>
        <w:t>ПС 110 кВ Сулгачи,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установлена система сбора и передачи информации (ССПИ) на базе оборудования телемеханики «Конус»</w:t>
      </w:r>
      <w:r>
        <w:rPr>
          <w:rFonts w:ascii="Times New Roman" w:hAnsi="Times New Roman"/>
          <w:color w:val="000000"/>
          <w:sz w:val="24"/>
          <w:szCs w:val="24"/>
          <w:lang w:bidi="ru-RU"/>
        </w:rPr>
        <w:t>.</w:t>
      </w:r>
    </w:p>
    <w:p>
      <w:pPr>
        <w:pStyle w:val="Normal"/>
        <w:widowControl w:val="false"/>
        <w:tabs>
          <w:tab w:val="clear" w:pos="708"/>
          <w:tab w:val="left" w:pos="1391" w:leader="none"/>
        </w:tabs>
        <w:spacing w:lineRule="exact" w:line="274" w:before="0" w:after="0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>- В ДП Чурапчинского РЭС используется оперативно-информационный комплекс на базе телемеханики «Конус». Ведется реконструкция ССПИ по смежному проекту.</w:t>
      </w:r>
    </w:p>
    <w:p>
      <w:pPr>
        <w:pStyle w:val="Normal"/>
        <w:widowControl w:val="false"/>
        <w:spacing w:lineRule="exact" w:line="274" w:before="0" w:after="0"/>
        <w:ind w:right="4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>- В ДП ЦЭС используется оперативно-информационный комплекс «</w:t>
      </w:r>
      <w:r>
        <w:rPr>
          <w:rFonts w:ascii="Times New Roman" w:hAnsi="Times New Roman"/>
          <w:color w:val="000000"/>
          <w:sz w:val="24"/>
          <w:szCs w:val="24"/>
          <w:lang w:val="en-US" w:bidi="ru-RU"/>
        </w:rPr>
        <w:t>Intouch</w:t>
      </w:r>
      <w:r>
        <w:rPr>
          <w:rFonts w:ascii="Times New Roman" w:hAnsi="Times New Roman"/>
          <w:color w:val="000000"/>
          <w:sz w:val="24"/>
          <w:szCs w:val="24"/>
          <w:lang w:bidi="ru-RU"/>
        </w:rPr>
        <w:t>» на базе телемеханики «Конус» г.Москва оборудование расположено на территории Центрального РЭС г.Якутск.</w:t>
      </w:r>
    </w:p>
    <w:p>
      <w:pPr>
        <w:pStyle w:val="Normal"/>
        <w:widowControl w:val="false"/>
        <w:spacing w:lineRule="exact" w:line="274" w:before="0" w:after="0"/>
        <w:ind w:right="4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spacing w:lineRule="exact" w:line="274" w:before="0" w:after="0"/>
        <w:ind w:right="4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Heading1"/>
        <w:keepLines/>
        <w:spacing w:before="0" w:after="60"/>
        <w:jc w:val="left"/>
        <w:rPr>
          <w:b w:val="false"/>
        </w:rPr>
      </w:pPr>
      <w:r>
        <w:rPr>
          <w:b w:val="false"/>
          <w:szCs w:val="24"/>
        </w:rPr>
        <w:t>Таблица 1</w:t>
      </w:r>
      <w:r>
        <w:rPr>
          <w:b w:val="false"/>
          <w:szCs w:val="24"/>
          <w:lang w:eastAsia="ru-RU"/>
        </w:rPr>
        <w:t>.</w:t>
      </w:r>
      <w:r>
        <w:rPr>
          <w:b w:val="false"/>
          <w:szCs w:val="24"/>
        </w:rPr>
        <w:t xml:space="preserve"> </w:t>
      </w:r>
      <w:r>
        <w:rPr>
          <w:b w:val="false"/>
          <w:szCs w:val="24"/>
          <w:lang w:eastAsia="ru-RU"/>
        </w:rPr>
        <w:t>Перечень объектов заказчика</w:t>
      </w:r>
    </w:p>
    <w:tbl>
      <w:tblPr>
        <w:tblW w:w="10304" w:type="dxa"/>
        <w:jc w:val="left"/>
        <w:tblInd w:w="-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19"/>
        <w:gridCol w:w="3400"/>
        <w:gridCol w:w="3374"/>
        <w:gridCol w:w="3110"/>
      </w:tblGrid>
      <w:tr>
        <w:trPr/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Standard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объекта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Расположение объекта </w:t>
              <w:br/>
              <w:t>(место производства работ)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выполняются работы)</w:t>
            </w:r>
          </w:p>
        </w:tc>
      </w:tr>
      <w:tr>
        <w:trPr/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>
        <w:trPr>
          <w:trHeight w:val="919" w:hRule="atLeast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hanging="360"/>
              <w:contextualSpacing w:val="false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ПС 110 кВ Сулгачи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Амгинский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РЭС 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РС (Я), с.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bidi="ru-RU"/>
              </w:rPr>
              <w:t>Сулгачи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ПС 110 кВ С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bidi="ru-RU"/>
              </w:rPr>
              <w:t>улгачи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ОРУ-110 кВ, ОРУ-35 кВ, ЗРУ-10 кВ, ОПУ</w:t>
            </w:r>
          </w:p>
        </w:tc>
      </w:tr>
    </w:tbl>
    <w:p>
      <w:pPr>
        <w:pStyle w:val="Normal"/>
        <w:widowControl w:val="false"/>
        <w:spacing w:lineRule="exact" w:line="274" w:before="0" w:after="0"/>
        <w:ind w:right="4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spacing w:lineRule="exact" w:line="274" w:before="0" w:after="0"/>
        <w:ind w:right="4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spacing w:lineRule="exact" w:line="274" w:before="0" w:after="0"/>
        <w:ind w:right="4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Heading1"/>
        <w:keepLines/>
        <w:widowControl w:val="false"/>
        <w:numPr>
          <w:ilvl w:val="0"/>
          <w:numId w:val="2"/>
        </w:numPr>
        <w:tabs>
          <w:tab w:val="clear" w:pos="708"/>
          <w:tab w:val="left" w:pos="357" w:leader="none"/>
        </w:tabs>
        <w:spacing w:before="240" w:after="120"/>
        <w:ind w:left="426" w:hanging="426"/>
        <w:jc w:val="left"/>
        <w:textAlignment w:val="baseline"/>
        <w:rPr>
          <w:iCs/>
          <w:szCs w:val="24"/>
        </w:rPr>
      </w:pPr>
      <w:r>
        <w:rPr>
          <w:iCs/>
          <w:szCs w:val="24"/>
        </w:rPr>
        <w:t>Требования к продукции</w:t>
      </w:r>
    </w:p>
    <w:p>
      <w:pPr>
        <w:pStyle w:val="Heading4"/>
        <w:tabs>
          <w:tab w:val="clear" w:pos="708"/>
          <w:tab w:val="left" w:pos="1224" w:leader="none"/>
        </w:tabs>
        <w:spacing w:lineRule="auto" w:line="240" w:before="240" w:after="120"/>
        <w:textAlignment w:val="baseline"/>
        <w:rPr>
          <w:rFonts w:ascii="Times New Roman" w:hAnsi="Times New Roman"/>
          <w:b w:val="false"/>
          <w:sz w:val="24"/>
          <w:szCs w:val="24"/>
        </w:rPr>
      </w:pPr>
      <w:r>
        <w:rPr>
          <w:rFonts w:ascii="Times New Roman" w:hAnsi="Times New Roman"/>
          <w:b w:val="false"/>
          <w:sz w:val="24"/>
          <w:szCs w:val="24"/>
        </w:rPr>
        <w:t xml:space="preserve">2.1. Требования к объемам и срокам </w:t>
      </w:r>
      <w:r>
        <w:rPr>
          <w:rFonts w:ascii="Times New Roman" w:hAnsi="Times New Roman"/>
          <w:b w:val="false"/>
          <w:sz w:val="24"/>
          <w:szCs w:val="24"/>
          <w:lang w:eastAsia="ru-RU"/>
        </w:rPr>
        <w:t>выполнения работ</w:t>
      </w:r>
    </w:p>
    <w:p>
      <w:pPr>
        <w:pStyle w:val="Heading3"/>
        <w:keepLines w:val="false"/>
        <w:tabs>
          <w:tab w:val="clear" w:pos="708"/>
          <w:tab w:val="left" w:pos="1224" w:leader="none"/>
        </w:tabs>
        <w:spacing w:lineRule="auto" w:line="240" w:before="240" w:after="120"/>
        <w:textAlignment w:val="baseline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2.1.1. Требования к видам и объемам работ</w:t>
      </w:r>
    </w:p>
    <w:p>
      <w:pPr>
        <w:pStyle w:val="Heading1"/>
        <w:keepLines/>
        <w:spacing w:before="0" w:after="60"/>
        <w:jc w:val="left"/>
        <w:rPr>
          <w:b w:val="false"/>
        </w:rPr>
      </w:pPr>
      <w:r>
        <w:rPr>
          <w:b w:val="false"/>
          <w:szCs w:val="24"/>
        </w:rPr>
        <w:t xml:space="preserve">Таблица </w:t>
      </w:r>
      <w:r>
        <w:rPr>
          <w:b w:val="false"/>
          <w:szCs w:val="24"/>
          <w:lang w:eastAsia="ru-RU"/>
        </w:rPr>
        <w:t>2.</w:t>
      </w:r>
      <w:r>
        <w:rPr>
          <w:b w:val="false"/>
          <w:szCs w:val="24"/>
        </w:rPr>
        <w:t xml:space="preserve"> </w:t>
      </w:r>
      <w:r>
        <w:rPr>
          <w:b w:val="false"/>
          <w:szCs w:val="24"/>
          <w:lang w:eastAsia="ru-RU"/>
        </w:rPr>
        <w:t>Перечень и объем выполняемых работ</w:t>
      </w:r>
    </w:p>
    <w:tbl>
      <w:tblPr>
        <w:tblW w:w="10415" w:type="dxa"/>
        <w:jc w:val="left"/>
        <w:tblInd w:w="-15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14"/>
        <w:gridCol w:w="6462"/>
        <w:gridCol w:w="1569"/>
        <w:gridCol w:w="1469"/>
      </w:tblGrid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№</w:t>
            </w:r>
          </w:p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работ / этапа работ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4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9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Предпроектные работы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1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1.1.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Предпроектное документальное и натурное обследование ПС 110 кВ Сулгачи и оформление отдельного отчета об обследовании каждого объекта. Разработка, обоснование и согласование с Заказчиком основных технических решений по проектируемому объекту.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hd w:val="clear" w:color="auto" w:fill="FFFFFF"/>
              <w:ind w:left="0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Отчет</w:t>
            </w:r>
          </w:p>
          <w:p>
            <w:pPr>
              <w:pStyle w:val="ListParagraph"/>
              <w:widowControl w:val="false"/>
              <w:shd w:val="clear" w:color="auto" w:fill="FFFFFF"/>
              <w:spacing w:before="0" w:after="160"/>
              <w:ind w:left="0" w:hanging="0"/>
              <w:contextualSpacing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hd w:val="clear" w:color="auto" w:fill="FFFFFF"/>
              <w:ind w:left="0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  <w:p>
            <w:pPr>
              <w:pStyle w:val="ListParagraph"/>
              <w:widowControl w:val="false"/>
              <w:shd w:val="clear" w:color="auto" w:fill="FFFFFF"/>
              <w:spacing w:before="0" w:after="160"/>
              <w:ind w:left="0" w:hanging="0"/>
              <w:contextualSpacing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1.2.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Определить и оценить:</w:t>
            </w:r>
          </w:p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- состав оборудования, требующего модернизации/ замены/ установки в части первичного формирования сигналов телеизмерений (далее - ТИ) и телесигнализации (далее - ТС);</w:t>
            </w:r>
          </w:p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- разработать технические решения по модернизации/замене либо установке измерительного оборудования нижнего уровня, оборудования контроля состояния положения коммутационных аппаратов, иных средств контроля и измерения, необходимого для осуществления передачи всего состава телеметрической информации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;</w:t>
            </w:r>
          </w:p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для организации ТС с приводов КА проектом предусмотреть восстановление или замену приводов КСА;</w:t>
            </w:r>
          </w:p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- разработать технические решения по организации двух независимых, резервируемых каналов технологической связи между ПС 110 кВ Сулгачи </w:t>
            </w:r>
            <w:r>
              <w:rPr>
                <w:rFonts w:ascii="Times New Roman" w:hAnsi="Times New Roman"/>
                <w:iCs/>
                <w:color w:val="000000"/>
                <w:sz w:val="22"/>
                <w:szCs w:val="22"/>
                <w:lang w:bidi="ru-RU"/>
              </w:rPr>
              <w:t>и ДП Чурапчинского РЭС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с диспетчерским пунктом ЦЭС.</w:t>
            </w:r>
          </w:p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- предусмотреть защиту существующих и проектируемых каналов связи, ОИК ЦЭС посредством установки (или использования существующих) аппаратных межсетевых экранов, сертифицированных Федеральной службой по технологическому и экспортному контролю (ФСТЭК России) по как минимум:</w:t>
            </w:r>
          </w:p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- 4 уровню доверия</w:t>
            </w:r>
          </w:p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- требованиям к МЭ по профилю защиты А, Б 4-го класса защиты;</w:t>
            </w:r>
          </w:p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- требованиям к СОВ по профилю защиты СОВ уровня сети 4-го класса защиты.</w:t>
            </w:r>
          </w:p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Межсетевые экраны должны быть включены в перечень разрешенного оборудования для применения на территории РФ (https://gisp.gov.ru) и соответствовать требованиям приказа ПАО «РусГидро» от 28.02.2025 г. №173 «Об утверждении перечней, применяемых в Группе РусГидро типовых технических решений информационно-технологической инфраструктуры и рабочих мест Группы РусГидро, а также запрещенных к использованию типов программного обеспечения» с изменениями.</w:t>
            </w:r>
          </w:p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Для применения на значимых объектах критической информационной инфраструктуры III категории и АСУ ТП 3 класса защищенности.</w:t>
            </w:r>
          </w:p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Проработка требований к обеспечению защиты информации должна быть выполнена участником на этапе разработки технического задания.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Отчет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1.3.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Предпроектные работы проводятся проектной организацией самостоятельно, с выездом специалистов на объект. Заказчик обеспечивает доступ на объект и оказывает необходимое содействие в сборе исходных данных.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1.4.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Результат предпроектных работ представить на рассмотрение Заказчику в объеме, необходимом для принятия технических решений.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Письмо о направлении на согласование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1.5.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Предпроектные работы считаются выполненным после согласования основных технических решений Заказчиком.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Письмо о согласовании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1.6.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74" w:before="0" w:after="0"/>
              <w:ind w:right="4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Основные технические решения, разработанные на этапе предпроектных работ, могут быть скорректированы на этапе проектирования. Указанные изменения должны быть согласованы со всеми лицами, участвующими в согласовании основных технических решений.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hd w:val="clear" w:color="auto" w:fill="FFFFFF"/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hanging="0"/>
              <w:contextualSpacing w:val="false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2.</w:t>
            </w:r>
          </w:p>
        </w:tc>
        <w:tc>
          <w:tcPr>
            <w:tcW w:w="9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Разработка технического задания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</w:tabs>
              <w:spacing w:lineRule="auto" w:line="240" w:before="0" w:after="0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2.1.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Разработка </w:t>
            </w:r>
            <w:r>
              <w:rPr>
                <w:rFonts w:ascii="Times New Roman" w:hAnsi="Times New Roman"/>
                <w:sz w:val="22"/>
                <w:szCs w:val="22"/>
                <w:shd w:fill="auto" w:val="clear"/>
              </w:rPr>
              <w:t>технического задания дол</w:t>
            </w:r>
            <w:r>
              <w:rPr>
                <w:rFonts w:ascii="Times New Roman" w:hAnsi="Times New Roman"/>
                <w:sz w:val="22"/>
                <w:szCs w:val="22"/>
              </w:rPr>
              <w:t>жна быть выполнена на основании основных технических решений, разработанных на этапе предпроектных работ, и в соответствии с нормативными требованиями, в том числе с требованиями ГОСТ 34.602-2020 «Техническое задание на создание автоматизированной системы».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</w:tabs>
              <w:spacing w:lineRule="auto" w:line="240" w:before="0" w:after="0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2.2.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Техническое задание должно быть согласовано с Заказчиком и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с Якутским РДУ для ПС в ведении СО ЕЭС.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Письмо о согласовании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</w:tabs>
              <w:spacing w:lineRule="auto" w:line="240" w:before="0" w:after="0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3.</w:t>
            </w:r>
          </w:p>
        </w:tc>
        <w:tc>
          <w:tcPr>
            <w:tcW w:w="9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Разработка проектной документации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hd w:val="clear" w:color="auto" w:fill="FFFFFF"/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hanging="0"/>
              <w:contextualSpacing w:val="false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3.1.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Разработка проектной документации должна быть выполнена на основании технического задания, разработанного на предыдущем этапе и в соответствии с нормативными требованиями, в том числе в соответствии с требованиями постановления Правительства РФ от 16.02.2008 № 87 «О составе разделов проектной документации и требованиях к их содержанию».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Комплект документации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hd w:val="clear" w:color="auto" w:fill="FFFFFF"/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hanging="0"/>
              <w:contextualSpacing w:val="false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3.2.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 ходе разработки проектной документации необходимо: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определить конструктивные и компоновочные решения в части оборудования формирования сигналов ТИ и ТС;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структурную схему ССПИ;</w:t>
            </w:r>
          </w:p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спроектировать систему гарантированного электропитания ССПИ и оборудования связи;</w:t>
            </w:r>
          </w:p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решения по организации системы обеспечения единого времени;</w:t>
            </w:r>
          </w:p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решения по средствам защиты информации;</w:t>
            </w:r>
          </w:p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решения по организации каналов связи;</w:t>
            </w:r>
          </w:p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при проектировании системы гарантированного электропитания (далее - СГЭ) необходимо учесть наличие СОПТ на ПС и необходимость формирования СГЭ на базе АБП с резервированием от СОПТ. </w:t>
            </w:r>
          </w:p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независимые комплекты оборудования каналов связи и оборудования ССПИ должны иметь независимые СГЭ.</w:t>
            </w:r>
          </w:p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при формировании шкафов ССПИ и связи дублированное оборудование ССПИ и связи размещать по разным шкафам, допускается совмещение полукомплектов  оборудования связи и ССПИ в одном шкафу.</w:t>
            </w:r>
          </w:p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произвести расчет численности персонала, необходимого для дальнейшего технического обслуживания вновь вводимого оборудования ССПИ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</w:tr>
      <w:tr>
        <w:trPr>
          <w:trHeight w:val="498" w:hRule="atLeast"/>
        </w:trPr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</w:tabs>
              <w:spacing w:lineRule="auto" w:line="240" w:before="0" w:after="0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4.</w:t>
            </w:r>
          </w:p>
        </w:tc>
        <w:tc>
          <w:tcPr>
            <w:tcW w:w="9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Разработка</w:t>
            </w: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рабочей документации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4.1.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hd w:val="clear" w:color="auto" w:fill="FFFFFF"/>
              <w:spacing w:before="0" w:after="160"/>
              <w:ind w:left="0" w:hanging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Разработка рабочей документации выполняется на основании утвержденной проектной документации, и данных о поставляемом, основном электротехническом оборудовании и материалах, определенных на этапе предпроектных работ с максимальным применением типовых решений, рекомендуемых производителями оборудования. Применение не типовых решений, ведущих к увеличению стоимости ПИР и СМР допускается только при соответствующем основании. Рабочая документация, должна быть согласована в требуемом объеме с Заказчиком.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hd w:val="clear" w:color="auto" w:fill="FFFFFF"/>
              <w:spacing w:before="20" w:after="20"/>
              <w:ind w:left="0" w:hanging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Комплект документации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hd w:val="clear" w:color="auto" w:fill="FFFFFF"/>
              <w:spacing w:before="20" w:after="20"/>
              <w:ind w:left="0" w:hanging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4.2.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При разработке рабочей документации в части телекоммуникационного оборудования требуется предусмотреть следующее: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применять стандартные протоколы с возможностью включения и передачи меток времени (МЭК 60870-5- 104, МЭК-61850);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независимость каналов связи в каждом направлении связи должна достигаться за счет организации каналов связи в разных линиях связи, не имеющих общих линейно-кабельных сооружений, или в разных средах распространения с соответствующим выбором трасс прохождения каналов;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-выполнение требования по независимости, в том числе электропитания, для независимых комплектов оборудования ССПИ (АСУТП) и связи;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обеспечение разнесения дублированных полукомплектов оборудования ССПИ (АСУТП) и связи по разным шкафам. Допускается совмещение в одном шкафу оборудования ССПИ (АСУТП) и связи одного полукомплекта;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сетевые коммутаторы, шлюзы должны располагаться в одном конструктиве с блоками питания;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линии электропитания сетевых коммутаторов должны быть защищены от механических повреждений и несанкционированных отключений;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в качестве шины управления используется связь на основе сети Ethernet;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в тракте телеизмерений должны использоваться многофункциональные измерительные преобразователи с классом точности не хуже 0,5S, подключаемые к кернам измерительных трансформаторов класса точности не хуже 0,5S. Аналоговые стрелочные приборы (амперметры, вольтметры и др.) следует оставить, т. е. не заменять на новые МИП, а МИП монтировать отдельно;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проектом предусмотреть приобретение поверочной переносной установки — УПП8531М/5;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проектом предусмотреть необходимый запас МИП, количество определить проектом;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телеинформация должна содержать метки единого астрономического времени от устройства обеспечения единого времени;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суммарное время измерения и передачи телеинформации на верхние уровни управления не должно превышать 1 (одну) секунду;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радиоэлектронное оборудование должно быть включено в один из следующих реестров и иметь действующую выписку: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1) в реестр промышленной продукции, произведенной на территории Российской Федерации, предусмотренном постановлением Правительства Российской Федерации от 30.04.2020 № 616 «Об установлении запрета на допуск промышленных товаров, происходящих из иностранных государств, для целей осуществления закупок для государственных и муниципальных нужд, а также промышленных товаров, происходящих из иностранных государств, работ (услуг), выполняемых (оказываемых) иностранными лицами, для целей осуществления закупок для нужд обороны страны и безопасности государства»;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2) в единый реестр российской радиоэлектронной продукции, предусмотренном постановлением Правительства Российской Федерации от 10.07.2019 № 878 «О мерах стимулирования производства радиоэлектронной продукции на территории Российской Федерации при осуществлении закупок товаров, работ, услуг для обеспечения государственных и муниципальных нужд, о внесении изменений в постановление Правительства Российской Федерации от 16 сентября 2016 г. № 925 и признании утратившими силу некоторых актов Правительства Российской Федерации».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при выборе оборудования необходимо учитывать Перечень типовых технических решений информационно-технологической инфраструктуры и рабочих мест Группы РусГидро, утверждённый Приказом ПАО «РусГидро» от 18.08.2025 «О внесении изменения в приказ ПАО «РусГидро» от 28.02.2025 №173 «Об утверждении перечней применяемых в Группе РусГидро типовых технических решений информационно-технологической инфраструктуры и рабочих мест Группы РусГидро, а также запрещённых к использованию типов программного обеспечения».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before="20" w:after="20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before="20" w:after="20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4.3.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Рабочая документация должна включать: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пояснительную записку;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комплект чертежей с прилагаемыми документами;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структурную схему ССПИ;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схему организации каналов связи;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таблицу информационных потоков;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схему организации бесперебойного электропитания ССПИ и оборудования связи;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формуляр согласования приема-передачи данных;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спецификации оборудования;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спецификации программного обеспечения;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паспорта измерительных приборов;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инструкции по эксплуатации;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альбомы структурных и функциональных схем;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альбомы принципиальных электрических схем;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альбомы сборочных и габаритных чертежей;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альбомы схем расположения оборудования и кабельных проводок;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альбомы чертежей общего вида;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альбомы алгоритмов функционирования подсистем;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кабельные журналы.;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программы и методики испытаний;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ведомости объемов работ;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схему организации информационного обмена на физическом и канальном уровнях;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схему организации информационного обмена на сетевом уровне;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- свидетельства о поверке МИП и СИ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spacing w:before="20" w:after="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Комплект документации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spacing w:before="20" w:after="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4.4.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В составе рабочей документация необходимо разработать план-график работ на ПС 110 кВ Сулгачи с декомпозиционной разбивкой, учитывающей мероприятия по строительно-монтажным работам, пуско-наладочным работам и вводу в эксплуатацию.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spacing w:before="20" w:after="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План-график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spacing w:before="20" w:after="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4.5.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Рабочая документация согласовывается и утверждается Заказчиком.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spacing w:before="20" w:after="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Письмо о согласовании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spacing w:before="20" w:after="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5</w:t>
            </w:r>
          </w:p>
        </w:tc>
        <w:tc>
          <w:tcPr>
            <w:tcW w:w="9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spacing w:before="20" w:after="2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Разработка</w:t>
            </w: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сметной документации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5.1.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Разработка сметной документации выполняется на основании утвержденной рабочей документации.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spacing w:before="20" w:after="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Комплект документации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spacing w:before="20" w:after="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5.2.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Сметная документация согласовывается и утверждается Заказчиком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spacing w:before="20" w:after="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Письмо о согласовании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spacing w:before="20" w:after="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</w:tr>
    </w:tbl>
    <w:p>
      <w:pPr>
        <w:pStyle w:val="Normal"/>
        <w:widowControl w:val="false"/>
        <w:spacing w:lineRule="exact" w:line="274" w:before="0" w:after="0"/>
        <w:ind w:right="4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spacing w:lineRule="exact" w:line="274" w:before="0" w:after="0"/>
        <w:ind w:right="4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spacing w:lineRule="exact" w:line="274" w:before="0" w:after="0"/>
        <w:ind w:right="4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spacing w:lineRule="exact" w:line="274" w:before="0" w:after="0"/>
        <w:ind w:right="4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Heading3"/>
        <w:keepLines w:val="false"/>
        <w:widowControl w:val="false"/>
        <w:shd w:val="clear" w:color="auto" w:fill="FFFFFF"/>
        <w:tabs>
          <w:tab w:val="clear" w:pos="708"/>
          <w:tab w:val="left" w:pos="1224" w:leader="none"/>
        </w:tabs>
        <w:spacing w:lineRule="auto" w:line="240" w:before="120" w:after="120"/>
        <w:textAlignment w:val="baseline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2.1.2. Требования к срокам выполнения работ</w:t>
      </w:r>
    </w:p>
    <w:tbl>
      <w:tblPr>
        <w:tblW w:w="10055" w:type="dxa"/>
        <w:jc w:val="left"/>
        <w:tblInd w:w="-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59"/>
        <w:gridCol w:w="3686"/>
        <w:gridCol w:w="2831"/>
        <w:gridCol w:w="2978"/>
      </w:tblGrid>
      <w:tr>
        <w:trPr/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36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Наименование работ/ этапа работ</w:t>
            </w:r>
          </w:p>
        </w:tc>
        <w:tc>
          <w:tcPr>
            <w:tcW w:w="28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Требования к началу срока выполнения работ/ этапа работ</w:t>
            </w:r>
          </w:p>
        </w:tc>
        <w:tc>
          <w:tcPr>
            <w:tcW w:w="29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Требования к окончанию срока выполнения работ / этапа работ</w:t>
            </w:r>
          </w:p>
        </w:tc>
      </w:tr>
      <w:tr>
        <w:trPr/>
        <w:tc>
          <w:tcPr>
            <w:tcW w:w="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83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spacing w:before="40" w:after="40"/>
              <w:ind w:left="57" w:right="57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spacing w:before="40" w:after="40"/>
              <w:ind w:left="57" w:right="57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2"/>
                <w:szCs w:val="22"/>
              </w:rPr>
              <w:t>4</w:t>
            </w:r>
          </w:p>
        </w:tc>
      </w:tr>
      <w:tr>
        <w:trPr/>
        <w:tc>
          <w:tcPr>
            <w:tcW w:w="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tabs>
                <w:tab w:val="clear" w:pos="708"/>
                <w:tab w:val="left" w:pos="360" w:leader="none"/>
              </w:tabs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shd w:val="clear" w:color="auto" w:fill="FFFFFF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2"/>
                <w:szCs w:val="22"/>
              </w:rPr>
              <w:t>Предпроектные работы</w:t>
            </w:r>
          </w:p>
        </w:tc>
        <w:tc>
          <w:tcPr>
            <w:tcW w:w="283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sz w:val="22"/>
                <w:szCs w:val="22"/>
              </w:rPr>
              <w:t>С даты заключения  договора, но не ранее 25.01.2027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sz w:val="22"/>
                <w:szCs w:val="22"/>
              </w:rPr>
              <w:t>15.04.2027</w:t>
            </w:r>
          </w:p>
        </w:tc>
      </w:tr>
      <w:tr>
        <w:trPr>
          <w:trHeight w:val="487" w:hRule="atLeast"/>
        </w:trPr>
        <w:tc>
          <w:tcPr>
            <w:tcW w:w="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tabs>
                <w:tab w:val="clear" w:pos="708"/>
                <w:tab w:val="left" w:pos="360" w:leader="none"/>
              </w:tabs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368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Разработка технического задания</w:t>
            </w:r>
          </w:p>
        </w:tc>
        <w:tc>
          <w:tcPr>
            <w:tcW w:w="283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16.04.2027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31.07.2027</w:t>
            </w:r>
          </w:p>
        </w:tc>
      </w:tr>
      <w:tr>
        <w:trPr>
          <w:trHeight w:val="450" w:hRule="atLeast"/>
        </w:trPr>
        <w:tc>
          <w:tcPr>
            <w:tcW w:w="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tabs>
                <w:tab w:val="clear" w:pos="708"/>
                <w:tab w:val="left" w:pos="360" w:leader="none"/>
              </w:tabs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68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Разработка проектной документации</w:t>
            </w:r>
          </w:p>
        </w:tc>
        <w:tc>
          <w:tcPr>
            <w:tcW w:w="283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01.08.2027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14.09.2027</w:t>
            </w:r>
          </w:p>
        </w:tc>
      </w:tr>
      <w:tr>
        <w:trPr>
          <w:trHeight w:val="510" w:hRule="atLeast"/>
        </w:trPr>
        <w:tc>
          <w:tcPr>
            <w:tcW w:w="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tabs>
                <w:tab w:val="clear" w:pos="708"/>
                <w:tab w:val="left" w:pos="360" w:leader="none"/>
              </w:tabs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368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Разработка рабочей документации</w:t>
            </w:r>
          </w:p>
        </w:tc>
        <w:tc>
          <w:tcPr>
            <w:tcW w:w="283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15.09.2027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31.10.2027</w:t>
            </w:r>
          </w:p>
        </w:tc>
      </w:tr>
      <w:tr>
        <w:trPr>
          <w:trHeight w:val="510" w:hRule="atLeast"/>
        </w:trPr>
        <w:tc>
          <w:tcPr>
            <w:tcW w:w="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tabs>
                <w:tab w:val="clear" w:pos="708"/>
                <w:tab w:val="left" w:pos="360" w:leader="none"/>
              </w:tabs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368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Разработка сметной документации</w:t>
            </w:r>
          </w:p>
        </w:tc>
        <w:tc>
          <w:tcPr>
            <w:tcW w:w="283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01.11.2027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Standard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10.12.2027</w:t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134" w:right="567" w:gutter="0" w:header="0" w:top="568" w:footer="709" w:bottom="766"/>
          <w:pgNumType w:fmt="decimal"/>
          <w:formProt w:val="false"/>
          <w:titlePg/>
          <w:textDirection w:val="lrTb"/>
          <w:docGrid w:type="default" w:linePitch="360" w:charSpace="8192"/>
        </w:sectPr>
      </w:pPr>
    </w:p>
    <w:p>
      <w:pPr>
        <w:pStyle w:val="Heading4"/>
        <w:ind w:left="426" w:right="40" w:hanging="43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z w:val="24"/>
          <w:szCs w:val="24"/>
        </w:rPr>
        <w:t xml:space="preserve">2.2. </w:t>
      </w:r>
      <w:bookmarkStart w:id="0" w:name="_Toc513396981"/>
      <w:bookmarkStart w:id="1" w:name="_Toc138770052"/>
      <w:r>
        <w:rPr>
          <w:rFonts w:ascii="Times New Roman" w:hAnsi="Times New Roman"/>
          <w:b w:val="false"/>
          <w:sz w:val="24"/>
          <w:szCs w:val="24"/>
        </w:rPr>
        <w:t xml:space="preserve">Требования к </w:t>
      </w:r>
      <w:r>
        <w:rPr>
          <w:rFonts w:ascii="Times New Roman" w:hAnsi="Times New Roman"/>
          <w:b w:val="false"/>
          <w:sz w:val="24"/>
          <w:szCs w:val="24"/>
          <w:lang w:eastAsia="ru-RU"/>
        </w:rPr>
        <w:t>качеству работ</w:t>
      </w:r>
    </w:p>
    <w:p>
      <w:pPr>
        <w:pStyle w:val="Heading1"/>
        <w:keepLines/>
        <w:spacing w:before="0" w:after="60"/>
        <w:jc w:val="left"/>
        <w:rPr>
          <w:rFonts w:ascii="Times New Roman" w:hAnsi="Times New Roman"/>
        </w:rPr>
      </w:pPr>
      <w:bookmarkStart w:id="2" w:name="_Toc513396982"/>
      <w:bookmarkEnd w:id="2"/>
      <w:r>
        <w:rPr>
          <w:b w:val="false"/>
          <w:szCs w:val="24"/>
        </w:rPr>
        <w:t xml:space="preserve">Таблица 4. Требования к </w:t>
      </w:r>
      <w:r>
        <w:rPr>
          <w:b w:val="false"/>
          <w:szCs w:val="24"/>
          <w:lang w:eastAsia="ru-RU"/>
        </w:rPr>
        <w:t>качеству работ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ОКПД2 71.12.19.000 Проведение проектно-изыскательских работ для создания Системы сбора и передачи информации (ССПИ) на ПС 110 кВ Сулгача в рамках инвестиционного проекта P_508-92538.</w:t>
      </w:r>
    </w:p>
    <w:tbl>
      <w:tblPr>
        <w:tblW w:w="15412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76"/>
        <w:gridCol w:w="2161"/>
        <w:gridCol w:w="9975"/>
        <w:gridCol w:w="2499"/>
      </w:tblGrid>
      <w:tr>
        <w:trPr>
          <w:trHeight w:val="562" w:hRule="atLeast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left"/>
              <w:rPr/>
            </w:pPr>
            <w:r>
              <w:rPr>
                <w:rFonts w:ascii="Times New Roman" w:hAnsi="Times New Roman"/>
                <w:bCs/>
              </w:rPr>
              <w:t xml:space="preserve">№ </w:t>
            </w:r>
            <w:r>
              <w:rPr>
                <w:rFonts w:ascii="Times New Roman" w:hAnsi="Times New Roman"/>
                <w:bCs/>
              </w:rPr>
              <w:t>п/п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Наименование параметра</w:t>
            </w:r>
          </w:p>
        </w:tc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Требование заказчика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Согласие с требованием</w:t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before="60" w:after="60"/>
              <w:jc w:val="left"/>
              <w:rPr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>
        <w:trPr>
          <w:trHeight w:val="297" w:hRule="atLeast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uppressAutoHyphens w:val="true"/>
              <w:bidi w:val="0"/>
              <w:spacing w:lineRule="auto" w:line="240" w:before="60" w:after="60"/>
              <w:ind w:left="-57" w:right="0" w:hanging="0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выполнению работ</w:t>
            </w:r>
          </w:p>
        </w:tc>
        <w:tc>
          <w:tcPr>
            <w:tcW w:w="2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ListParagraph"/>
              <w:widowControl w:val="false"/>
              <w:ind w:lef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ListParagraph"/>
              <w:widowControl w:val="false"/>
              <w:ind w:lef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 должен предоставить в заявке согласие выполнить работы, полностью соответствующие настоящим техническим требованиям</w:t>
            </w:r>
          </w:p>
        </w:tc>
      </w:tr>
      <w:tr>
        <w:trPr>
          <w:trHeight w:val="417" w:hRule="atLeast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uppressAutoHyphens w:val="true"/>
              <w:bidi w:val="0"/>
              <w:spacing w:lineRule="auto" w:line="240" w:before="60" w:after="60"/>
              <w:ind w:left="-57" w:right="0" w:hanging="0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1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требования к выполнению работ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63" w:hRule="atLeast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uppressAutoHyphens w:val="true"/>
              <w:bidi w:val="0"/>
              <w:spacing w:before="60" w:after="60"/>
              <w:ind w:left="-57" w:right="0" w:hanging="0"/>
              <w:jc w:val="left"/>
              <w:textAlignment w:val="baseline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1.1.1.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Общие требования</w:t>
            </w:r>
          </w:p>
        </w:tc>
        <w:tc>
          <w:tcPr>
            <w:tcW w:w="9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Проектно-изыскательские работы должны быть выполнены в таком объёме и с такой детализацией, чтобы по их результатам можно было сразу приступить к строительству/монтажу и ввести объект в эксплуатацию без дополнительных изысканий и допроектирования.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56" w:hRule="atLeast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uppressAutoHyphens w:val="true"/>
              <w:bidi w:val="0"/>
              <w:spacing w:before="60" w:after="60"/>
              <w:ind w:left="-57" w:right="0" w:hanging="0"/>
              <w:jc w:val="left"/>
              <w:textAlignment w:val="baseline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1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before="60" w:after="60"/>
              <w:rPr>
                <w:rFonts w:ascii="Times New Roman" w:hAnsi="Times New Roman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Требования к организации работ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tabs>
                <w:tab w:val="clear" w:pos="708"/>
                <w:tab w:val="left" w:pos="0" w:leader="none"/>
              </w:tabs>
              <w:suppressAutoHyphens w:val="true"/>
              <w:bidi w:val="0"/>
              <w:spacing w:lineRule="auto" w:line="240" w:before="60" w:after="60"/>
              <w:ind w:left="-57" w:right="0" w:hanging="1191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1.2.1.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pacing w:before="60" w:after="160"/>
              <w:ind w:left="0" w:hanging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организации работ</w:t>
            </w:r>
          </w:p>
        </w:tc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Подрядчик должен соблюдать требования Регламента РГ-00-032.05-22 ПАО «Якутскэнерго» «Допуск подрядных организаций и командированного персонала для выполнения работ на объектах ПАО «Якутскэнерго»; Стандарта ПАО «Якутскэнерго» «Положение по обращению с отходами», размещенных на сайте компании по адресу   https://yakutskenergo.ru/company/integrirovannaya-sistema-menedzhmenta/;</w:t>
            </w:r>
          </w:p>
          <w:p>
            <w:pPr>
              <w:pStyle w:val="ListParagraph"/>
              <w:widowControl w:val="false"/>
              <w:ind w:left="0" w:hanging="0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Определение и согласование со службами заказчика мест подключения коммуникаций;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pacing w:before="0" w:after="160"/>
              <w:ind w:left="0" w:hanging="0"/>
              <w:contextualSpacing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Контроль и ответственность за соблюдение правил техники безопасности персоналом Подрядчика, при проведении работ по сбору исходных данных возлагается на Подрядчика.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tabs>
                <w:tab w:val="clear" w:pos="708"/>
                <w:tab w:val="left" w:pos="0" w:leader="none"/>
              </w:tabs>
              <w:suppressAutoHyphens w:val="true"/>
              <w:bidi w:val="0"/>
              <w:spacing w:lineRule="auto" w:line="240" w:before="60" w:after="60"/>
              <w:ind w:left="-57" w:right="0" w:hanging="1191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1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3"/>
              </w:numPr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1199"/>
              <w:contextualSpacing w:val="false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контролю качества работ и материалов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Standard"/>
              <w:widowControl w:val="false"/>
              <w:spacing w:before="60" w:after="60"/>
              <w:jc w:val="left"/>
              <w:rPr/>
            </w:pPr>
            <w:r>
              <w:rPr>
                <w:rFonts w:ascii="Times New Roman" w:hAnsi="Times New Roman"/>
                <w:sz w:val="22"/>
              </w:rPr>
              <w:t>1.3.1.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pacing w:before="60" w:after="160"/>
              <w:ind w:left="0" w:hanging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Работы выполняются в соответствии с:</w:t>
            </w:r>
          </w:p>
        </w:tc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right="6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Вся рабочая, исполнительная и эксплуатационная документация разрабатывается в соответствии с национальными, отраслевыми и корпоративными (ПАО «РусГидро») нормативно-техническими документами; Нормативно-технические документы (НТД), определяющие требования к оформлению и содержанию разрабатываемой документации: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- Техническая политика Группы «РусГидро»</w:t>
            </w: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;</w:t>
            </w:r>
          </w:p>
          <w:p>
            <w:pPr>
              <w:pStyle w:val="Normal"/>
              <w:widowControl w:val="false"/>
              <w:spacing w:before="0" w:after="0"/>
              <w:ind w:right="6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 xml:space="preserve">- </w:t>
            </w:r>
            <w:r>
              <w:rPr>
                <w:rFonts w:ascii="Times New Roman" w:hAnsi="Times New Roman"/>
                <w:bCs/>
                <w:szCs w:val="20"/>
              </w:rPr>
              <w:t xml:space="preserve">Правила </w:t>
            </w:r>
            <w:r>
              <w:rPr>
                <w:rFonts w:ascii="Times New Roman" w:hAnsi="Times New Roman"/>
                <w:bCs/>
                <w:color w:val="000000"/>
                <w:szCs w:val="20"/>
              </w:rPr>
              <w:t xml:space="preserve">технологического функционирования электроэнергетических систем </w:t>
            </w:r>
            <w:r>
              <w:rPr>
                <w:rFonts w:ascii="Times New Roman" w:hAnsi="Times New Roman"/>
                <w:color w:val="000000"/>
                <w:szCs w:val="20"/>
              </w:rPr>
              <w:t>от 13 августа 2018 г. № 937;</w:t>
            </w:r>
          </w:p>
          <w:p>
            <w:pPr>
              <w:pStyle w:val="Normal"/>
              <w:widowControl w:val="false"/>
              <w:spacing w:lineRule="auto" w:line="240" w:before="0" w:after="0"/>
              <w:ind w:right="6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 xml:space="preserve">- </w:t>
            </w: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 xml:space="preserve">ГОСТ 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34.201-2020 </w:t>
            </w: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«Виды, комплектность и обозначения документов при создании автоматизированных систем»;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4184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 xml:space="preserve">- </w:t>
            </w: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 xml:space="preserve">ГОСТ Р 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21.101-2026 </w:t>
            </w: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СПДС.</w:t>
              <w:tab/>
              <w:t>«Основные требования к проектной и рабочей документации»;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08" w:leader="none"/>
              </w:tabs>
              <w:spacing w:lineRule="auto" w:line="240" w:before="0" w:after="0"/>
              <w:ind w:right="6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- ГОСТ Р 59795—2021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«Автоматизированные системы. Требования к содержанию документов»;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733" w:leader="none"/>
                <w:tab w:val="right" w:pos="5343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 xml:space="preserve">- </w:t>
            </w: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 xml:space="preserve">ГОСТ 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21.408-2013 </w:t>
            </w: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СПДС «Правила выполнения рабочей документации автоматизации технологических процессов»;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08" w:leader="none"/>
              </w:tabs>
              <w:spacing w:lineRule="auto" w:line="240" w:before="0" w:after="0"/>
              <w:ind w:right="6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 xml:space="preserve">- ГОСТ 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21.208-2013 </w:t>
            </w: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СПДС. «Автоматизация технологических процессов. Обозначения условные приборов и средств автоматизации в схемах»;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08" w:leader="none"/>
              </w:tabs>
              <w:spacing w:lineRule="auto" w:line="240" w:before="0" w:after="0"/>
              <w:ind w:right="6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 xml:space="preserve">- ГОСТ 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2.701-2008 </w:t>
            </w: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ЕСКД. «Схемы. Виды и типы. Общие требования к выполнению»;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08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 xml:space="preserve">- ГОСТ Р 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2.601-2019 </w:t>
            </w: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(Эксплуатационные документы);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08" w:leader="none"/>
              </w:tabs>
              <w:spacing w:lineRule="auto" w:line="240" w:before="0" w:after="0"/>
              <w:ind w:right="6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- ГОСТ Р 71962-2025 Средства  диспетчерского и технологического управления. Исполнительные схемы организации информационного обмена с диспетчерскими центрами субъекта оперативно-диспетчерского управления в электроэнергетике. Нормы и требования;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08" w:leader="none"/>
              </w:tabs>
              <w:spacing w:lineRule="auto" w:line="240" w:before="0" w:after="0"/>
              <w:ind w:right="6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- Приказ ПАО «РусГидро» от 18.08.2025 №682 Об утверждении перечней, применяемых в Группе РусГидро типовых технических решений информационно- технологической инфраструктуры и рабочих мест Группы РусГидро, а также запрещенных к использованию типов программного обеспечения»;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08" w:leader="none"/>
              </w:tabs>
              <w:spacing w:lineRule="auto" w:line="240" w:before="0" w:after="0"/>
              <w:ind w:right="6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- действующие в ПАО «Якутскэнерго» нормативно-технические документы;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08" w:leader="none"/>
                <w:tab w:val="right" w:pos="5343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- действующие федеральные законодательные документы РФ;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08" w:leader="none"/>
                <w:tab w:val="right" w:pos="5343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Отраслевые НТД: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08" w:leader="none"/>
                <w:tab w:val="right" w:pos="5343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- Правила по охране труда при эксплуатации электроустановок;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502" w:leader="none"/>
                <w:tab w:val="right" w:pos="5231" w:leader="none"/>
              </w:tabs>
              <w:spacing w:lineRule="auto" w:line="240" w:before="0" w:after="0"/>
              <w:ind w:right="6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- Правила устройства электроустановок (ПУЭ, действующее издание);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502" w:leader="none"/>
                <w:tab w:val="right" w:pos="5231" w:leader="none"/>
              </w:tabs>
              <w:spacing w:lineRule="auto" w:line="240" w:before="0" w:after="0"/>
              <w:ind w:right="6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- Правила технической эксплуатации электрических станций и сетей РФ (действующее издание);</w:t>
            </w:r>
          </w:p>
          <w:p>
            <w:pPr>
              <w:pStyle w:val="ListParagraph"/>
              <w:widowControl w:val="false"/>
              <w:spacing w:before="0" w:after="60"/>
              <w:ind w:left="0" w:hanging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0"/>
                <w:lang w:eastAsia="ru-RU"/>
              </w:rPr>
              <w:t>- Приказ Минстроя РФ от 16.05.2023 № 344/пр «Об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строительства.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Standard"/>
              <w:widowControl w:val="false"/>
              <w:spacing w:before="60" w:after="60"/>
              <w:jc w:val="left"/>
              <w:rPr/>
            </w:pPr>
            <w:r>
              <w:rPr>
                <w:rFonts w:ascii="Times New Roman" w:hAnsi="Times New Roman"/>
                <w:sz w:val="22"/>
              </w:rPr>
              <w:t>1.4.</w:t>
            </w:r>
          </w:p>
        </w:tc>
        <w:tc>
          <w:tcPr>
            <w:tcW w:w="1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before="60" w:after="60"/>
              <w:rPr>
                <w:rFonts w:ascii="Times New Roman" w:hAnsi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2"/>
              </w:rPr>
              <w:t>Требования к персоналу подрядчика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531" w:hRule="atLeast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uppressAutoHyphens w:val="true"/>
              <w:bidi w:val="0"/>
              <w:spacing w:before="60" w:after="60"/>
              <w:ind w:left="-57" w:right="0" w:hanging="0"/>
              <w:jc w:val="left"/>
              <w:textAlignment w:val="baseline"/>
              <w:rPr/>
            </w:pPr>
            <w:r>
              <w:rPr>
                <w:rFonts w:ascii="Times New Roman" w:hAnsi="Times New Roman"/>
                <w:sz w:val="22"/>
              </w:rPr>
              <w:t>1.4.1.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pacing w:before="60" w:after="160"/>
              <w:ind w:left="0" w:hanging="0"/>
              <w:contextualSpacing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Cs w:val="24"/>
              </w:rPr>
              <w:t>Квалификация персонала подрядчика, привлекаемого к выполнению работ</w:t>
            </w:r>
          </w:p>
        </w:tc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pacing w:before="60" w:after="160"/>
              <w:ind w:left="0" w:hanging="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Выполнение Работ осуществляется специалистами, сведения о которых включены в Национальный реестр специалистов в области инженерных изысканий и архитектурно-строительного проектирования (не менее трех специалистов)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pacing w:before="60" w:after="160"/>
              <w:ind w:left="0" w:hanging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before="60" w:after="60"/>
              <w:jc w:val="left"/>
              <w:rPr/>
            </w:pPr>
            <w:r>
              <w:rPr>
                <w:rFonts w:ascii="Times New Roman" w:hAnsi="Times New Roman"/>
                <w:sz w:val="22"/>
              </w:rPr>
              <w:t>1.5.</w:t>
            </w:r>
          </w:p>
        </w:tc>
        <w:tc>
          <w:tcPr>
            <w:tcW w:w="1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160"/>
              <w:ind w:left="0" w:hanging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4"/>
              </w:rPr>
              <w:t>Требования к безопасности работ и охране труда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before="60" w:after="60"/>
              <w:jc w:val="left"/>
              <w:rPr/>
            </w:pPr>
            <w:r>
              <w:rPr>
                <w:rFonts w:ascii="Times New Roman" w:hAnsi="Times New Roman"/>
                <w:sz w:val="22"/>
              </w:rPr>
              <w:t>1.5.1.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pacing w:before="60" w:after="160"/>
              <w:ind w:left="0" w:hanging="0"/>
              <w:contextualSpacing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Cs w:val="24"/>
              </w:rPr>
              <w:t>Требования к безопасности выполняемых работ</w:t>
            </w:r>
          </w:p>
        </w:tc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Cs w:val="24"/>
              </w:rPr>
              <w:t>Подрядчик должен: соблюдать требования действующего федерального законодательства Российской Федерации, нормативных правовых актов субъектов Российской Федерации, в т.ч. законодательство о недрах, охране окружающей среды, промышленной и пожарной безопасности, охране труда, энергоэффективности, рационального использования природных ресурсов и полезных ископаемых, а также все прочие законы и нормативные акты, относящиеся к сфере деятельности;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textAlignment w:val="baseline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Требования</w:t>
            </w:r>
            <w:r>
              <w:rPr>
                <w:rFonts w:ascii="Times New Roman" w:hAnsi="Times New Roman"/>
                <w:bCs/>
                <w:szCs w:val="24"/>
              </w:rPr>
              <w:t xml:space="preserve"> к результатам работ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w="1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before="60"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Общие требования к результатам работ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2.1.1.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</w:t>
            </w:r>
            <w:r>
              <w:rPr>
                <w:rFonts w:ascii="Times New Roman" w:hAnsi="Times New Roman"/>
                <w:iCs/>
              </w:rPr>
              <w:t xml:space="preserve"> требования к проектной документации</w:t>
            </w:r>
          </w:p>
        </w:tc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Вся проектная и/или рабочая документация разрабатывается с соблюдением требований Регламента РГ-00-032.06-24 ПАО «Якутскэнерго» «Допуск подрядных организаций к выполнению работ на объектах ПАО «Якутскэнерго»; Стандарта ПАО «Якутскэнерго» «Положение по обращению с отходами», размещенных на сайте компании;</w:t>
            </w:r>
          </w:p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Определение и согласование со службами заказчика мест подключения коммуникаций;</w:t>
            </w:r>
          </w:p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Cs w:val="24"/>
              </w:rPr>
              <w:t>Контроль и ответственность за соблюдение правил техники безопасности персоналом Подрядчика, при проведении работ по сбору исходных данных возлагается на Подрядчика.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2.1.2.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textAlignment w:val="baseline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Особые требования к разработке проектной и рабочей документации</w:t>
            </w:r>
          </w:p>
        </w:tc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color w:val="000000"/>
                <w:sz w:val="22"/>
                <w:szCs w:val="24"/>
                <w:lang w:eastAsia="ru-RU"/>
              </w:rPr>
              <w:t>1) Должен обеспечиваться сбор и передача в ДП Чурапчинского РЭС и ДП ЦЭС, точек измерения и состава телеметрической информации, которые необходимо определить и уточнить на этапе предпроектного обследования.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color w:val="000000"/>
                <w:sz w:val="22"/>
                <w:szCs w:val="24"/>
                <w:lang w:eastAsia="ru-RU"/>
              </w:rPr>
              <w:t>2) Для организации информационного обмена должны максимально использоваться существующие технические средства каналов связи.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color w:val="000000"/>
                <w:sz w:val="22"/>
                <w:szCs w:val="24"/>
                <w:lang w:eastAsia="ru-RU"/>
              </w:rPr>
              <w:t>3) При разработке рабочей документации требуется предусмотреть следующее: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color w:val="000000"/>
                <w:sz w:val="22"/>
                <w:szCs w:val="24"/>
                <w:lang w:eastAsia="ru-RU"/>
              </w:rPr>
              <w:t>- Сетевые коммутаторы, шлюзы должны располагаться в одном конструктиве с блоками питания.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color w:val="000000"/>
                <w:sz w:val="22"/>
                <w:szCs w:val="24"/>
                <w:lang w:eastAsia="ru-RU"/>
              </w:rPr>
              <w:t>- Линии электропитания сетевых коммутаторов должны быть защищены от механических повреждений и несанкционированных отключений.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color w:val="000000"/>
                <w:sz w:val="22"/>
                <w:szCs w:val="24"/>
                <w:lang w:eastAsia="ru-RU"/>
              </w:rPr>
              <w:t xml:space="preserve">4) Решение по каналам связи между </w:t>
            </w:r>
            <w:r>
              <w:rPr>
                <w:rFonts w:eastAsia="Calibri" w:cs="Times New Roman" w:ascii="Times New Roman" w:hAnsi="Times New Roman"/>
                <w:bCs/>
                <w:iCs/>
                <w:color w:val="000000"/>
                <w:sz w:val="22"/>
                <w:szCs w:val="22"/>
                <w:lang w:eastAsia="ru-RU"/>
              </w:rPr>
              <w:t>ПС 110 кВ Сулгачи</w:t>
            </w:r>
            <w:r>
              <w:rPr>
                <w:rFonts w:eastAsia="Calibri" w:ascii="Times New Roman" w:hAnsi="Times New Roman"/>
                <w:bCs/>
                <w:color w:val="000000"/>
                <w:sz w:val="22"/>
                <w:szCs w:val="24"/>
                <w:lang w:eastAsia="ru-RU"/>
              </w:rPr>
              <w:t>, ДП Чурапчинского РЭС и ДП ЦЭС должно включать расчет параметров каналов связи, обеспечивать совместимость с действующим оборудованием, обеспечивать необходимую пропускную способность с требуемым быстродействием и надёжность каналов.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color w:val="000000"/>
                <w:sz w:val="22"/>
                <w:szCs w:val="24"/>
                <w:lang w:eastAsia="ru-RU"/>
              </w:rPr>
              <w:t>5) Используемая в проекте радиоэлектронная продукция должна быть включена в один из следующих реестров: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color w:val="000000"/>
                <w:sz w:val="22"/>
                <w:szCs w:val="24"/>
                <w:lang w:eastAsia="ru-RU"/>
              </w:rPr>
              <w:t>- в реестр промышленной продукции, произведенной на территории Российской Федерации, предусмотренном постановлением Правительства Российской Федерации от от 11 декабря 2024 г. N 1762 «О внесении изменений в некоторые акты Правительства Российской Федерации»;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color w:val="000000"/>
                <w:sz w:val="22"/>
                <w:szCs w:val="24"/>
                <w:lang w:eastAsia="ru-RU"/>
              </w:rPr>
              <w:t>- в единый реестр российской радиоэлектронной продукции, предусмотренном постановлением Правительства Российской Федерации от 10.07.2019 № 878 «О мерах стимулирования производства радиоэлектронной продукции на территории Российской Федерации при осуществлении закупок товаров, работ, услуг для обеспечения государственных и муниципальных нужд, о внесении изменений в постановление Правительства Российской Федерации от 16 сентября 2016 г. № 925 и признании утратившими силу некоторых актов Правительства Российской Федерации».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color w:val="000000"/>
                <w:sz w:val="22"/>
                <w:szCs w:val="24"/>
                <w:lang w:eastAsia="ru-RU"/>
              </w:rPr>
              <w:t>6) Всё программное обеспечение должно быть включено в Единый реестр российских программ для электронных вычислительных машин и баз данных Минкомсвязи России (https://reestr.minsvyaz.ru/reestr/).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406" w:hRule="atLeast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2.1.3.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60" w:after="160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Требования к соблюдению нормативной базы</w:t>
            </w:r>
          </w:p>
        </w:tc>
        <w:tc>
          <w:tcPr>
            <w:tcW w:w="9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bCs/>
                <w:iCs/>
                <w:sz w:val="22"/>
              </w:rPr>
              <w:t>Результаты работ должны быть выполнены в соответствии с ГОСТ Р 21.101-2026 "Система проектной документации для строительства. Основные требования к проектной и рабочей документации» утверждён приказом Росстандарта от 12 февраля 2026 года № 129-ст., Постановлением Правительства РФ № 87 от 16.02.2008 «О составе разделов проектной документации и требованиях к их содержанию» и  достаточны для прохождения экспертизы в государственных органах и получения необходимых разрешений на выполнение работ.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2.2.</w:t>
            </w:r>
          </w:p>
        </w:tc>
        <w:tc>
          <w:tcPr>
            <w:tcW w:w="1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 оформлению документации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2.2.1.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Cs w:val="24"/>
              </w:rPr>
              <w:t>Требования к результату разработки проектной документации (ПД):</w:t>
            </w:r>
          </w:p>
        </w:tc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Cs w:val="24"/>
              </w:rPr>
              <w:t>ПД выполнить в 2 экземплярах в бумажном виде (графические приложения на формате А0, А1, А2, текстовые и табличные - А4), а также 1 экземпляр на электронном носителе (CD, DVD, flash-диск):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Cs w:val="24"/>
              </w:rPr>
              <w:t xml:space="preserve">- текстовая часть в формате </w:t>
            </w:r>
            <w:r>
              <w:rPr>
                <w:rFonts w:ascii="Times New Roman" w:hAnsi="Times New Roman"/>
                <w:iCs/>
                <w:szCs w:val="24"/>
                <w:lang w:val="en-US"/>
              </w:rPr>
              <w:t>DOC</w:t>
            </w:r>
            <w:r>
              <w:rPr>
                <w:rFonts w:ascii="Times New Roman" w:hAnsi="Times New Roman"/>
                <w:iCs/>
                <w:szCs w:val="24"/>
              </w:rPr>
              <w:t xml:space="preserve">, </w:t>
            </w:r>
            <w:r>
              <w:rPr>
                <w:rFonts w:ascii="Times New Roman" w:hAnsi="Times New Roman"/>
                <w:iCs/>
                <w:szCs w:val="24"/>
                <w:lang w:val="en-US"/>
              </w:rPr>
              <w:t>XLS</w:t>
            </w:r>
            <w:r>
              <w:rPr>
                <w:rFonts w:ascii="Times New Roman" w:hAnsi="Times New Roman"/>
                <w:iCs/>
                <w:szCs w:val="24"/>
              </w:rPr>
              <w:t>;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Cs w:val="24"/>
              </w:rPr>
              <w:t xml:space="preserve">- графическая часть в формате </w:t>
            </w:r>
            <w:r>
              <w:rPr>
                <w:rFonts w:ascii="Times New Roman" w:hAnsi="Times New Roman"/>
                <w:iCs/>
                <w:szCs w:val="24"/>
                <w:lang w:val="en-US"/>
              </w:rPr>
              <w:t>DWG</w:t>
            </w:r>
            <w:r>
              <w:rPr>
                <w:rFonts w:ascii="Times New Roman" w:hAnsi="Times New Roman"/>
                <w:iCs/>
                <w:szCs w:val="24"/>
              </w:rPr>
              <w:t>;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 xml:space="preserve">- в виде скан-образов в формате </w:t>
            </w:r>
            <w:r>
              <w:rPr>
                <w:rFonts w:ascii="Times New Roman" w:hAnsi="Times New Roman"/>
                <w:iCs/>
                <w:szCs w:val="24"/>
                <w:lang w:val="en-US"/>
              </w:rPr>
              <w:t>PDF</w:t>
            </w:r>
            <w:r>
              <w:rPr>
                <w:rFonts w:ascii="Times New Roman" w:hAnsi="Times New Roman"/>
                <w:iCs/>
                <w:szCs w:val="24"/>
              </w:rPr>
              <w:t>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Cs w:val="24"/>
              </w:rPr>
              <w:t>Вся документация должна быть выполнена и предоставлена на русском языке.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Cs w:val="24"/>
              </w:rPr>
              <w:t>Все бумажные экземпляры должны быть сброшюрованы.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Cs w:val="24"/>
              </w:rPr>
              <w:t>Передача согласованной документации осуществляется в С СДТУ  ЦЭС ПАО «Якутскэнерго» по акту сдачи-приемки выполненных работ. Качество выполняемых проектной организацией работ должно соответствовать условиям и требованиям настоящих технических требований.</w:t>
            </w:r>
          </w:p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Cs w:val="24"/>
              </w:rPr>
              <w:t>Обнаруженные при приемке работ замечания, Проектная организация устраняет за свой счет и в сроки, указанные приемочной комиссией. При направлении откорректированных материалов ПСД проектной организацией должен быть приложен перечень направляемых томов (разделов) с указанием страниц, в которые были внесены изменения.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700" w:hRule="atLeast"/>
        </w:trPr>
        <w:tc>
          <w:tcPr>
            <w:tcW w:w="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2.2.2.</w:t>
            </w:r>
          </w:p>
        </w:tc>
        <w:tc>
          <w:tcPr>
            <w:tcW w:w="2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Требования к результату  разработки сметной документации (СД) </w:t>
            </w:r>
          </w:p>
        </w:tc>
        <w:tc>
          <w:tcPr>
            <w:tcW w:w="9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Использование нормативов ценообразования, не зарегистрированных и не вошедших в ФРСН, не допускается, кроме случаев, прямо указанных в настоящих требованиях.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Версия программного комплекса «Гранд-Смета» (далее-ПК «Гранд-смета») должна быть не ниже 2025.2.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составлении смет руководствоваться «Методикой определения сметной стоимости строительства»,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введенной в действие Приказом Министерства строительства и ЖКХ РФ от 04.08.2020 № 421/пр. (далее - Методика 2020 определения сметной стоимости строительства) с учетом изменений и дополнений.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сметной стоимости ресурсно-индексным методом, работ, на строительство и работ по реконструкции объектов капитального строительства - с использованием сметных норм, сметных цен строительных ресурсов в базисном уровне цен и одновременным применением информации о сметных ценах, размещенной в ФГИС ЦС, а также индексов изменения сметной стоимости к составляющим единичных расценок в базисном уровне цен. Сметная стоимость, определенная с применением ресурсно-индексного метода, приводится в ЛСР (ЛС) в текущем уровне цен.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определении сметной стоимости ресурсно-индексным методом применяются индексы изменения сметной стоимости на текущий период (при наличии) для соответствующих видов объектов капитального строительства и субъектов Российской Федерации (частей территорий субъектов Российской Федерации).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ресурсно-индексного метода: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индексы к отдельным строительным ресурсам, индексы к группам строительных ресурсов (индексы к сметной стоимости отдельных материалов, изделий, конструкций, оборудования, эксплуатации машин и механизмов или к стоимости однородных групп таких строительных ресурсов);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индексы изменения сметных цен на перевозку грузов - применяются к сметной стоимости затрат на перевозку грузов для строительства автомобильным транспортом, в том числе на дополнительное расстояние, сверх учтенного сметными ценами на материальные ресурсы и оборудование, в соответствии с типом автотранспортных средств;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индексы изменения сметной стоимости оборудования - применяются к сметной стоимости оборудования;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индексы изменения сметной стоимости, рассчитываемые для применения к сметной стоимости отдельных видов прочих работ и затрат.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отсутствии информации о сметных ценах в ФГИС ЦС по материальным ресурсам и оборудованию, их сметная цена формируется Методом анализа ТКП в соответствии с Методикой формирования плановой цены на закупаемую продукцию для организаций Группы РусГидро Приказ от 21.11.2024 г. №806, Приложение №3 в редакции Приказа №2365 от 28.11.2024 (далее - Методика ПЦ).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этом предпочтительно применение информации в техническом задании о сметных нормативах на материально-технические ресурсы и оборудование, приведенной в классификаторе строительных ресурсов.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Сметная цена материальных ресурсов и оборудования принимается на основании информации, размещенной в ФГИС ЦС и учитывает затраты, связанные с их приобретением (в том числе стоимость тары, упаковки, реквизита (при наличии таковых), для оборудования также -стоимости комплекта запасных частей на гарантийный срок эксплуатации), заготовительно-складские расходы, стоимость перевозки.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Стоимость материально-технических ресурсов (далее-МТР), не учтенных в расценках, определяется по сборнику сметных цен на материалы (далее - ССЦ), утвержденному в установленном порядке и внесенному в ФРСН. Номенклатура принимаемых по сборнику МТР должна строго соответствовать номенклатуре, определенной проектом, «применительное» использование расценок сборника не допускается.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Сметная стоимость материальных ресурсов и индивидуального стандартизированного (адаптированного) оборудования в текущем уровне цен, информация о которых отсутствует во ФГИС ЦС и ФРСН, определяется с учетом транспортных и заготовительно-складских затрат.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Транспортные затраты определяются следующими методами: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расчетом с учетом расстояния перевозки, класса грузов, типа транспорта, наличии погрузо-разгрузочных работ, информации о ценах на услуги на перевозку грузов, в зависимости от вида транспорта (ж/д, автомобильный, речной, морской, воздушный), включенных в ФГИС ЦС и в соответствии со сметными нормативами, включенными в ФРСН;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результатам конъюнктурного анализа с учетом данных о стоимости услуг, полученных не менее чем от 2-х (двух) поставщиков (производителей) таких услуг, либо на основании данных по 1 (одному) поставщику транспортных услуг, который является производителем или поставщиком материальных ресурсов или оборудования (при отсутствии информации в ФГИС ЦС);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размере до 3-х процентов от отпускной цены оборудования (при невозможности определить затраты расчетом или по результатам конъюнктурного анализа), по решению заказчика.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Если транспортировка осуществляется заказчиком самостоятельно (самовывоз), данный показатель не учитывается.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Заготовительно-складские расходы определяются в % от суммы отпускной цены материалов, изделий, конструкций, оборудования и транспортных затрат: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573" w:leader="none"/>
              </w:tabs>
              <w:suppressAutoHyphens w:val="true"/>
              <w:bidi w:val="0"/>
              <w:spacing w:lineRule="auto" w:line="259" w:before="0" w:after="160"/>
              <w:ind w:left="340" w:right="0" w:hanging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ab/>
              <w:t>2% - для материальных ресурсов (кроме металлоконструкций);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573" w:leader="none"/>
              </w:tabs>
              <w:suppressAutoHyphens w:val="true"/>
              <w:bidi w:val="0"/>
              <w:spacing w:lineRule="auto" w:line="259" w:before="0" w:after="160"/>
              <w:ind w:left="34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ab/>
              <w:t>0,75% - для металлоконструкций;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573" w:leader="none"/>
              </w:tabs>
              <w:suppressAutoHyphens w:val="true"/>
              <w:bidi w:val="0"/>
              <w:spacing w:lineRule="auto" w:line="259" w:before="0" w:after="160"/>
              <w:ind w:left="340" w:right="0" w:hanging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ab/>
              <w:t>1,2% - для оборудования.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 формировании сметной стоимости с ЛСР (ЛС) отдельно выделяется сметная стоимость по видам оборудования: инженерное; технологическое; лабораторное; транспортные средства; инструмент для технологических процессов; производственный и хозяйственный инвентарь, в т.ч. мебель.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 использовании в сметах коэффициентов и лимитированных затрат указывать обоснование из технической части, вводных указаний сборников или других нормативных документов и приложений к ним.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Поправочные коэффициенты из технической части к расценкам (например, на демонтаж или для учета особых условий выполнения работ) учитываются индивидуально для каждой позиции и в выходных формах при выгрузке в формат «Excel» указываются по позиционно. Коэффициенты, учитывающие усложняющие факторы и условия производства работ, могут применяться одновременно с другими коэффициентами, предусмотренными сметными нормативами, включенными в ФРСН. При одновременном применении коэффициенты перемножаются, результат округляется до семи знаков после запятой.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 внесении изменений в сметную документацию разрабатывается сводный сметный расчет, определяющий общую сметную стоимость строительства с учетом произведенных изменений проектной и (или) иной технической документации на полный объем работ с учетом объемов корректировки (исключаемых и дополнительных). По решению заказчика дополнительно может быть разработан отдельный сводный сметный расчет, определяющий сметную стоимость изменений. Локальные сметные расчеты (сметы) разрабатываются отдельно на исключаемые и дополнительные объемы работ.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 ЛСР (ЛС) указывать величину накладных расходов по видам строительных, ремонтно-строительных, монтажных и пусконаладочных работ, на основании нормативных документов, внесенных в ФРСН.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 ЛСР (ЛС) указывать величину сметной прибыли по видам строительных, ремонтно-строительных, монтажных и пусконаладочных работ, на основании актуальных нормативных документов, внесенных в ФРСН.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 локальных сметных расчетах построчные и итоговые суммы округлять: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ресурсно-индексном и ресурсным методах, а также в сметных расчетах на отдельные виды затрат - в рублях до целых единиц;</w:t>
            </w:r>
          </w:p>
          <w:p>
            <w:pPr>
              <w:pStyle w:val="ListParagraph"/>
              <w:widowControl w:val="false"/>
              <w:ind w:left="-4" w:right="-2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Сметная документация должна быть представлена на электронном носителе (в форматах «xml», ПК «Гранд-Смета», «Excel», «pdf»);</w:t>
            </w:r>
          </w:p>
          <w:p>
            <w:pPr>
              <w:pStyle w:val="ListParagraph"/>
              <w:widowControl w:val="false"/>
              <w:spacing w:before="0" w:after="160"/>
              <w:ind w:left="-4" w:right="-2" w:hanging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сметная документация в формате «Excel» должна быть представлена в одном файле с внесением СР, ОС, ЛСР и других расчетов на отдельные листы (вкладки) документа.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 xml:space="preserve">3. </w:t>
            </w:r>
          </w:p>
        </w:tc>
        <w:tc>
          <w:tcPr>
            <w:tcW w:w="1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20" w:after="160"/>
              <w:ind w:left="0" w:hanging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4"/>
              </w:rPr>
              <w:t>Требования к ответственности и гарантиям подрядчика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00" w:hRule="atLeast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pacing w:lineRule="auto" w:line="240" w:before="60" w:after="60"/>
              <w:ind w:left="0" w:hanging="0"/>
              <w:contextualSpacing w:val="false"/>
              <w:jc w:val="left"/>
              <w:textAlignment w:val="baseline"/>
              <w:rPr/>
            </w:pPr>
            <w:r>
              <w:rPr>
                <w:rFonts w:ascii="Times New Roman" w:hAnsi="Times New Roman"/>
              </w:rPr>
              <w:t>3.1.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Cs w:val="24"/>
              </w:rPr>
              <w:t>Гарантийный срок на результат работ</w:t>
            </w:r>
          </w:p>
        </w:tc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160"/>
              <w:ind w:left="0" w:hanging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4"/>
              </w:rPr>
              <w:t>Срок гарантии выполненных работ устанавливается 24 месяца со дня подписания сторонами Акта сдачи-приемки выполненных работ.</w:t>
            </w:r>
          </w:p>
        </w:tc>
        <w:tc>
          <w:tcPr>
            <w:tcW w:w="249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  <w:bookmarkStart w:id="3" w:name="_Toc513396982_Копия_1"/>
            <w:bookmarkStart w:id="4" w:name="_Toc513396982_Копия_1"/>
            <w:bookmarkEnd w:id="0"/>
            <w:bookmarkEnd w:id="1"/>
            <w:bookmarkEnd w:id="4"/>
          </w:p>
        </w:tc>
      </w:tr>
    </w:tbl>
    <w:p>
      <w:pPr>
        <w:sectPr>
          <w:footerReference w:type="default" r:id="rId3"/>
          <w:footerReference w:type="first" r:id="rId4"/>
          <w:type w:val="nextPage"/>
          <w:pgSz w:orient="landscape" w:w="16838" w:h="11906"/>
          <w:pgMar w:left="709" w:right="568" w:gutter="0" w:header="0" w:top="1134" w:footer="709" w:bottom="766"/>
          <w:pgNumType w:fmt="decimal"/>
          <w:formProt w:val="false"/>
          <w:titlePg/>
          <w:textDirection w:val="lrTb"/>
          <w:docGrid w:type="default" w:linePitch="360" w:charSpace="8192"/>
        </w:sectPr>
      </w:pPr>
    </w:p>
    <w:p>
      <w:pPr>
        <w:pStyle w:val="Normal"/>
        <w:widowControl w:val="false"/>
        <w:spacing w:lineRule="exact" w:line="274" w:before="0" w:after="0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</w:r>
    </w:p>
    <w:p>
      <w:pPr>
        <w:pStyle w:val="Normal"/>
        <w:widowControl w:val="false"/>
        <w:spacing w:lineRule="exact" w:line="274" w:before="0" w:after="0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</w:r>
    </w:p>
    <w:p>
      <w:pPr>
        <w:pStyle w:val="Heading1"/>
        <w:keepLines/>
        <w:widowControl w:val="false"/>
        <w:numPr>
          <w:ilvl w:val="0"/>
          <w:numId w:val="2"/>
        </w:numPr>
        <w:tabs>
          <w:tab w:val="clear" w:pos="708"/>
          <w:tab w:val="left" w:pos="357" w:leader="none"/>
        </w:tabs>
        <w:spacing w:before="240" w:after="120"/>
        <w:ind w:left="426" w:hanging="426"/>
        <w:jc w:val="left"/>
        <w:textAlignment w:val="baseline"/>
        <w:rPr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Требования к документации по ценообразованию на этапе закупки</w:t>
      </w:r>
    </w:p>
    <w:p>
      <w:pPr>
        <w:pStyle w:val="Normal"/>
        <w:widowControl w:val="false"/>
        <w:spacing w:lineRule="auto" w:line="276"/>
        <w:jc w:val="both"/>
        <w:rPr>
          <w:rFonts w:ascii="Times New Roman" w:hAnsi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000000"/>
          <w:sz w:val="24"/>
          <w:szCs w:val="24"/>
          <w:lang w:eastAsia="ru-RU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 (с указанием понижающего коэффициента).</w:t>
      </w:r>
    </w:p>
    <w:p>
      <w:pPr>
        <w:pStyle w:val="Normal"/>
        <w:widowControl w:val="false"/>
        <w:spacing w:lineRule="auto" w:line="27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Стоимость предложений участников определяется по формуле:</w:t>
      </w:r>
    </w:p>
    <w:p>
      <w:pPr>
        <w:pStyle w:val="Normal"/>
        <w:widowControl w:val="false"/>
        <w:spacing w:lineRule="auto" w:line="276" w:before="0" w:after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P=N*k,</w:t>
      </w:r>
    </w:p>
    <w:p>
      <w:pPr>
        <w:pStyle w:val="Normal"/>
        <w:widowControl w:val="false"/>
        <w:spacing w:lineRule="auto" w:line="27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где P - стоимость предложения участника;</w:t>
      </w:r>
    </w:p>
    <w:p>
      <w:pPr>
        <w:pStyle w:val="Normal"/>
        <w:widowControl w:val="false"/>
        <w:spacing w:lineRule="auto" w:line="27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N - начальная (максимальная) цена договора (цена лота), определенная в соответствии со сметной документацией Заказчика, представленной в составе Документации о закупке (приложение № 2 к ТТ);</w:t>
      </w:r>
    </w:p>
    <w:p>
      <w:pPr>
        <w:pStyle w:val="Normal"/>
        <w:widowControl w:val="false"/>
        <w:spacing w:lineRule="auto" w:line="27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k - понижающий коэффициент, заявленный участником в расчете цены заявки, величину данного коэффициента рекомендуется учитывать с округлением до 7 знаков после запятой.</w:t>
      </w:r>
    </w:p>
    <w:p>
      <w:pPr>
        <w:pStyle w:val="Normal"/>
        <w:widowControl w:val="false"/>
        <w:spacing w:lineRule="auto" w:line="276" w:before="0" w:after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bookmarkStart w:id="5" w:name="_Toc138770055"/>
      <w:bookmarkStart w:id="6" w:name="_Toc138770056"/>
      <w:bookmarkStart w:id="7" w:name="_Toc138770054"/>
      <w:bookmarkStart w:id="8" w:name="_Toc138770058"/>
      <w:bookmarkStart w:id="9" w:name="_Toc138770060"/>
      <w:bookmarkStart w:id="10" w:name="_Toc1350424071"/>
      <w:bookmarkStart w:id="11" w:name="_Toc533933121"/>
      <w:bookmarkStart w:id="12" w:name="_Toc138770057"/>
      <w:bookmarkStart w:id="13" w:name="_Toc138770059"/>
      <w:bookmarkStart w:id="14" w:name="_Toc138770061"/>
      <w:r>
        <w:rPr>
          <w:rFonts w:ascii="Times New Roman" w:hAnsi="Times New Roman"/>
          <w:color w:val="000000"/>
          <w:sz w:val="24"/>
          <w:szCs w:val="24"/>
          <w:lang w:eastAsia="ru-RU"/>
        </w:rPr>
        <w:t>3.2. Дополнительные документы по ценообразованию (сметная документация) в состав заявки Участника не включается.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>
      <w:pPr>
        <w:pStyle w:val="Heading1"/>
        <w:keepLines/>
        <w:widowControl w:val="false"/>
        <w:numPr>
          <w:ilvl w:val="0"/>
          <w:numId w:val="2"/>
        </w:numPr>
        <w:tabs>
          <w:tab w:val="clear" w:pos="708"/>
          <w:tab w:val="left" w:pos="357" w:leader="none"/>
        </w:tabs>
        <w:spacing w:before="240" w:after="120"/>
        <w:ind w:left="426" w:hanging="426"/>
        <w:jc w:val="left"/>
        <w:textAlignment w:val="baseline"/>
        <w:rPr>
          <w:rFonts w:eastAsia="SimSun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Условия</w:t>
      </w:r>
      <w:r>
        <w:rPr>
          <w:rFonts w:eastAsia="SimSun"/>
          <w:color w:val="000000"/>
          <w:szCs w:val="24"/>
          <w:lang w:eastAsia="ru-RU"/>
        </w:rPr>
        <w:t xml:space="preserve"> составления сметной документации (при заключении договора)</w:t>
      </w:r>
    </w:p>
    <w:p>
      <w:pPr>
        <w:pStyle w:val="Heading1"/>
        <w:keepLines/>
        <w:widowControl w:val="false"/>
        <w:numPr>
          <w:ilvl w:val="1"/>
          <w:numId w:val="4"/>
        </w:numPr>
        <w:tabs>
          <w:tab w:val="clear" w:pos="708"/>
          <w:tab w:val="left" w:pos="357" w:leader="none"/>
        </w:tabs>
        <w:spacing w:before="240" w:after="120"/>
        <w:jc w:val="both"/>
        <w:textAlignment w:val="baseline"/>
        <w:rPr>
          <w:rFonts w:eastAsia="SimSun"/>
          <w:b w:val="false"/>
          <w:color w:val="000000"/>
          <w:szCs w:val="24"/>
          <w:lang w:eastAsia="ru-RU"/>
        </w:rPr>
      </w:pPr>
      <w:r>
        <w:rPr>
          <w:rFonts w:eastAsia="SimSun"/>
          <w:b w:val="false"/>
          <w:color w:val="000000"/>
          <w:szCs w:val="24"/>
          <w:lang w:eastAsia="ru-RU"/>
        </w:rPr>
        <w:t>Сметная документация составлена Заказчиком в рамках определения начальной (максимальной) цены договора и включается в состав договора с применением понижающего коэффициента, указанного в заявке Участника, с которым принято решение заключить договор. Понижающий коэффициент начисляется в локальных сметах единым индексом в итогах.</w:t>
      </w:r>
    </w:p>
    <w:p>
      <w:pPr>
        <w:pStyle w:val="Heading1"/>
        <w:keepLines/>
        <w:widowControl w:val="false"/>
        <w:numPr>
          <w:ilvl w:val="1"/>
          <w:numId w:val="4"/>
        </w:numPr>
        <w:tabs>
          <w:tab w:val="clear" w:pos="708"/>
          <w:tab w:val="left" w:pos="357" w:leader="none"/>
        </w:tabs>
        <w:spacing w:before="240" w:after="120"/>
        <w:jc w:val="both"/>
        <w:textAlignment w:val="baseline"/>
        <w:rPr>
          <w:rFonts w:eastAsia="SimSun"/>
          <w:b w:val="false"/>
          <w:color w:val="000000"/>
          <w:szCs w:val="24"/>
          <w:lang w:eastAsia="ru-RU"/>
        </w:rPr>
      </w:pPr>
      <w:r>
        <w:rPr>
          <w:rFonts w:eastAsia="SimSun"/>
          <w:b w:val="false"/>
          <w:color w:val="000000"/>
          <w:szCs w:val="24"/>
          <w:lang w:eastAsia="ru-RU"/>
        </w:rPr>
        <w:t xml:space="preserve"> </w:t>
      </w:r>
      <w:r>
        <w:rPr>
          <w:rFonts w:eastAsia="SimSun"/>
          <w:b w:val="false"/>
          <w:color w:val="000000"/>
          <w:szCs w:val="24"/>
          <w:lang w:eastAsia="ru-RU"/>
        </w:rPr>
        <w:t>Внесение изменений в сметную документацию Заказчика (Приложение №2 к ТТ), кроме применения понижающего коэффициента в соответствии с п. 4.1, не допускается.</w:t>
      </w:r>
    </w:p>
    <w:p>
      <w:pPr>
        <w:pStyle w:val="Heading1"/>
        <w:keepLines/>
        <w:widowControl w:val="false"/>
        <w:tabs>
          <w:tab w:val="clear" w:pos="708"/>
          <w:tab w:val="left" w:pos="357" w:leader="none"/>
        </w:tabs>
        <w:spacing w:before="240" w:after="120"/>
        <w:jc w:val="left"/>
        <w:textAlignment w:val="baseline"/>
        <w:rPr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5. Приложения: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Перечень необходимой телеметрической информации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Сметная документация.</w:t>
      </w:r>
    </w:p>
    <w:p>
      <w:pPr>
        <w:pStyle w:val="Normal"/>
        <w:spacing w:lineRule="auto" w:line="240" w:before="0" w:after="0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7660" w:leader="none"/>
        </w:tabs>
        <w:spacing w:lineRule="auto" w:line="240" w:before="0" w:after="0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Разработал: Ст. Мастер С СДТУ </w:t>
        <w:tab/>
        <w:t>Левин В. В.</w:t>
      </w:r>
    </w:p>
    <w:p>
      <w:pPr>
        <w:pStyle w:val="Normal"/>
        <w:spacing w:lineRule="auto" w:line="240" w:before="0" w:after="0"/>
        <w:ind w:firstLine="426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Согласовано:</w:t>
      </w:r>
    </w:p>
    <w:p>
      <w:pPr>
        <w:pStyle w:val="Normal"/>
        <w:spacing w:lineRule="auto" w:line="240" w:before="0"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tabs>
          <w:tab w:val="clear" w:pos="708"/>
          <w:tab w:val="left" w:pos="7660" w:leader="none"/>
        </w:tabs>
        <w:suppressAutoHyphens w:val="true"/>
        <w:bidi w:val="0"/>
        <w:spacing w:lineRule="auto" w:line="240" w:before="0" w:after="0"/>
        <w:ind w:left="0" w:right="0" w:firstLine="454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Заместитель главного инженера ЦЭС </w:t>
        <w:tab/>
        <w:t>В. А. Козлов</w:t>
      </w:r>
    </w:p>
    <w:p>
      <w:pPr>
        <w:pStyle w:val="Normal"/>
        <w:spacing w:lineRule="auto" w:line="240" w:before="0"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7660" w:leader="none"/>
        </w:tabs>
        <w:spacing w:lineRule="auto" w:line="240" w:before="0"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С СДТУ ЦЭС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</w:rPr>
        <w:t>А. А. Соколов</w:t>
      </w:r>
    </w:p>
    <w:p>
      <w:pPr>
        <w:pStyle w:val="Normal"/>
        <w:spacing w:lineRule="auto" w:line="240" w:before="0"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7660" w:leader="none"/>
        </w:tabs>
        <w:spacing w:lineRule="auto" w:line="240" w:before="0"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С РЗАМ ЦЭС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</w:rPr>
        <w:t>С. В. Павлов</w:t>
      </w:r>
    </w:p>
    <w:p>
      <w:pPr>
        <w:pStyle w:val="Normal"/>
        <w:spacing w:lineRule="auto" w:line="240" w:before="0"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ectPr>
          <w:footerReference w:type="default" r:id="rId5"/>
          <w:footerReference w:type="first" r:id="rId6"/>
          <w:type w:val="nextPage"/>
          <w:pgSz w:w="11906" w:h="16838"/>
          <w:pgMar w:left="1134" w:right="567" w:gutter="0" w:header="0" w:top="568" w:footer="709" w:bottom="766"/>
          <w:pgNumType w:fmt="decimal"/>
          <w:formProt w:val="false"/>
          <w:textDirection w:val="lrTb"/>
          <w:docGrid w:type="default" w:linePitch="360" w:charSpace="8192"/>
        </w:sectPr>
        <w:pStyle w:val="Normal"/>
        <w:tabs>
          <w:tab w:val="clear" w:pos="708"/>
          <w:tab w:val="left" w:pos="7660" w:leader="none"/>
        </w:tabs>
        <w:spacing w:lineRule="auto" w:line="240" w:before="0"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ОДС ЦЭС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</w:rPr>
        <w:t>М. Ю. Колодезников</w:t>
      </w:r>
    </w:p>
    <w:p>
      <w:pPr>
        <w:pStyle w:val="Normal"/>
        <w:spacing w:lineRule="auto" w:line="240" w:before="0" w:after="0"/>
        <w:ind w:firstLine="426"/>
        <w:jc w:val="right"/>
        <w:rPr>
          <w:rFonts w:ascii="Times New Roman" w:hAnsi="Times New Roman" w:eastAsia="Calibri"/>
          <w:b/>
          <w:i/>
          <w:i/>
          <w:color w:val="000000"/>
          <w:sz w:val="24"/>
          <w:szCs w:val="24"/>
        </w:rPr>
      </w:pPr>
      <w:r>
        <w:rPr>
          <w:rFonts w:eastAsia="Calibri" w:ascii="Times New Roman" w:hAnsi="Times New Roman"/>
          <w:b/>
          <w:i/>
          <w:color w:val="000000"/>
          <w:sz w:val="24"/>
          <w:szCs w:val="24"/>
          <w:lang w:eastAsia="ru-RU"/>
        </w:rPr>
        <w:t xml:space="preserve">Приложение № </w:t>
      </w:r>
      <w:r>
        <w:rPr>
          <w:rFonts w:eastAsia="Calibri" w:ascii="Times New Roman" w:hAnsi="Times New Roman"/>
          <w:b/>
          <w:i/>
          <w:color w:val="000000"/>
          <w:sz w:val="24"/>
          <w:szCs w:val="24"/>
        </w:rPr>
        <w:t>1 к ТТ</w:t>
      </w:r>
    </w:p>
    <w:p>
      <w:pPr>
        <w:pStyle w:val="Normal"/>
        <w:widowControl w:val="false"/>
        <w:tabs>
          <w:tab w:val="clear" w:pos="708"/>
          <w:tab w:val="right" w:pos="2438" w:leader="underscore"/>
          <w:tab w:val="right" w:pos="2654" w:leader="none"/>
        </w:tabs>
        <w:spacing w:lineRule="auto" w:line="240" w:before="0" w:after="0"/>
        <w:ind w:right="40" w:firstLine="4536"/>
        <w:jc w:val="right"/>
        <w:rPr>
          <w:rFonts w:ascii="Times New Roman" w:hAnsi="Times New Roman" w:eastAsia="Calibri"/>
          <w:color w:val="000000"/>
          <w:sz w:val="28"/>
          <w:szCs w:val="24"/>
        </w:rPr>
      </w:pPr>
      <w:r>
        <w:rPr>
          <w:rFonts w:eastAsia="Calibri" w:ascii="Times New Roman" w:hAnsi="Times New Roman"/>
          <w:color w:val="000000"/>
          <w:sz w:val="24"/>
          <w:szCs w:val="24"/>
        </w:rPr>
        <w:t>«ОКПД2 71.12.19.000 Проведение проектно-изыскательских работ для создания Системы сбора и передачи информации (ССПИ) на ПС 110 кВ Сулгача в рамках инвестиционного проекта P_508-92538»</w:t>
      </w:r>
    </w:p>
    <w:p>
      <w:pPr>
        <w:pStyle w:val="Normal"/>
        <w:spacing w:lineRule="auto" w:line="240" w:before="0" w:after="0"/>
        <w:ind w:firstLine="426"/>
        <w:jc w:val="center"/>
        <w:rPr>
          <w:rFonts w:ascii="Times New Roman" w:hAnsi="Times New Roman" w:eastAsia="Calibri"/>
          <w:b/>
          <w:color w:val="000000"/>
          <w:szCs w:val="24"/>
          <w:lang w:eastAsia="ru-RU"/>
        </w:rPr>
      </w:pPr>
      <w:r>
        <w:rPr>
          <w:rFonts w:eastAsia="Calibri" w:ascii="Times New Roman" w:hAnsi="Times New Roman"/>
          <w:b/>
          <w:color w:val="000000"/>
          <w:szCs w:val="24"/>
          <w:lang w:eastAsia="ru-RU"/>
        </w:rPr>
      </w:r>
    </w:p>
    <w:p>
      <w:pPr>
        <w:pStyle w:val="Normal"/>
        <w:spacing w:lineRule="auto" w:line="240" w:before="0" w:after="0"/>
        <w:ind w:firstLine="42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ind w:firstLine="42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Перечень необходимой телеметрической информации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ПС 110 кВ Сулгачи: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tbl>
      <w:tblPr>
        <w:tblW w:w="15015" w:type="dxa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4a0" w:noHBand="0" w:noVBand="1" w:firstColumn="1" w:lastRow="0" w:lastColumn="0" w:firstRow="1"/>
      </w:tblPr>
      <w:tblGrid>
        <w:gridCol w:w="560"/>
        <w:gridCol w:w="3354"/>
        <w:gridCol w:w="3404"/>
        <w:gridCol w:w="5207"/>
        <w:gridCol w:w="2490"/>
      </w:tblGrid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Наименование элемента схемы энергообъекта (точка измерения)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6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Телеизмерения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(ТИ)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Телесигнализация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(ТС)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Телеуправление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(ТУ)</w:t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3354" w:type="dxa"/>
            <w:tcBorders/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5</w:t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ВЛ 110 кВ Л-111 (Чурапча - Сулгачи)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РЛ-111, ЗНЛ-111, ЗНШ-111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 w:eastAsia="ru-RU"/>
              </w:rPr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ВЛ 110 кВ Л-119 (Сулгачи - Эльдикан)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РЛ-119, ЗНЛ-119, ЗНШ-119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 w:eastAsia="ru-RU"/>
              </w:rPr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Трансформатор 1Т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Положение РПН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ЗОН-1Т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ТУ положения РПН</w:t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Трансформатор 2Т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Положение РПН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ЗОН-2Т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ТУ положения РПН</w:t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В-110-1Т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eastAsia="ru-RU"/>
              </w:rPr>
              <w:t>В-110-1Т, положение ключа ДУ, ЗНВ-110 1Та, РШ-110-1Т, ЗНВ-110-1Тб, РТ-110-1Т, ЗНТ-110-1Т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В-110-1Т</w:t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В-110-2Т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eastAsia="ru-RU"/>
              </w:rPr>
              <w:t>В-110-2Т, положение ключа ДУ, ЗНВ-110 2Та, РШ-110-2Т, ЗНВ-110-2Тб, РТ-110-2Т, ЗНТ-110-2Т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В-110-2Т</w:t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СВ-110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eastAsia="ru-RU"/>
              </w:rPr>
              <w:t>СВ-110, положение ключа ДУ, СР-110-1, ЗНС-110-1, ЗНС-110-3, СР-110-2, ЗНС-110-4, ЗНС-110-2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СВ-110</w:t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РП-110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eastAsia="ru-RU"/>
              </w:rPr>
              <w:t>РО-110-1, РО-110-2, ЗН-РО-1, ЗН-РО-2, ЗН-РО-3, ЗН-РО-4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В-35-1Т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В-35-1Т, положение ключа ДУ, РТ-35-1Т, ЗНТ-35-1Т,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ЗНВ-35-1Та, ЗНВ-35-1Тб, РШ-35-1Т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В-35-1Т</w:t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В-35-2Т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В-35-2Т, положение ключа ДУ, РТ-35-2Т, ЗНТ-35-2Т,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ЗНВ-35-2Та, ЗНВ-35-2Тб, РШ-35-2Т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В-35-2Т</w:t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В-41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В-41, положение ключа ДУ, РШ-41, ЗНВ-41-1, ЗНВ-41-2,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РЛ-41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В-41</w:t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В-48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В-48, положение ключа ДУ, РШ-48, ЗНВ-48-1, ЗНВ-48-2,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РЛ-48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В-48</w:t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СВ-35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СВ-35, положение ключа ДУ, СР-35-1, СР-35-2, ЗНС-35-1, ЗНС-35-2, ЗНС-35-3, ЗНС-35-4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СВ-35</w:t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ДГК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Р-1-ДГК, ЗН-ДГК-1Т, СР-ДГК, ЗН-СР-ДГК-1, ЗН-СР-ДГК-2, Р-2-ДГК, ЗН-ДГК-2Т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В-10-1Т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В-10-1Т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, положение ключа ДУ, ЗН-10-1Т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В-10-1Т</w:t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В-10-2Т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В-10-2Т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, положение ключа ДУ, ЗН-10-2Т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В-10-2Т</w:t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СВ-10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P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Q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сум,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Ia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Ib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Ic</w:t>
            </w: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Uab, Ubc, Uca, Uao, Ubo, Uco, F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СВ-10, положение ключа ДУ, ЗНЛ-10 СВ-10, Р-СВ-10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СВ-10</w:t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 xml:space="preserve">Отходящие линии 10 кВ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(6 ячеек)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Ib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Положение КА, положение ключа ДУ, положение ЗНЛ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В-10 кВ</w:t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1 СШ 110 кВ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Uab, Ubc, Uca, Uao, Ubo, Uco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Р-ТН-110-1, ЗНТ-110-1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2 СШ 110 кВ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Uab, Ubc, Uca, Uao, Ubo, Uco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Р-ТН-110-2, ЗНТ-110-2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1 СШ 35 кВ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Uab, Ubc, Uca, Uao, Ubo, Uco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Р-ТН-35-1, ЗНТ-35-1, ЗНШ-35-1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2 СШ 35 кВ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Uab, Ubc, Uca, Uao, Ubo, Uco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Р-ТН-35-2, ЗНТ-35-2, ЗНШ-35-2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1 СШ 10 кВ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  <w:lang w:val="en-US"/>
              </w:rPr>
              <w:t>Uab, Ubc, Uca, Uao, Ubo, Uco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18"/>
                <w:szCs w:val="18"/>
              </w:rPr>
              <w:t>ЗНШ-1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СШ 10 кВ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Uab, Ubc, Uca, Uao, Ubo, Uco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ЗНШ-2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 кВ ТСН-1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Неисправность напряжения 0,4 кВ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 кВ ТСН-2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val="en-US"/>
              </w:rPr>
              <w:t>Uab, Ubc, Uca, Uao, Ubo, Uco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Неисправность напряжения 0,4 кВ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Оперативный ток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  <w:t>Uопер.ток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Неисправность оперативного тока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56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335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АПС</w:t>
            </w:r>
          </w:p>
        </w:tc>
        <w:tc>
          <w:tcPr>
            <w:tcW w:w="3404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  <w:lang w:eastAsia="ru-RU"/>
              </w:rPr>
              <w:t>Температура наружного воздуха</w:t>
            </w:r>
          </w:p>
        </w:tc>
        <w:tc>
          <w:tcPr>
            <w:tcW w:w="5207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sz w:val="18"/>
                <w:szCs w:val="18"/>
              </w:rPr>
              <w:t>Авария на ПС, Неисправность</w:t>
            </w:r>
            <w:r>
              <w:rPr>
                <w:rFonts w:eastAsia="Calibri" w:ascii="Times New Roman" w:hAnsi="Times New Roman"/>
                <w:sz w:val="18"/>
                <w:szCs w:val="18"/>
              </w:rPr>
              <w:t xml:space="preserve"> на ПС, Земля в сети 35 кВ, Земля в сети 10 кВ</w:t>
            </w:r>
          </w:p>
        </w:tc>
        <w:tc>
          <w:tcPr>
            <w:tcW w:w="249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</w:r>
          </w:p>
        </w:tc>
      </w:tr>
      <w:tr>
        <w:trPr/>
        <w:tc>
          <w:tcPr>
            <w:tcW w:w="56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675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Количество МИП </w:t>
            </w:r>
            <w:r>
              <w:rPr>
                <w:rFonts w:eastAsia="Times New Roman" w:ascii="Times New Roman" w:hAnsi="Times New Roman"/>
                <w:color w:val="000000"/>
                <w:sz w:val="18"/>
                <w:szCs w:val="18"/>
              </w:rPr>
              <w:t>≈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28</w:t>
            </w:r>
          </w:p>
        </w:tc>
        <w:tc>
          <w:tcPr>
            <w:tcW w:w="769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УСПД </w:t>
            </w:r>
            <w:r>
              <w:rPr>
                <w:rFonts w:eastAsia="Times New Roman" w:ascii="Times New Roman" w:hAnsi="Times New Roman"/>
                <w:sz w:val="18"/>
                <w:szCs w:val="18"/>
              </w:rPr>
              <w:t>≈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2 контроллер ТМ, 10 модулей ТС, 3 модулей ТУ</w:t>
            </w:r>
          </w:p>
        </w:tc>
      </w:tr>
    </w:tbl>
    <w:p>
      <w:pPr>
        <w:sectPr>
          <w:footerReference w:type="default" r:id="rId7"/>
          <w:footerReference w:type="first" r:id="rId8"/>
          <w:type w:val="nextPage"/>
          <w:pgSz w:orient="landscape" w:w="16838" w:h="11906"/>
          <w:pgMar w:left="851" w:right="992" w:gutter="0" w:header="0" w:top="993" w:footer="709" w:bottom="766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ind w:hanging="0"/>
        <w:jc w:val="right"/>
        <w:rPr/>
      </w:pPr>
      <w:r>
        <w:rPr/>
      </w:r>
    </w:p>
    <w:sectPr>
      <w:footerReference w:type="default" r:id="rId9"/>
      <w:footerReference w:type="first" r:id="rId10"/>
      <w:type w:val="nextPage"/>
      <w:pgSz w:w="11906" w:h="16838"/>
      <w:pgMar w:left="1134" w:right="567" w:gutter="0" w:header="0" w:top="568" w:footer="709" w:bottom="766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323805156"/>
    </w:sdtPr>
    <w:sdtContent>
      <w:p>
        <w:pPr>
          <w:pStyle w:val="Footer"/>
          <w:jc w:val="right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8</w:t>
        </w:r>
        <w:r>
          <w:rPr>
            <w:rFonts w:ascii="Times New Roman" w:hAnsi="Times New Roman"/>
          </w:rPr>
          <w:fldChar w:fldCharType="end"/>
        </w:r>
      </w:p>
      <w:p>
        <w:pPr>
          <w:pStyle w:val="Footer"/>
          <w:rPr>
            <w:rFonts w:ascii="Times New Roman" w:hAnsi="Times New Roman"/>
          </w:rPr>
        </w:pPr>
        <w:r>
          <w:rPr>
            <w:rFonts w:ascii="Times New Roman" w:hAnsi="Times New Roman"/>
          </w:rPr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397974452"/>
    </w:sdtPr>
    <w:sdtContent>
      <w:p>
        <w:pPr>
          <w:pStyle w:val="Footer"/>
          <w:jc w:val="right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17</w:t>
        </w:r>
        <w:r>
          <w:rPr>
            <w:rFonts w:ascii="Times New Roman" w:hAnsi="Times New Roman"/>
          </w:rPr>
          <w:fldChar w:fldCharType="end"/>
        </w:r>
      </w:p>
      <w:p>
        <w:pPr>
          <w:pStyle w:val="Footer"/>
          <w:rPr>
            <w:rFonts w:ascii="Times New Roman" w:hAnsi="Times New Roman"/>
          </w:rPr>
        </w:pPr>
        <w:r>
          <w:rPr>
            <w:rFonts w:ascii="Times New Roman" w:hAnsi="Times New Roman"/>
          </w:rPr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59" w:before="0" w:after="160"/>
      <w:jc w:val="right"/>
      <w:rPr>
        <w:rFonts w:ascii="Times New Roman" w:hAnsi="Times New Roman"/>
      </w:rPr>
    </w:pPr>
    <w:r>
      <w:rPr>
        <w:rFonts w:ascii="Times New Roman" w:hAnsi="Times New Roman"/>
      </w:rPr>
      <w:t>10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60"/>
      <w:jc w:val="right"/>
      <w:rPr>
        <w:rFonts w:ascii="Times New Roman" w:hAnsi="Times New Roman"/>
      </w:rPr>
    </w:pPr>
    <w:r>
      <w:rPr>
        <w:rFonts w:ascii="Times New Roman" w:hAnsi="Times New Roman"/>
      </w:rPr>
      <w:t>18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828730799"/>
    </w:sdtPr>
    <w:sdtContent>
      <w:p>
        <w:pPr>
          <w:pStyle w:val="Footer"/>
          <w:jc w:val="right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20</w:t>
        </w:r>
        <w:r>
          <w:rPr>
            <w:rFonts w:ascii="Times New Roman" w:hAnsi="Times New Roman"/>
          </w:rPr>
          <w:fldChar w:fldCharType="end"/>
        </w:r>
      </w:p>
      <w:p>
        <w:pPr>
          <w:pStyle w:val="Footer"/>
          <w:rPr>
            <w:rFonts w:ascii="Times New Roman" w:hAnsi="Times New Roman"/>
          </w:rPr>
        </w:pPr>
        <w:r>
          <w:rPr>
            <w:rFonts w:ascii="Times New Roman" w:hAnsi="Times New Roman"/>
          </w:rPr>
        </w:r>
      </w:p>
    </w:sdtContent>
  </w:sdt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925713526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21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10" w:hanging="432"/>
      </w:pPr>
      <w:rPr>
        <w:b w:val="false"/>
        <w:bCs w:val="false"/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9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0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30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0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1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888" w:hanging="1440"/>
      </w:pPr>
      <w:rPr>
        <w:rFonts w:cs="Times New Roman"/>
      </w:r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5"/>
    <w:lvlOverride w:ilvl="0">
      <w:startOverride w:val="1"/>
    </w:lvlOverride>
  </w:num>
  <w:num w:numId="9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1194b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SimSun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spacing w:lineRule="auto" w:line="240" w:before="0" w:after="0"/>
      <w:jc w:val="center"/>
      <w:outlineLvl w:val="0"/>
    </w:pPr>
    <w:rPr>
      <w:rFonts w:ascii="Times New Roman" w:hAnsi="Times New Roman" w:eastAsia="Times New Roman"/>
      <w:b/>
      <w:sz w:val="24"/>
      <w:szCs w:val="20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" w:customStyle="1">
    <w:name w:val="Заголовок Знак"/>
    <w:basedOn w:val="DefaultParagraphFont"/>
    <w:uiPriority w:val="10"/>
    <w:qFormat/>
    <w:rPr>
      <w:sz w:val="48"/>
      <w:szCs w:val="48"/>
    </w:rPr>
  </w:style>
  <w:style w:type="character" w:styleId="Style1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2" w:customStyle="1">
    <w:name w:val="Выделенная цитата Знак"/>
    <w:link w:val="IntenseQuote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Style3" w:customStyle="1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4" w:customStyle="1">
    <w:name w:val="Текст концевой сноски Знак"/>
    <w:uiPriority w:val="99"/>
    <w:qFormat/>
    <w:rPr>
      <w:sz w:val="20"/>
    </w:rPr>
  </w:style>
  <w:style w:type="character" w:styleId="Style5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CharStyle12" w:customStyle="1">
    <w:name w:val="Char Style 12"/>
    <w:basedOn w:val="DefaultParagraphFont"/>
    <w:link w:val="Style111"/>
    <w:qFormat/>
    <w:rPr>
      <w:rFonts w:cs="Times New Roman"/>
      <w:shd w:fill="FFFFFF" w:val="clear"/>
    </w:rPr>
  </w:style>
  <w:style w:type="character" w:styleId="CharStyle21" w:customStyle="1">
    <w:name w:val="Char Style 21"/>
    <w:basedOn w:val="CharStyle12"/>
    <w:uiPriority w:val="99"/>
    <w:qFormat/>
    <w:rPr>
      <w:rFonts w:ascii="Times New Roman" w:hAnsi="Times New Roman" w:cs="Times New Roman"/>
      <w:color w:val="000000"/>
      <w:spacing w:val="0"/>
      <w:shd w:fill="FFFFFF" w:val="clear"/>
      <w:lang w:val="ru-RU" w:eastAsia="ru-RU"/>
    </w:rPr>
  </w:style>
  <w:style w:type="character" w:styleId="Annotationreference">
    <w:name w:val="annotation reference"/>
    <w:basedOn w:val="DefaultParagraphFont"/>
    <w:uiPriority w:val="99"/>
    <w:semiHidden/>
    <w:qFormat/>
    <w:rPr>
      <w:rFonts w:cs="Times New Roman"/>
      <w:sz w:val="16"/>
      <w:szCs w:val="16"/>
    </w:rPr>
  </w:style>
  <w:style w:type="character" w:styleId="Style6" w:customStyle="1">
    <w:name w:val="Текст примечания Знак"/>
    <w:basedOn w:val="DefaultParagraphFont"/>
    <w:link w:val="Annotationtext"/>
    <w:uiPriority w:val="99"/>
    <w:semiHidden/>
    <w:qFormat/>
    <w:rPr>
      <w:rFonts w:cs="Times New Roman"/>
      <w:sz w:val="20"/>
      <w:szCs w:val="20"/>
    </w:rPr>
  </w:style>
  <w:style w:type="character" w:styleId="Style7" w:customStyle="1">
    <w:name w:val="Тема примечания Знак"/>
    <w:basedOn w:val="Style6"/>
    <w:link w:val="Annotationsubject"/>
    <w:uiPriority w:val="99"/>
    <w:semiHidden/>
    <w:qFormat/>
    <w:rPr>
      <w:rFonts w:cs="Times New Roman"/>
      <w:b/>
      <w:bCs/>
      <w:sz w:val="20"/>
      <w:szCs w:val="20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styleId="CharStyle7" w:customStyle="1">
    <w:name w:val="Char Style 7"/>
    <w:basedOn w:val="DefaultParagraphFont"/>
    <w:uiPriority w:val="99"/>
    <w:qFormat/>
    <w:rPr>
      <w:rFonts w:ascii="Times New Roman" w:hAnsi="Times New Roman" w:cs="Times New Roman"/>
      <w:b/>
      <w:bCs/>
      <w:i/>
      <w:iCs/>
      <w:color w:val="000000"/>
      <w:spacing w:val="0"/>
      <w:sz w:val="26"/>
      <w:szCs w:val="26"/>
      <w:u w:val="none"/>
      <w:lang w:val="en-US" w:eastAsia="en-US"/>
    </w:rPr>
  </w:style>
  <w:style w:type="character" w:styleId="Style9" w:customStyle="1">
    <w:name w:val="Верхний колонтитул Знак"/>
    <w:basedOn w:val="DefaultParagraphFont"/>
    <w:uiPriority w:val="99"/>
    <w:qFormat/>
    <w:rPr>
      <w:lang w:eastAsia="en-US"/>
    </w:rPr>
  </w:style>
  <w:style w:type="character" w:styleId="Style10" w:customStyle="1">
    <w:name w:val="Нижний колонтитул Знак"/>
    <w:basedOn w:val="DefaultParagraphFont"/>
    <w:uiPriority w:val="99"/>
    <w:qFormat/>
    <w:rPr>
      <w:lang w:eastAsia="en-US"/>
    </w:rPr>
  </w:style>
  <w:style w:type="character" w:styleId="1" w:customStyle="1">
    <w:name w:val="Заголовок 1 Знак"/>
    <w:basedOn w:val="DefaultParagraphFont"/>
    <w:uiPriority w:val="9"/>
    <w:qFormat/>
    <w:rPr>
      <w:rFonts w:ascii="Times New Roman" w:hAnsi="Times New Roman" w:eastAsia="Times New Roman"/>
      <w:b/>
      <w:sz w:val="24"/>
      <w:szCs w:val="20"/>
    </w:rPr>
  </w:style>
  <w:style w:type="character" w:styleId="Style11" w:customStyle="1">
    <w:name w:val="Текст сноски Знак"/>
    <w:basedOn w:val="DefaultParagraphFont"/>
    <w:link w:val="Footnote"/>
    <w:uiPriority w:val="99"/>
    <w:qFormat/>
    <w:rPr>
      <w:rFonts w:ascii="Times New Roman" w:hAnsi="Times New Roman" w:eastAsia="Times New Roman"/>
      <w:sz w:val="20"/>
      <w:szCs w:val="20"/>
    </w:rPr>
  </w:style>
  <w:style w:type="character" w:styleId="LineNumber">
    <w:name w:val="Line Number"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link w:val="Style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SimSun" w:cs="Times New Roman"/>
      <w:color w:val="auto"/>
      <w:kern w:val="0"/>
      <w:sz w:val="22"/>
      <w:szCs w:val="22"/>
      <w:lang w:val="ru-RU" w:eastAsia="ru-RU" w:bidi="ar-SA"/>
    </w:rPr>
  </w:style>
  <w:style w:type="paragraph" w:styleId="Subtitle">
    <w:name w:val="Subtitle"/>
    <w:basedOn w:val="Normal"/>
    <w:next w:val="Normal"/>
    <w:link w:val="Style1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next w:val="Normal"/>
    <w:link w:val="Style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Caption11" w:customStyle="1">
    <w:name w:val="caption11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EndnoteText">
    <w:name w:val="Endnote Text"/>
    <w:basedOn w:val="Normal"/>
    <w:link w:val="Style4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 w:hanging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 w:hanging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 w:hanging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 w:hanging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 w:hanging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 w:hanging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 w:hanging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 w:hanging="0"/>
    </w:pPr>
    <w:rPr/>
  </w:style>
  <w:style w:type="paragraph" w:styleId="IndexHeading">
    <w:name w:val="Index Heading"/>
    <w:basedOn w:val="Style12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SimSun" w:cs="Times New Roman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qFormat/>
    <w:pPr>
      <w:spacing w:before="0" w:after="160"/>
      <w:ind w:left="720" w:hanging="0"/>
      <w:contextualSpacing/>
    </w:pPr>
    <w:rPr/>
  </w:style>
  <w:style w:type="paragraph" w:styleId="Style111" w:customStyle="1">
    <w:name w:val="Style 11"/>
    <w:basedOn w:val="Normal"/>
    <w:link w:val="CharStyle12"/>
    <w:qFormat/>
    <w:pPr>
      <w:widowControl w:val="false"/>
      <w:shd w:val="clear" w:color="auto" w:fill="FFFFFF"/>
      <w:spacing w:lineRule="exact" w:line="281" w:before="240" w:after="240"/>
      <w:ind w:hanging="860"/>
      <w:jc w:val="both"/>
    </w:pPr>
    <w:rPr/>
  </w:style>
  <w:style w:type="paragraph" w:styleId="Annotationtext">
    <w:name w:val="annotation text"/>
    <w:basedOn w:val="Normal"/>
    <w:link w:val="Style6"/>
    <w:uiPriority w:val="99"/>
    <w:semiHidden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7"/>
    <w:uiPriority w:val="99"/>
    <w:semiHidden/>
    <w:qFormat/>
    <w:pPr/>
    <w:rPr>
      <w:b/>
      <w:bCs/>
    </w:rPr>
  </w:style>
  <w:style w:type="paragraph" w:styleId="BalloonText">
    <w:name w:val="Balloon Text"/>
    <w:basedOn w:val="Normal"/>
    <w:link w:val="Style8"/>
    <w:uiPriority w:val="99"/>
    <w:semiHidden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0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15" w:customStyle="1">
    <w:name w:val="Раздел положения"/>
    <w:basedOn w:val="Normal"/>
    <w:qFormat/>
    <w:pPr>
      <w:spacing w:lineRule="auto" w:line="240" w:before="80" w:after="80"/>
    </w:pPr>
    <w:rPr>
      <w:rFonts w:ascii="Times New Roman" w:hAnsi="Times New Roman" w:eastAsia="Times New Roman"/>
      <w:sz w:val="20"/>
      <w:szCs w:val="32"/>
      <w:lang w:eastAsia="ru-RU"/>
    </w:rPr>
  </w:style>
  <w:style w:type="paragraph" w:styleId="FootnoteText">
    <w:name w:val="Footnote Text"/>
    <w:basedOn w:val="Normal"/>
    <w:uiPriority w:val="99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ru-RU"/>
    </w:rPr>
  </w:style>
  <w:style w:type="paragraph" w:styleId="Style16" w:customStyle="1">
    <w:name w:val="Содержимое врезки"/>
    <w:basedOn w:val="Normal"/>
    <w:qFormat/>
    <w:rsid w:val="00c95577"/>
    <w:pPr>
      <w:spacing w:lineRule="auto" w:line="240" w:before="0" w:after="0"/>
      <w:textAlignment w:val="baseline"/>
    </w:pPr>
    <w:rPr>
      <w:rFonts w:ascii="Liberation Serif" w:hAnsi="Liberation Serif" w:eastAsia="NSimSun" w:cs="Lucida Sans"/>
      <w:kern w:val="2"/>
      <w:sz w:val="24"/>
      <w:szCs w:val="24"/>
      <w:lang w:eastAsia="zh-CN" w:bidi="hi-IN"/>
    </w:rPr>
  </w:style>
  <w:style w:type="paragraph" w:styleId="Standard" w:customStyle="1">
    <w:name w:val="Standard"/>
    <w:qFormat/>
    <w:rsid w:val="00e818a9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31" w:customStyle="1">
    <w:name w:val="Абзац списка3"/>
    <w:basedOn w:val="Standard"/>
    <w:qFormat/>
    <w:rsid w:val="0091194b"/>
    <w:pPr>
      <w:ind w:left="720" w:hanging="0"/>
    </w:pPr>
    <w:rPr>
      <w:rFonts w:ascii="Times New Roman" w:hAnsi="Times New Roman" w:eastAsia="Calibri" w:cs="Times New Roman"/>
    </w:rPr>
  </w:style>
  <w:style w:type="paragraph" w:styleId="Footnote" w:customStyle="1">
    <w:name w:val="Footnote"/>
    <w:basedOn w:val="Standard"/>
    <w:link w:val="Style11"/>
    <w:qFormat/>
    <w:rsid w:val="0091194b"/>
    <w:pPr/>
    <w:rPr/>
  </w:style>
  <w:style w:type="paragraph" w:styleId="Style17" w:customStyle="1">
    <w:name w:val="Таблица"/>
    <w:basedOn w:val="Caption11"/>
    <w:qFormat/>
    <w:rsid w:val="00a3247d"/>
    <w:pPr>
      <w:spacing w:lineRule="auto" w:line="240" w:before="0" w:after="0"/>
      <w:textAlignment w:val="baseline"/>
    </w:pPr>
    <w:rPr>
      <w:rFonts w:ascii="Times New Roman" w:hAnsi="Times New Roman" w:eastAsia="Calibri"/>
      <w:color w:val="4F81BD"/>
      <w:kern w:val="2"/>
      <w:lang w:eastAsia="zh-CN" w:bidi="hi-IN"/>
    </w:rPr>
  </w:style>
  <w:style w:type="paragraph" w:styleId="Contents1" w:customStyle="1">
    <w:name w:val="Contents 1"/>
    <w:basedOn w:val="Normal"/>
    <w:qFormat/>
    <w:rsid w:val="00030a54"/>
    <w:pPr>
      <w:suppressLineNumbers/>
      <w:spacing w:lineRule="auto" w:line="240" w:before="0" w:after="0"/>
      <w:textAlignment w:val="baseline"/>
    </w:pPr>
    <w:rPr>
      <w:rFonts w:ascii="Liberation Serif" w:hAnsi="Liberation Serif" w:eastAsia="NSimSun" w:cs="Lucida Sans"/>
      <w:kern w:val="2"/>
      <w:sz w:val="24"/>
      <w:szCs w:val="24"/>
      <w:lang w:eastAsia="zh-CN" w:bidi="hi-IN"/>
    </w:rPr>
  </w:style>
  <w:style w:type="paragraph" w:styleId="Contents4" w:customStyle="1">
    <w:name w:val="Contents 4"/>
    <w:basedOn w:val="Normal"/>
    <w:qFormat/>
    <w:rsid w:val="00030a54"/>
    <w:pPr>
      <w:suppressLineNumbers/>
      <w:spacing w:lineRule="auto" w:line="240" w:before="0" w:after="0"/>
      <w:textAlignment w:val="baseline"/>
    </w:pPr>
    <w:rPr>
      <w:rFonts w:ascii="Liberation Serif" w:hAnsi="Liberation Serif" w:eastAsia="NSimSun" w:cs="Lucida Sans"/>
      <w:kern w:val="2"/>
      <w:sz w:val="24"/>
      <w:szCs w:val="24"/>
      <w:lang w:eastAsia="zh-CN" w:bidi="hi-IN"/>
    </w:rPr>
  </w:style>
  <w:style w:type="paragraph" w:styleId="Contents3" w:customStyle="1">
    <w:name w:val="Contents 3"/>
    <w:basedOn w:val="Normal"/>
    <w:qFormat/>
    <w:rsid w:val="00030a54"/>
    <w:pPr>
      <w:suppressLineNumbers/>
      <w:spacing w:lineRule="auto" w:line="240" w:before="0" w:after="0"/>
      <w:textAlignment w:val="baseline"/>
    </w:pPr>
    <w:rPr>
      <w:rFonts w:ascii="Liberation Serif" w:hAnsi="Liberation Serif" w:eastAsia="NSimSun" w:cs="Lucida Sans"/>
      <w:kern w:val="2"/>
      <w:sz w:val="24"/>
      <w:szCs w:val="24"/>
      <w:lang w:eastAsia="zh-CN" w:bidi="hi-IN"/>
    </w:rPr>
  </w:style>
  <w:style w:type="paragraph" w:styleId="Style18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9" w:customStyle="1">
    <w:name w:val="Заголовок таблицы"/>
    <w:basedOn w:val="Style18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auto" w:fill="F2F2F2" w:themeFill="text1" w:themeFillTint="d"/>
      </w:tcPr>
    </w:tblStylePr>
    <w:tblStylePr w:type="band1Horz">
      <w:tblPr/>
      <w:tcPr>
        <w:shd w:val="clear" w:color="auto" w:fill="F2F2F2" w:themeFill="text1" w:themeFillTint="d"/>
      </w:tcPr>
    </w:tblStylePr>
  </w:style>
  <w:style w:type="table" w:styleId="24">
    <w:name w:val="Plain Table 2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uto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uto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uto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uto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uto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uto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uto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auto" w:fill="FFFFFF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auto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auto" w:fill="FFFFFF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auto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auto" w:fill="FFFFFF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auto" w:fill="FFFFFF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auto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auto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auto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auto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auto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auto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auto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auto" w:fill="FFFFFF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auto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auto" w:fill="FFFFFF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auto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auto" w:fill="FFFFFF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auto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auto" w:fill="FFFFFF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</w:tblPr>
    <w:tblStylePr w:type="fir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</w:tblPr>
    <w:tblStylePr w:type="fir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</w:tblPr>
    <w:tblStylePr w:type="fir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</w:tblPr>
    <w:tblStylePr w:type="fir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styleId="affa">
    <w:name w:val="Table Grid"/>
    <w:basedOn w:val="a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3">
    <w:name w:val="Сетка таблицы1"/>
    <w:basedOn w:val="a1"/>
    <w:uiPriority w:val="39"/>
    <w:rPr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5">
    <w:name w:val="Сетка таблицы2"/>
    <w:basedOn w:val="a1"/>
    <w:rsid w:val="00f0143f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1D78D-777A-4E91-8669-1468028BA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1139</TotalTime>
  <Application>AlterOffice/3.4.0.9$Linux_X86_64 LibreOffice_project/b8daf9e823b1a5463a2f48435ddc2e8696e7d4fc</Application>
  <AppVersion>15.0000</AppVersion>
  <Pages>21</Pages>
  <Words>4755</Words>
  <Characters>32652</Characters>
  <CharactersWithSpaces>36853</CharactersWithSpaces>
  <Paragraphs>581</Paragraphs>
  <Company>ОАО АК "Якутскэнерго"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2025-11-14T07:50:00Z</dcterms:created>
  <dc:creator>Левин Владимир Владимирович</dc:creator>
  <dc:description/>
  <dc:language>ru-RU</dc:language>
  <cp:lastModifiedBy>levinvv</cp:lastModifiedBy>
  <cp:lastPrinted>2024-05-08T03:06:00Z</cp:lastPrinted>
  <dcterms:modified xsi:type="dcterms:W3CDTF">2026-11-06T16:07:23Z</dcterms:modified>
  <cp:revision>78</cp:revision>
  <dc:subject/>
  <dc:title>УТВЕРЖДАЮ: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