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right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Header"/>
        <w:jc w:val="right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ind w:left="426" w:right="-1" w:hanging="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 </w:t>
      </w:r>
      <w:r>
        <w:rPr>
          <w:rFonts w:eastAsia="Times New Roman" w:cs="Times New Roman"/>
          <w:b/>
          <w:color w:val="000000"/>
          <w:kern w:val="0"/>
          <w:sz w:val="24"/>
          <w:szCs w:val="24"/>
          <w:shd w:fill="FFFFFF" w:val="clear"/>
          <w:lang w:val="ru-RU" w:eastAsia="zh-CN" w:bidi="ar-SA"/>
        </w:rPr>
        <w:t xml:space="preserve">ОКПД 2: 29.20.23.111 </w:t>
      </w:r>
      <w:r>
        <w:rPr>
          <w:b/>
          <w:color w:val="000000"/>
          <w:sz w:val="24"/>
          <w:szCs w:val="24"/>
        </w:rPr>
        <w:t>Постав</w:t>
      </w:r>
      <w:r>
        <w:rPr>
          <w:b/>
          <w:color w:val="000000"/>
          <w:sz w:val="24"/>
          <w:szCs w:val="24"/>
          <w:shd w:fill="FFFFFF" w:val="clear"/>
        </w:rPr>
        <w:t xml:space="preserve">ка прицепа к легковому автомобилю 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  <w:shd w:fill="FFFFFF" w:val="clear"/>
        </w:rPr>
        <w:t>грузоподъемностью до 750 кг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для нужд Саяно-Шушенского филиала АО "ТК РусГидро"</w:t>
      </w:r>
      <w:r>
        <w:rPr>
          <w:rFonts w:eastAsia="Times New Roman" w:cs="Times New Roman"/>
          <w:b/>
          <w:color w:val="000000"/>
          <w:kern w:val="0"/>
          <w:sz w:val="24"/>
          <w:szCs w:val="24"/>
          <w:shd w:fill="FFFFFF" w:val="clear"/>
          <w:lang w:val="ru-RU" w:eastAsia="zh-CN" w:bidi="ar-SA"/>
        </w:rPr>
        <w:t xml:space="preserve"> 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sz w:val="24"/>
          <w:szCs w:val="24"/>
        </w:rPr>
      </w:pPr>
      <w:r>
        <w:rPr/>
      </w:r>
      <w:r>
        <w:br w:type="page"/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spacing w:before="0" w:after="0"/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  <w:lang w:eastAsia="ru-RU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lang w:eastAsia="ru-RU"/>
            </w:rPr>
            <w:fldChar w:fldCharType="separate"/>
          </w:r>
          <w:hyperlink w:anchor="__RefHeading___Toc174089894">
            <w:r>
              <w:rPr>
                <w:webHidden/>
                <w:rStyle w:val="Style14"/>
                <w:vanish w:val="false"/>
                <w:lang w:eastAsia="ru-RU"/>
              </w:rPr>
              <w:t>1.</w:t>
            </w:r>
            <w:r>
              <w:rPr>
                <w:rStyle w:val="Style14"/>
                <w:lang w:val="en-US" w:eastAsia="ru-RU"/>
              </w:rPr>
              <w:t xml:space="preserve"> </w:t>
            </w:r>
            <w:r>
              <w:rPr>
                <w:rStyle w:val="Style14"/>
                <w:rFonts w:cs="Calibri" w:ascii="Calibri" w:hAnsi="Calibri"/>
                <w:b w:val="false"/>
                <w:bCs w:val="false"/>
                <w:lang w:eastAsia="ru-RU"/>
              </w:rPr>
              <w:tab/>
            </w:r>
            <w:r>
              <w:rPr>
                <w:rStyle w:val="Style14"/>
                <w:lang w:eastAsia="ru-RU"/>
              </w:rPr>
              <w:t>Общие сведения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5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1.1.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6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1.2.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7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1.3.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Цель использования закупаемой продукции</w:t>
              <w:tab/>
              <w:t>3</w:t>
            </w:r>
          </w:hyperlink>
        </w:p>
        <w:p>
          <w:pPr>
            <w:pStyle w:val="TOC1"/>
            <w:spacing w:before="0" w:after="0"/>
            <w:rPr/>
          </w:pPr>
          <w:hyperlink w:anchor="__RefHeading___Toc174089898">
            <w:r>
              <w:rPr>
                <w:webHidden/>
                <w:rStyle w:val="Style14"/>
                <w:vanish w:val="false"/>
                <w:lang w:eastAsia="ru-RU"/>
              </w:rPr>
              <w:t>2.</w:t>
            </w:r>
            <w:r>
              <w:rPr>
                <w:rStyle w:val="Style14"/>
                <w:lang w:val="en-US" w:eastAsia="ru-RU"/>
              </w:rPr>
              <w:t xml:space="preserve"> </w:t>
            </w:r>
            <w:r>
              <w:rPr>
                <w:rStyle w:val="Style14"/>
                <w:iCs/>
                <w:lang w:eastAsia="ru-RU"/>
              </w:rPr>
              <w:t>Требования к продукции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899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2.1.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Требования к объемам и срокам поставки</w:t>
              <w:tab/>
              <w:t>3</w:t>
            </w:r>
          </w:hyperlink>
        </w:p>
        <w:p>
          <w:pPr>
            <w:pStyle w:val="TOC3"/>
            <w:rPr/>
          </w:pPr>
          <w:hyperlink w:anchor="__RefHeading___Toc174089900">
            <w:r>
              <w:rPr>
                <w:webHidden/>
                <w:rStyle w:val="Style14"/>
                <w:vanish w:val="false"/>
                <w:sz w:val="24"/>
                <w:szCs w:val="24"/>
                <w:lang w:eastAsia="ru-RU"/>
              </w:rPr>
              <w:t>2.1.1.</w:t>
            </w:r>
            <w:r>
              <w:rPr>
                <w:rStyle w:val="Style14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Перечень и объем закупаемой продукции</w:t>
              <w:tab/>
              <w:t>3</w:t>
            </w:r>
          </w:hyperlink>
        </w:p>
        <w:p>
          <w:pPr>
            <w:pStyle w:val="TOC1"/>
            <w:spacing w:before="0" w:after="0"/>
            <w:ind w:left="567" w:hanging="0"/>
            <w:rPr/>
          </w:pPr>
          <w:hyperlink w:anchor="__RefHeading___Toc174089901">
            <w:r>
              <w:rPr>
                <w:webHidden/>
                <w:rStyle w:val="Style14"/>
                <w:vanish w:val="false"/>
                <w:lang w:eastAsia="ru-RU"/>
              </w:rPr>
              <w:t>Таблица 1.1 Перечень и объем закупаемой продукции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3"/>
            <w:rPr/>
          </w:pPr>
          <w:hyperlink w:anchor="__RefHeading___Toc174089902">
            <w:r>
              <w:rPr>
                <w:webHidden/>
                <w:rStyle w:val="Style14"/>
                <w:vanish w:val="false"/>
                <w:sz w:val="24"/>
                <w:szCs w:val="24"/>
                <w:lang w:eastAsia="ru-RU"/>
              </w:rPr>
              <w:t>2.1.2.</w:t>
            </w:r>
            <w:r>
              <w:rPr>
                <w:rStyle w:val="Style14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Требования к срокам поставки продукции</w:t>
              <w:tab/>
              <w:t>3</w:t>
            </w:r>
          </w:hyperlink>
        </w:p>
        <w:p>
          <w:pPr>
            <w:pStyle w:val="TOC1"/>
            <w:spacing w:before="0" w:after="0"/>
            <w:ind w:left="567" w:hanging="0"/>
            <w:rPr/>
          </w:pPr>
          <w:hyperlink w:anchor="__RefHeading___Toc174089903">
            <w:r>
              <w:rPr>
                <w:webHidden/>
                <w:rStyle w:val="Style14"/>
                <w:vanish w:val="false"/>
                <w:lang w:eastAsia="ru-RU"/>
              </w:rPr>
              <w:t>Таблица 2.1 Требования по срокам поставки продукции</w:t>
            </w:r>
            <w:r>
              <w:rPr>
                <w:rStyle w:val="Style14"/>
                <w:b w:val="false"/>
                <w:lang w:eastAsia="ru-RU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_RefHeading___Toc174089904">
            <w:r>
              <w:rPr>
                <w:webHidden/>
                <w:rStyle w:val="Style14"/>
                <w:iCs/>
                <w:vanish w:val="false"/>
                <w:sz w:val="24"/>
                <w:szCs w:val="24"/>
                <w:lang w:eastAsia="ru-RU"/>
              </w:rPr>
              <w:t>2.2.</w:t>
            </w:r>
            <w:r>
              <w:rPr>
                <w:rStyle w:val="Style14"/>
                <w:i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Style14"/>
                <w:sz w:val="24"/>
                <w:szCs w:val="24"/>
                <w:lang w:eastAsia="ru-RU"/>
              </w:rPr>
              <w:t>Требования к качеству продукции</w:t>
              <w:tab/>
              <w:t>4</w:t>
            </w:r>
          </w:hyperlink>
        </w:p>
        <w:p>
          <w:pPr>
            <w:pStyle w:val="TOC1"/>
            <w:spacing w:before="0" w:after="0"/>
            <w:ind w:left="567" w:hanging="0"/>
            <w:rPr/>
          </w:pPr>
          <w:hyperlink w:anchor="__RefHeading___Toc174089905">
            <w:r>
              <w:rPr>
                <w:webHidden/>
                <w:rStyle w:val="Style14"/>
                <w:vanish w:val="false"/>
                <w:lang w:eastAsia="ru-RU"/>
              </w:rPr>
              <w:t>Таблица 3. Требования к продукции</w:t>
            </w:r>
            <w:r>
              <w:rPr>
                <w:rStyle w:val="Style14"/>
                <w:b w:val="false"/>
                <w:lang w:eastAsia="ru-RU"/>
              </w:rPr>
              <w:tab/>
              <w:t>4</w:t>
            </w:r>
          </w:hyperlink>
        </w:p>
        <w:p>
          <w:pPr>
            <w:pStyle w:val="TOC1"/>
            <w:spacing w:before="0" w:after="0"/>
            <w:jc w:val="right"/>
            <w:rPr/>
          </w:pPr>
          <w:hyperlink w:anchor="__RefHeading___Toc174089908">
            <w:r>
              <w:rPr>
                <w:webHidden/>
                <w:rStyle w:val="Style14"/>
                <w:vanish w:val="false"/>
                <w:lang w:eastAsia="ru-RU"/>
              </w:rPr>
              <w:t>3.</w:t>
            </w:r>
            <w:r>
              <w:rPr>
                <w:rStyle w:val="Style14"/>
                <w:rFonts w:cs="Calibri" w:ascii="Calibri" w:hAnsi="Calibri"/>
                <w:b w:val="false"/>
                <w:bCs w:val="false"/>
                <w:lang w:eastAsia="ru-RU"/>
              </w:rPr>
              <w:t xml:space="preserve"> </w:t>
            </w:r>
            <w:r>
              <w:rPr>
                <w:rStyle w:val="Style14"/>
                <w:lang w:eastAsia="ru-RU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b w:val="false"/>
                <w:lang w:eastAsia="ru-RU"/>
              </w:rPr>
              <w:tab/>
            </w:r>
          </w:hyperlink>
          <w:r>
            <w:rPr>
              <w:b w:val="false"/>
              <w:lang w:eastAsia="ru-RU"/>
            </w:rPr>
            <w:t>12</w:t>
          </w:r>
          <w:r>
            <w:rPr>
              <w:b w:val="false"/>
              <w:lang w:eastAsia="ru-RU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spacing w:before="0" w:after="60"/>
        <w:ind w:left="0" w:hanging="0"/>
        <w:rPr>
          <w:rFonts w:ascii="Calibri" w:hAnsi="Calibri" w:eastAsia="Times New Roman" w:cs="Calibri"/>
          <w:b w:val="false"/>
          <w:bCs w:val="false"/>
          <w:i/>
          <w:i/>
          <w:lang w:eastAsia="ru-RU"/>
        </w:rPr>
      </w:pPr>
      <w:r>
        <w:rPr>
          <w:rFonts w:eastAsia="Times New Roman" w:cs="Calibri" w:ascii="Calibri" w:hAnsi="Calibri"/>
          <w:b w:val="false"/>
          <w:bCs w:val="false"/>
          <w:i/>
          <w:lang w:eastAsia="ru-RU"/>
        </w:rPr>
      </w:r>
      <w:r>
        <w:br w:type="page"/>
      </w:r>
    </w:p>
    <w:p>
      <w:pPr>
        <w:pStyle w:val="Heading1"/>
        <w:keepLines/>
        <w:numPr>
          <w:ilvl w:val="0"/>
          <w:numId w:val="0"/>
        </w:numPr>
        <w:ind w:left="0" w:hanging="0"/>
        <w:jc w:val="center"/>
        <w:rPr/>
      </w:pPr>
      <w:bookmarkStart w:id="0" w:name="__RefHeading___Toc174089894"/>
      <w:bookmarkEnd w:id="0"/>
      <w:r>
        <w:rPr/>
        <w:t>Общие сведения</w:t>
      </w:r>
    </w:p>
    <w:p>
      <w:pPr>
        <w:pStyle w:val="Heading4"/>
        <w:numPr>
          <w:ilvl w:val="1"/>
          <w:numId w:val="5"/>
        </w:numPr>
        <w:rPr>
          <w:iCs/>
        </w:rPr>
      </w:pPr>
      <w:bookmarkStart w:id="1" w:name="__RefHeading___Toc174089895"/>
      <w:bookmarkEnd w:id="1"/>
      <w:r>
        <w:rPr/>
        <w:t>Обозначения и сокращения</w:t>
      </w:r>
    </w:p>
    <w:tbl>
      <w:tblPr>
        <w:tblW w:w="1014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156"/>
        <w:gridCol w:w="6986"/>
      </w:tblGrid>
      <w:tr>
        <w:trPr>
          <w:trHeight w:val="240" w:hRule="atLeast"/>
          <w:cantSplit w:val="true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АО «ТК РусГидро»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Акционерное общество «Транспортная компания РусГидро»</w:t>
            </w:r>
          </w:p>
        </w:tc>
      </w:tr>
      <w:tr>
        <w:trPr>
          <w:trHeight w:val="240" w:hRule="atLeast"/>
          <w:cantSplit w:val="true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Транспортное Средство</w:t>
            </w:r>
          </w:p>
        </w:tc>
      </w:tr>
      <w:tr>
        <w:trPr>
          <w:trHeight w:val="240" w:hRule="atLeast"/>
          <w:cantSplit w:val="true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i/>
                <w:iCs/>
                <w:color w:val="000000"/>
                <w:sz w:val="24"/>
                <w:szCs w:val="24"/>
              </w:rPr>
              <w:t>Прицеп к легковому автомобилю</w:t>
            </w:r>
          </w:p>
        </w:tc>
      </w:tr>
    </w:tbl>
    <w:p>
      <w:pPr>
        <w:pStyle w:val="Heading4"/>
        <w:numPr>
          <w:ilvl w:val="1"/>
          <w:numId w:val="5"/>
        </w:numPr>
        <w:spacing w:before="0" w:after="0"/>
        <w:rPr>
          <w:b w:val="false"/>
          <w:bCs w:val="false"/>
        </w:rPr>
      </w:pPr>
      <w:bookmarkStart w:id="2" w:name="__RefHeading___Toc174089896"/>
      <w:bookmarkEnd w:id="2"/>
      <w:r>
        <w:rPr/>
        <w:t>Наименование закупаемой продукции</w:t>
      </w:r>
    </w:p>
    <w:p>
      <w:pPr>
        <w:pStyle w:val="Normal"/>
        <w:widowControl/>
        <w:suppressAutoHyphens w:val="true"/>
        <w:bidi w:val="0"/>
        <w:spacing w:before="0" w:after="0"/>
        <w:jc w:val="both"/>
        <w:rPr>
          <w:sz w:val="24"/>
          <w:szCs w:val="24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 xml:space="preserve">   </w:t>
      </w:r>
      <w:r>
        <w:rPr>
          <w:rStyle w:val="Strong"/>
          <w:rFonts w:eastAsia="Times New Roman" w:cs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val="ru-RU" w:eastAsia="zh-CN" w:bidi="ar-SA"/>
        </w:rPr>
        <w:t>ОКПД 2: 29.20.23.111</w:t>
      </w:r>
      <w:r>
        <w:rPr>
          <w:rStyle w:val="Strong"/>
          <w:rFonts w:eastAsia="Times New Roman" w:cs="Times New Roman"/>
          <w:b/>
          <w:bCs w:val="false"/>
          <w:color w:val="000000"/>
          <w:kern w:val="0"/>
          <w:sz w:val="24"/>
          <w:szCs w:val="24"/>
          <w:shd w:fill="FFFFFF" w:val="clear"/>
          <w:lang w:val="ru-RU" w:eastAsia="zh-CN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4"/>
          <w:szCs w:val="24"/>
          <w:lang w:val="ru-RU" w:eastAsia="zh-CN" w:bidi="ar-SA"/>
        </w:rPr>
        <w:t> 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 xml:space="preserve">Поставка прицепа к легковому автомобилю </w:t>
      </w:r>
    </w:p>
    <w:p>
      <w:pPr>
        <w:pStyle w:val="Normal"/>
        <w:widowControl/>
        <w:suppressAutoHyphens w:val="true"/>
        <w:bidi w:val="0"/>
        <w:spacing w:before="0" w:after="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zh-CN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>грузоподъемностью до 750 кг для нужд Саяно-Шушенского филиала АО "ТК РусГидро"</w:t>
      </w:r>
    </w:p>
    <w:p>
      <w:pPr>
        <w:pStyle w:val="Normal"/>
        <w:widowControl/>
        <w:suppressAutoHyphens w:val="true"/>
        <w:bidi w:val="0"/>
        <w:spacing w:before="0" w:after="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zh-CN" w:bidi="ar-SA"/>
        </w:rPr>
      </w:pPr>
      <w:r>
        <w:rPr/>
      </w:r>
    </w:p>
    <w:p>
      <w:pPr>
        <w:pStyle w:val="Heading4"/>
        <w:numPr>
          <w:ilvl w:val="1"/>
          <w:numId w:val="5"/>
        </w:numPr>
        <w:spacing w:before="0" w:after="0"/>
        <w:ind w:left="431" w:hanging="431"/>
        <w:rPr/>
      </w:pPr>
      <w:bookmarkStart w:id="3" w:name="__RefHeading___Toc174089897"/>
      <w:bookmarkEnd w:id="3"/>
      <w:r>
        <w:rPr/>
        <w:t xml:space="preserve">Цель использования закупаемой продукции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оказания услуг по транспортировке снегоуборочной техники по договору по уборке  территории   филиала ПАО «РусГидро»  в рамках действующего договора </w:t>
      </w:r>
      <w:r>
        <w:rPr>
          <w:rFonts w:ascii="Calibri" w:hAnsi="Calibri"/>
          <w:b w:val="false"/>
          <w:i w:val="false"/>
          <w:strike w:val="false"/>
          <w:dstrike w:val="false"/>
          <w:outline w:val="false"/>
          <w:shadow w:val="false"/>
          <w:sz w:val="20"/>
          <w:szCs w:val="24"/>
          <w:u w:val="none"/>
          <w:em w:val="none"/>
        </w:rPr>
        <w:t xml:space="preserve">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zh-CN" w:bidi="ar-SA"/>
        </w:rPr>
        <w:t xml:space="preserve"> №1010-798-2025 от 06.08.25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5"/>
        </w:numPr>
        <w:spacing w:before="0" w:after="0"/>
        <w:ind w:left="357" w:hanging="357"/>
        <w:jc w:val="center"/>
        <w:rPr/>
      </w:pPr>
      <w:bookmarkStart w:id="4" w:name="__RefHeading___Toc174089898"/>
      <w:bookmarkEnd w:id="4"/>
      <w:r>
        <w:rPr>
          <w:iCs/>
        </w:rPr>
        <w:t>Требования к продукции</w:t>
      </w:r>
    </w:p>
    <w:p>
      <w:pPr>
        <w:pStyle w:val="Heading4"/>
        <w:numPr>
          <w:ilvl w:val="1"/>
          <w:numId w:val="5"/>
        </w:numPr>
        <w:spacing w:before="0" w:after="0"/>
        <w:rPr/>
      </w:pPr>
      <w:bookmarkStart w:id="5" w:name="__RefHeading___Toc174089899"/>
      <w:bookmarkEnd w:id="5"/>
      <w:r>
        <w:rPr/>
        <w:t>Требования к объемам и срокам поставки</w:t>
      </w:r>
    </w:p>
    <w:p>
      <w:pPr>
        <w:pStyle w:val="Heading3"/>
        <w:numPr>
          <w:ilvl w:val="2"/>
          <w:numId w:val="5"/>
        </w:numPr>
        <w:spacing w:before="0" w:after="0"/>
        <w:rPr/>
      </w:pPr>
      <w:bookmarkStart w:id="6" w:name="__RefHeading___Toc174089900"/>
      <w:bookmarkEnd w:id="6"/>
      <w:r>
        <w:rPr/>
        <w:t>Перечень и объем закупаемой продукции</w:t>
      </w:r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bookmarkStart w:id="7" w:name="__RefHeading___Toc174089901"/>
      <w:bookmarkEnd w:id="7"/>
      <w:r>
        <w:rPr>
          <w:sz w:val="24"/>
          <w:szCs w:val="24"/>
        </w:rPr>
        <w:t>Таблица 1.1 Перечень и объем закупаемой продукции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9"/>
        <w:gridCol w:w="5285"/>
        <w:gridCol w:w="1918"/>
        <w:gridCol w:w="1868"/>
      </w:tblGrid>
      <w:tr>
        <w:trPr>
          <w:trHeight w:val="51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trHeight w:val="13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36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FFFFFF" w:val="clear"/>
                <w:lang w:val="ru-RU" w:eastAsia="zh-CN" w:bidi="ar-SA"/>
              </w:rPr>
              <w:t>ОКПД 2: 29.20.23.111</w:t>
            </w:r>
            <w:r>
              <w:rPr>
                <w:rStyle w:val="Strong"/>
                <w:rFonts w:eastAsia="Times New Roman" w:cs="Times New Roman"/>
                <w:b/>
                <w:bCs w:val="false"/>
                <w:color w:val="000000"/>
                <w:kern w:val="0"/>
                <w:sz w:val="24"/>
                <w:szCs w:val="24"/>
                <w:shd w:fill="FFFFFF" w:val="clear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ru-RU" w:eastAsia="zh-CN" w:bidi="ar-SA"/>
              </w:rPr>
              <w:t> 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 xml:space="preserve">Поставка прицепа к легковому автомобилю 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грузоподъемностью до 750 кг для нужд Саяно-Шушенского филиала АО "ТК РусГидро"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5"/>
        </w:numPr>
        <w:spacing w:before="0" w:after="0"/>
        <w:rPr/>
      </w:pPr>
      <w:bookmarkStart w:id="8" w:name="__RefHeading___Toc174089902"/>
      <w:bookmarkEnd w:id="8"/>
      <w:r>
        <w:rPr/>
        <w:t>Требования к срокам поставки продукции</w:t>
      </w:r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bookmarkStart w:id="9" w:name="__RefHeading___Toc174089903"/>
      <w:bookmarkEnd w:id="9"/>
      <w:r>
        <w:rPr>
          <w:sz w:val="24"/>
          <w:szCs w:val="24"/>
        </w:rPr>
        <w:t xml:space="preserve">Таблица 2.1 </w:t>
      </w:r>
      <w:bookmarkStart w:id="10" w:name="_Hlk50465284"/>
      <w:r>
        <w:rPr>
          <w:sz w:val="24"/>
          <w:szCs w:val="24"/>
        </w:rPr>
        <w:t xml:space="preserve">Требования по срокам </w:t>
      </w:r>
      <w:bookmarkEnd w:id="10"/>
      <w:r>
        <w:rPr>
          <w:sz w:val="24"/>
          <w:szCs w:val="24"/>
        </w:rPr>
        <w:t xml:space="preserve">поставки продукции 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9"/>
        <w:gridCol w:w="3926"/>
        <w:gridCol w:w="1788"/>
        <w:gridCol w:w="3357"/>
      </w:tblGrid>
      <w:tr>
        <w:trPr>
          <w:trHeight w:val="341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8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74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  <w:lang w:val="en-US"/>
              </w:rPr>
              <w:t>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ОКПД 2: 29.20.23.111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 Поставка прицепа к легковому автомобилю 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en-US" w:eastAsia="zh-CN" w:bidi="ar-SA"/>
              </w:rPr>
              <w:t>грузоподъемностью до 750 кг для нужд Саяно-Шушенского филиала АО "ТК РусГидро"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Не позднее 15.12.2026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5"/>
        </w:numPr>
        <w:rPr>
          <w:rFonts w:eastAsia="Times New Roman"/>
        </w:rPr>
      </w:pPr>
      <w:bookmarkStart w:id="11" w:name="__RefHeading___Toc174089904"/>
      <w:bookmarkEnd w:id="11"/>
      <w:r>
        <w:rPr/>
        <w:t>Требования к качеству продукции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bookmarkStart w:id="12" w:name="__RefHeading___Toc174089905"/>
      <w:r>
        <w:rPr>
          <w:sz w:val="24"/>
          <w:szCs w:val="24"/>
        </w:rPr>
        <w:t>Таблица 3. Требования к продукции</w:t>
      </w:r>
      <w:bookmarkEnd w:id="12"/>
    </w:p>
    <w:p>
      <w:pPr>
        <w:pStyle w:val="Normal"/>
        <w:jc w:val="both"/>
        <w:rPr>
          <w:sz w:val="24"/>
          <w:szCs w:val="24"/>
        </w:rPr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 xml:space="preserve">Наименование продукции: </w:t>
      </w:r>
      <w:r>
        <w:rPr>
          <w:rStyle w:val="Style8"/>
          <w:sz w:val="24"/>
          <w:szCs w:val="24"/>
        </w:rPr>
        <w:t> </w:t>
      </w:r>
      <w:r>
        <w:rPr>
          <w:rStyle w:val="Style8"/>
          <w:b/>
          <w:color w:val="000000"/>
          <w:sz w:val="24"/>
          <w:szCs w:val="24"/>
          <w:shd w:fill="FFFFFF" w:val="clear"/>
        </w:rPr>
        <w:t> </w:t>
      </w:r>
      <w:r>
        <w:rPr>
          <w:rStyle w:val="Style8"/>
          <w:rFonts w:eastAsia="Times New Roman" w:cs="Times New Roman"/>
          <w:b/>
          <w:color w:val="000000"/>
          <w:kern w:val="0"/>
          <w:sz w:val="28"/>
          <w:szCs w:val="28"/>
          <w:shd w:fill="FFFFFF" w:val="clear"/>
          <w:lang w:val="ru-RU" w:eastAsia="zh-CN" w:bidi="ar-SA"/>
        </w:rPr>
        <w:t xml:space="preserve"> </w:t>
      </w:r>
      <w:r>
        <w:rPr>
          <w:rStyle w:val="Strong"/>
          <w:rFonts w:eastAsia="Times New Roman" w:cs="Times New Roman"/>
          <w:b w:val="false"/>
          <w:bCs w:val="false"/>
          <w:color w:val="000000"/>
          <w:kern w:val="0"/>
          <w:sz w:val="24"/>
          <w:szCs w:val="24"/>
          <w:shd w:fill="FFFFFF" w:val="clear"/>
          <w:lang w:val="en-US" w:eastAsia="zh-CN" w:bidi="ar-SA"/>
        </w:rPr>
        <w:t> </w:t>
      </w:r>
      <w:r>
        <w:rPr>
          <w:rStyle w:val="Style8"/>
          <w:rFonts w:eastAsia="Times New Roman" w:cs="Times New Roman"/>
          <w:color w:val="000000"/>
          <w:kern w:val="0"/>
          <w:sz w:val="24"/>
          <w:szCs w:val="24"/>
          <w:shd w:fill="FFFFFF" w:val="clear"/>
          <w:lang w:val="ru-RU" w:eastAsia="zh-CN" w:bidi="ar-SA"/>
        </w:rPr>
        <w:t>ОКПД 2: 29.20.23.111  </w:t>
      </w:r>
      <w:r>
        <w:rPr>
          <w:rStyle w:val="Style8"/>
          <w:rFonts w:eastAsia="Times New Roman" w:cs="Times New Roman"/>
          <w:b/>
          <w:color w:val="000000"/>
          <w:kern w:val="0"/>
          <w:sz w:val="24"/>
          <w:szCs w:val="24"/>
          <w:shd w:fill="FFFFFF" w:val="clear"/>
          <w:lang w:val="ru-RU" w:eastAsia="zh-CN" w:bidi="ar-SA"/>
        </w:rPr>
        <w:t>Поставка прицепа к легковому автомобилю грузоподъемностью до 750 кг для нужд Саяно-Шушенского филиала АО "ТК РусГидро"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5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290"/>
        <w:gridCol w:w="2894"/>
        <w:gridCol w:w="2611"/>
        <w:gridCol w:w="2956"/>
        <w:gridCol w:w="2835"/>
        <w:gridCol w:w="2998"/>
      </w:tblGrid>
      <w:tr>
        <w:trPr/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2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Размеры и вес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25" w:hang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Тип прицепа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Бортовой прицеп к легковому автомобилю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1.1.2.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 кузова (внутренние)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1.1.2.1.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Длина,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4200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1.1.2.2.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Ширина, мм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 1500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1.1.2.3.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Высота борта, мм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zh-CN" w:bidi="ar-SA"/>
              </w:rPr>
              <w:t>Не менее 190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1.1.2.4.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Высота каркаса с тентом от пола кузова , мм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1850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1.1.3.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пола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Влпгостойкая фанера, 9 мм с </w:t>
            </w:r>
            <w:r>
              <w:rPr>
                <w:sz w:val="24"/>
                <w:szCs w:val="24"/>
                <w:lang w:val="en-US"/>
              </w:rPr>
              <w:t>сетчатым противоскользящим покрытием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lang w:val="en-US"/>
              </w:rPr>
              <w:t>Грузоподъемность, кг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750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right="-1638" w:hang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Подвеска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1.2.1.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осей, шт.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1.2.2.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Тип  подвески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Зависимая, рессорная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1.2.3.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Аммортизаторы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Гидравлические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1.2.4.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Рессоры, тип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РAL-KO, 5 листов на подрамниках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1.2.5.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нагрузка на одну  рессору, кг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Не менее 750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1.3.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sz w:val="24"/>
                <w:szCs w:val="24"/>
              </w:rPr>
              <w:t>Трансмиссия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  <w:lang w:val="en-US"/>
              </w:rPr>
              <w:t>1.3.1.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Шины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Усиленные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2"/>
                <w:szCs w:val="22"/>
                <w:lang w:val="en-US"/>
              </w:rPr>
              <w:t>1.3.2.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Размеры шин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13RС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Ступицы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Усиленные с защитой подшипников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1.3.4.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Разболтовка</w:t>
            </w:r>
          </w:p>
        </w:tc>
        <w:tc>
          <w:tcPr>
            <w:tcW w:w="26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4х98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1.4.</w:t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Сцепное устройство (усиленное )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1.4.1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Нагрузка, кг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 </w:t>
            </w:r>
            <w:r>
              <w:rPr>
                <w:sz w:val="24"/>
                <w:szCs w:val="24"/>
                <w:lang w:val="en-US"/>
              </w:rPr>
              <w:t>Не менее 1300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1.4.2.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Дышло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Оцинкованное,</w:t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V-образное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1.5.</w:t>
            </w:r>
          </w:p>
        </w:tc>
        <w:tc>
          <w:tcPr>
            <w:tcW w:w="55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Рама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1.5.1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Покрытие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Горячее оцинкование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1.6.</w:t>
            </w:r>
          </w:p>
        </w:tc>
        <w:tc>
          <w:tcPr>
            <w:tcW w:w="55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Дополнительное  оборудование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435" w:hRule="atLeast"/>
        </w:trPr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1.6.1</w:t>
            </w:r>
          </w:p>
        </w:tc>
        <w:tc>
          <w:tcPr>
            <w:tcW w:w="55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Задний борт (аппарель)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390" w:hRule="atLeast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1.6.1.1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Тип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Раскладная конструкция  из 2-х частей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0" w:hRule="atLeast"/>
        </w:trPr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1.6.1.2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в  сложенном состоянии,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более 760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07" w:hRule="atLeast"/>
        </w:trPr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1.6.1.3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в разложенном состоянии,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1500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1.6.2.</w:t>
            </w:r>
          </w:p>
        </w:tc>
        <w:tc>
          <w:tcPr>
            <w:tcW w:w="55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Каркас с тентом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Наличие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1.6.2.1.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Высота от пола кузова, мм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Не менее 1850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1.6.3.</w:t>
            </w:r>
          </w:p>
        </w:tc>
        <w:tc>
          <w:tcPr>
            <w:tcW w:w="55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>Фонари светодиодные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Наличие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bookmarkStart w:id="13" w:name="_GoBack"/>
            <w:r>
              <w:rPr>
                <w:b/>
                <w:sz w:val="24"/>
                <w:szCs w:val="24"/>
              </w:rPr>
              <w:t>Т</w:t>
            </w:r>
            <w:bookmarkEnd w:id="13"/>
            <w:r>
              <w:rPr>
                <w:b/>
                <w:sz w:val="24"/>
                <w:szCs w:val="24"/>
              </w:rPr>
              <w:t>ребования к безопасности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right" w:pos="9911" w:leader="dot"/>
              </w:tabs>
              <w:jc w:val="both"/>
              <w:rPr/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Поставляемое ТС в отношении используемого шасси, должны соответствовать требованиям технического регламента таможенного союза ТР ТС 010/2011 "О безопасности машин и оборудования" выданный органом сертификации транспортных средств Российской Федерации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right" w:pos="9911" w:leader="dot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right" w:pos="9911" w:leader="dot"/>
              </w:tabs>
              <w:jc w:val="center"/>
              <w:rPr/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Предоставление действующей декларации в соответствии с требованиями тех. регламента Таможенного Союза ТР ТС 010/2011 «О безопасности машин и оборудования 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Климатические условия эксплуатации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ТС должно быть рассчитано на эксплуатацию при рабочих температурах окружающего воздуха от - 40 до + 40 °С.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114" w:hRule="atLeast"/>
        </w:trPr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before="0" w:after="0"/>
              <w:contextualSpacing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 xml:space="preserve">РФ, </w:t>
            </w: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val="en-US" w:eastAsia="zh-CN" w:bidi="ar-SA"/>
              </w:rPr>
              <w:t>Республика Хакасия г. Саяногорск рп. Черёмушки, стр. 101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iCs/>
                <w:color w:val="auto"/>
                <w:kern w:val="0"/>
                <w:sz w:val="24"/>
                <w:szCs w:val="24"/>
                <w:lang w:eastAsia="zh-CN" w:bidi="ar-SA"/>
              </w:rPr>
            </w:pPr>
            <w:r>
              <w:rPr>
                <w:rFonts w:eastAsia="Times New Roman" w:cs="Times New Roman"/>
                <w:iCs/>
                <w:color w:val="auto"/>
                <w:kern w:val="0"/>
                <w:sz w:val="24"/>
                <w:szCs w:val="24"/>
                <w:lang w:eastAsia="zh-CN" w:bidi="ar-SA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4" w:hRule="atLeast"/>
        </w:trPr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7" w:leader="none"/>
              </w:tabs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осуществляется силами Поставщика до места поставки,</w:t>
            </w:r>
            <w:r>
              <w:rPr>
                <w:rFonts w:eastAsia="Times New Roman"/>
                <w:sz w:val="24"/>
                <w:szCs w:val="24"/>
              </w:rPr>
              <w:t xml:space="preserve"> рекомендованными способами завода изготовителя.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right" w:pos="9911" w:leader="dot"/>
              </w:tabs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Продукция должна быть новой и ранее не использовавшейся.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color w:val="000000"/>
                <w:sz w:val="24"/>
                <w:szCs w:val="24"/>
              </w:rPr>
              <w:t>Год изготовления товара – не ранее 2026.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гарантии на Продукцию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на транспортное средство - не менее гарантийного срока, установленного заводом изготовителем, с даты продажи Заказчику.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lang w:eastAsia="ru-RU"/>
              </w:rPr>
            </w:pPr>
            <w:r>
              <w:rPr>
                <w:rFonts w:eastAsia="Times New Roman"/>
                <w:b w:val="false"/>
                <w:lang w:eastAsia="ru-RU"/>
              </w:rPr>
            </w:r>
          </w:p>
        </w:tc>
      </w:tr>
      <w:tr>
        <w:trPr/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гарантийному и послегарантийному обслуживанию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Наличие официального представительства, сервисного центра, склада запчастей и технической поддержки в регионе эксплуатации или выездной бригады для выполнения гарантийных обслуживания и ремонта</w:t>
            </w:r>
          </w:p>
        </w:tc>
        <w:tc>
          <w:tcPr>
            <w:tcW w:w="2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napToGrid w:val="fals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lang w:eastAsia="ru-RU"/>
              </w:rPr>
            </w:pPr>
            <w:r>
              <w:rPr>
                <w:rFonts w:eastAsia="Times New Roman"/>
                <w:b w:val="false"/>
                <w:lang w:eastAsia="ru-RU"/>
              </w:rPr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3"/>
              </w:numPr>
              <w:snapToGrid w:val="false"/>
              <w:ind w:left="-117"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 рамы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Стандартный цвет производителя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5"/>
        </w:numPr>
        <w:ind w:left="357" w:hanging="357"/>
        <w:jc w:val="center"/>
        <w:rPr>
          <w:bCs/>
          <w:sz w:val="24"/>
          <w:szCs w:val="24"/>
        </w:rPr>
      </w:pPr>
      <w:bookmarkStart w:id="14" w:name="__RefHeading___Toc174089908"/>
      <w:bookmarkEnd w:id="14"/>
      <w:r>
        <w:rPr/>
        <w:t>Требования к документации по ценообразованию на этапе закупки</w:t>
      </w:r>
    </w:p>
    <w:p>
      <w:pPr>
        <w:pStyle w:val="Style33"/>
        <w:ind w:firstLine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3.1</w:t>
      </w:r>
      <w:r>
        <w:rPr>
          <w:rFonts w:cs="Times New Roman" w:ascii="Times New Roman" w:hAnsi="Times New Roman"/>
          <w:sz w:val="24"/>
          <w:szCs w:val="24"/>
        </w:rPr>
        <w:t xml:space="preserve">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Style33"/>
        <w:ind w:firstLine="3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3.2.</w:t>
      </w:r>
      <w:r>
        <w:rPr>
          <w:rFonts w:cs="Times New Roman" w:ascii="Times New Roman" w:hAnsi="Times New Roman"/>
          <w:sz w:val="24"/>
          <w:szCs w:val="24"/>
        </w:rPr>
        <w:t xml:space="preserve"> Дополнительные документы по ценообразованию в состав заявки не включаются.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720" w:leader="none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ind w:left="0" w:hanging="0"/>
        <w:jc w:val="both"/>
        <w:rPr>
          <w:b/>
          <w:bCs/>
        </w:rPr>
      </w:pPr>
      <w:r>
        <w:rPr>
          <w:b/>
          <w:bCs/>
        </w:rPr>
      </w:r>
    </w:p>
    <w:p>
      <w:pPr>
        <w:pStyle w:val="Heading1"/>
        <w:keepLines/>
        <w:numPr>
          <w:ilvl w:val="0"/>
          <w:numId w:val="0"/>
        </w:numPr>
        <w:ind w:left="357" w:hanging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/>
          <w:bCs/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4"/>
      <w:numFmt w:val="bullet"/>
      <w:lvlText w:val="-"/>
      <w:lvlJc w:val="left"/>
      <w:pPr>
        <w:tabs>
          <w:tab w:val="num" w:pos="0"/>
        </w:tabs>
        <w:ind w:left="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Heading3"/>
    <w:next w:val="Normal"/>
    <w:qFormat/>
    <w:pPr>
      <w:numPr>
        <w:ilvl w:val="0"/>
        <w:numId w:val="5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numPr>
        <w:ilvl w:val="1"/>
        <w:numId w:val="1"/>
      </w:numPr>
      <w:outlineLvl w:val="1"/>
    </w:pPr>
    <w:rPr/>
  </w:style>
  <w:style w:type="paragraph" w:styleId="Heading3">
    <w:name w:val="Heading 3"/>
    <w:basedOn w:val="Normal"/>
    <w:next w:val="Normal"/>
    <w:qFormat/>
    <w:pPr>
      <w:keepNext w:val="true"/>
      <w:tabs>
        <w:tab w:val="clear" w:pos="708"/>
        <w:tab w:val="left" w:pos="0" w:leader="none"/>
      </w:tabs>
      <w:spacing w:before="120" w:after="60"/>
      <w:ind w:left="5038" w:hanging="3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5"/>
        <w:numId w:val="1"/>
      </w:numPr>
      <w:spacing w:before="200" w:after="0"/>
      <w:outlineLvl w:val="5"/>
    </w:pPr>
    <w:rPr>
      <w:rFonts w:ascii="Cambria" w:hAnsi="Cambria" w:cs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 w:cs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F81BD"/>
      <w:sz w:val="20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/>
  </w:style>
  <w:style w:type="character" w:styleId="WW8Num2z4" w:customStyle="1">
    <w:name w:val="WW8Num2z4"/>
    <w:qFormat/>
    <w:rPr>
      <w:rFonts w:ascii="Times New Roman" w:hAnsi="Times New Roman" w:cs="Times New Roman"/>
    </w:rPr>
  </w:style>
  <w:style w:type="character" w:styleId="WW8Num3z0" w:customStyle="1">
    <w:name w:val="WW8Num3z0"/>
    <w:qFormat/>
    <w:rPr>
      <w:b/>
      <w:bCs w:val="false"/>
      <w:sz w:val="24"/>
      <w:szCs w:val="24"/>
    </w:rPr>
  </w:style>
  <w:style w:type="character" w:styleId="WW8Num3z1" w:customStyle="1">
    <w:name w:val="WW8Num3z1"/>
    <w:qFormat/>
    <w:rPr>
      <w:b w:val="false"/>
      <w:bCs/>
      <w:sz w:val="24"/>
      <w:szCs w:val="24"/>
    </w:rPr>
  </w:style>
  <w:style w:type="character" w:styleId="WW8Num3z2" w:customStyle="1">
    <w:name w:val="WW8Num3z2"/>
    <w:qFormat/>
    <w:rPr>
      <w:sz w:val="24"/>
      <w:szCs w:val="24"/>
    </w:rPr>
  </w:style>
  <w:style w:type="character" w:styleId="WW8Num5z0" w:customStyle="1">
    <w:name w:val="WW8Num5z0"/>
    <w:qFormat/>
    <w:rPr/>
  </w:style>
  <w:style w:type="character" w:styleId="WW8Num6z0" w:customStyle="1">
    <w:name w:val="WW8Num6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8Num6z1" w:customStyle="1">
    <w:name w:val="WW8Num6z1"/>
    <w:qFormat/>
    <w:rPr>
      <w:b/>
      <w:bCs/>
      <w:i w:val="false"/>
      <w:iCs/>
      <w:sz w:val="24"/>
      <w:szCs w:val="24"/>
    </w:rPr>
  </w:style>
  <w:style w:type="character" w:styleId="WW8Num6z2" w:customStyle="1">
    <w:name w:val="WW8Num6z2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>
      <w:rFonts w:ascii="Times New Roman" w:hAnsi="Times New Roman" w:cs="Times New Roman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3z4" w:customStyle="1">
    <w:name w:val="WW8Num3z4"/>
    <w:qFormat/>
    <w:rPr>
      <w:rFonts w:ascii="Times New Roman" w:hAnsi="Times New Roman" w:cs="Times New Roman"/>
    </w:rPr>
  </w:style>
  <w:style w:type="character" w:styleId="WW8Num4z0" w:customStyle="1">
    <w:name w:val="WW8Num4z0"/>
    <w:qFormat/>
    <w:rPr>
      <w:b/>
      <w:bCs w:val="false"/>
      <w:sz w:val="24"/>
      <w:szCs w:val="24"/>
    </w:rPr>
  </w:style>
  <w:style w:type="character" w:styleId="WW8Num4z1" w:customStyle="1">
    <w:name w:val="WW8Num4z1"/>
    <w:qFormat/>
    <w:rPr>
      <w:b w:val="false"/>
      <w:bCs/>
      <w:sz w:val="24"/>
      <w:szCs w:val="24"/>
    </w:rPr>
  </w:style>
  <w:style w:type="character" w:styleId="WW8Num4z2" w:customStyle="1">
    <w:name w:val="WW8Num4z2"/>
    <w:qFormat/>
    <w:rPr>
      <w:sz w:val="24"/>
      <w:szCs w:val="24"/>
    </w:rPr>
  </w:style>
  <w:style w:type="character" w:styleId="WW8Num7z1" w:customStyle="1">
    <w:name w:val="WW8Num7z1"/>
    <w:qFormat/>
    <w:rPr>
      <w:b/>
      <w:bCs/>
      <w:i w:val="false"/>
      <w:iCs/>
      <w:sz w:val="24"/>
      <w:szCs w:val="24"/>
    </w:rPr>
  </w:style>
  <w:style w:type="character" w:styleId="WW8Num7z2" w:customStyle="1">
    <w:name w:val="WW8Num7z2"/>
    <w:qFormat/>
    <w:rPr/>
  </w:style>
  <w:style w:type="character" w:styleId="WW8Num9z0" w:customStyle="1">
    <w:name w:val="WW8Num9z0"/>
    <w:qFormat/>
    <w:rPr>
      <w:rFonts w:ascii="Times New Roman" w:hAnsi="Times New Roman" w:cs="Times New Roman"/>
    </w:rPr>
  </w:style>
  <w:style w:type="character" w:styleId="WW8Num9z1" w:customStyle="1">
    <w:name w:val="WW8Num9z1"/>
    <w:qFormat/>
    <w:rPr>
      <w:rFonts w:ascii="Courier New" w:hAnsi="Courier New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5z1" w:customStyle="1">
    <w:name w:val="WW8Num5z1"/>
    <w:qFormat/>
    <w:rPr>
      <w:b w:val="false"/>
      <w:bCs/>
      <w:sz w:val="24"/>
      <w:szCs w:val="24"/>
    </w:rPr>
  </w:style>
  <w:style w:type="character" w:styleId="WW8Num5z2" w:customStyle="1">
    <w:name w:val="WW8Num5z2"/>
    <w:qFormat/>
    <w:rPr>
      <w:sz w:val="24"/>
      <w:szCs w:val="24"/>
    </w:rPr>
  </w:style>
  <w:style w:type="character" w:styleId="WW8Num6z4" w:customStyle="1">
    <w:name w:val="WW8Num6z4"/>
    <w:qFormat/>
    <w:rPr>
      <w:rFonts w:ascii="Times New Roman" w:hAnsi="Times New Roman" w:cs="Times New Roman"/>
    </w:rPr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8Num11z1" w:customStyle="1">
    <w:name w:val="WW8Num11z1"/>
    <w:qFormat/>
    <w:rPr>
      <w:b/>
      <w:bCs/>
      <w:i w:val="false"/>
      <w:iCs/>
      <w:sz w:val="24"/>
      <w:szCs w:val="24"/>
    </w:rPr>
  </w:style>
  <w:style w:type="character" w:styleId="WW8Num11z2" w:customStyle="1">
    <w:name w:val="WW8Num11z2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>
      <w:rFonts w:ascii="Times New Roman" w:hAnsi="Times New Roman" w:cs="Times New Roman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>
      <w:b/>
      <w:bCs w:val="false"/>
      <w:sz w:val="24"/>
      <w:szCs w:val="24"/>
    </w:rPr>
  </w:style>
  <w:style w:type="character" w:styleId="WW8Num14z1" w:customStyle="1">
    <w:name w:val="WW8Num14z1"/>
    <w:qFormat/>
    <w:rPr>
      <w:b w:val="false"/>
      <w:bCs/>
      <w:sz w:val="24"/>
      <w:szCs w:val="24"/>
    </w:rPr>
  </w:style>
  <w:style w:type="character" w:styleId="WW8Num14z2" w:customStyle="1">
    <w:name w:val="WW8Num14z2"/>
    <w:qFormat/>
    <w:rPr>
      <w:sz w:val="24"/>
      <w:szCs w:val="24"/>
    </w:rPr>
  </w:style>
  <w:style w:type="character" w:styleId="WW8Num1z0" w:customStyle="1">
    <w:name w:val="WW8Num1z0"/>
    <w:qFormat/>
    <w:rPr>
      <w:rFonts w:cs="Times New Roman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>
      <w:rFonts w:ascii="Times New Roman" w:hAnsi="Times New Roman" w:cs="Times New Roman"/>
      <w:sz w:val="28"/>
    </w:rPr>
  </w:style>
  <w:style w:type="character" w:styleId="WW8Num16z0" w:customStyle="1">
    <w:name w:val="WW8Num16z0"/>
    <w:qFormat/>
    <w:rPr/>
  </w:style>
  <w:style w:type="character" w:styleId="WW8Num17z0" w:customStyle="1">
    <w:name w:val="WW8Num17z0"/>
    <w:qFormat/>
    <w:rPr>
      <w:rFonts w:ascii="Times New Roman" w:hAnsi="Times New Roman" w:eastAsia="Times New Roman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>
      <w:b/>
      <w:bCs w:val="false"/>
      <w:sz w:val="24"/>
      <w:szCs w:val="24"/>
    </w:rPr>
  </w:style>
  <w:style w:type="character" w:styleId="WW8Num21z1" w:customStyle="1">
    <w:name w:val="WW8Num21z1"/>
    <w:qFormat/>
    <w:rPr>
      <w:b w:val="false"/>
      <w:bCs/>
      <w:sz w:val="24"/>
      <w:szCs w:val="24"/>
    </w:rPr>
  </w:style>
  <w:style w:type="character" w:styleId="WW8Num21z2" w:customStyle="1">
    <w:name w:val="WW8Num21z2"/>
    <w:qFormat/>
    <w:rPr>
      <w:sz w:val="24"/>
      <w:szCs w:val="24"/>
    </w:rPr>
  </w:style>
  <w:style w:type="character" w:styleId="Style" w:customStyle="1">
    <w:name w:val="Символ сноски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cs="Cambria"/>
      <w:i/>
      <w:iCs/>
      <w:color w:val="243F60"/>
      <w:lang w:val="ru-RU"/>
    </w:rPr>
  </w:style>
  <w:style w:type="character" w:styleId="7" w:customStyle="1">
    <w:name w:val="Заголовок 7 Знак"/>
    <w:qFormat/>
    <w:rPr>
      <w:rFonts w:ascii="Cambria" w:hAnsi="Cambria" w:cs="Cambria"/>
      <w:i/>
      <w:iCs/>
      <w:color w:val="404040"/>
      <w:lang w:val="ru-RU"/>
    </w:rPr>
  </w:style>
  <w:style w:type="character" w:styleId="8" w:customStyle="1">
    <w:name w:val="Заголовок 8 Знак"/>
    <w:qFormat/>
    <w:rPr>
      <w:rFonts w:ascii="Cambria" w:hAnsi="Cambria" w:cs="Cambria"/>
      <w:color w:val="4F81BD"/>
      <w:lang w:val="ru-RU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ru-RU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ru-RU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ru-RU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ru-RU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 w:cs="Cambria"/>
      <w:i/>
      <w:iCs/>
      <w:color w:val="4F81BD"/>
      <w:spacing w:val="15"/>
      <w:sz w:val="24"/>
      <w:szCs w:val="24"/>
      <w:lang w:val="ru-RU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qFormat/>
    <w:rPr>
      <w:rFonts w:ascii="Calibri" w:hAnsi="Calibri" w:eastAsia="Calibri" w:cs="Calibri"/>
      <w:i/>
      <w:iCs/>
      <w:color w:val="000000"/>
      <w:lang w:val="ru-RU"/>
    </w:rPr>
  </w:style>
  <w:style w:type="character" w:styleId="Style3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  <w:lang w:val="ru-RU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2" w:customStyle="1">
    <w:name w:val="УРОВЕНЬ_1. Знак"/>
    <w:qFormat/>
    <w:rPr>
      <w:rFonts w:eastAsia="Calibri"/>
      <w:caps/>
      <w:sz w:val="28"/>
      <w:szCs w:val="28"/>
    </w:rPr>
  </w:style>
  <w:style w:type="character" w:styleId="13" w:customStyle="1">
    <w:name w:val="Неразрешенное упоминание1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" w:cs="Arial Unicode MS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>
      <w:suppressLineNumbers/>
    </w:pPr>
    <w:rPr>
      <w:b/>
      <w:bCs/>
      <w:sz w:val="32"/>
      <w:szCs w:val="32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18" w:customStyle="1">
    <w:name w:val="Раздел положения"/>
    <w:basedOn w:val="Normal"/>
    <w:qFormat/>
    <w:pPr>
      <w:numPr>
        <w:ilvl w:val="0"/>
        <w:numId w:val="4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qFormat/>
    <w:pPr>
      <w:jc w:val="center"/>
    </w:pPr>
    <w:rPr>
      <w:szCs w:val="20"/>
    </w:rPr>
  </w:style>
  <w:style w:type="paragraph" w:styleId="Style20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/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qFormat/>
    <w:pPr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pPr>
      <w:tabs>
        <w:tab w:val="clear" w:pos="708"/>
        <w:tab w:val="left" w:pos="567" w:leader="none"/>
        <w:tab w:val="right" w:pos="9911" w:leader="dot"/>
      </w:tabs>
      <w:spacing w:before="120" w:after="0"/>
      <w:ind w:left="284" w:hanging="0"/>
    </w:pPr>
    <w:rPr>
      <w:rFonts w:cs="Calibri Light (Заголовки);Calib"/>
      <w:b/>
      <w:bCs/>
      <w:sz w:val="24"/>
      <w:szCs w:val="24"/>
    </w:rPr>
  </w:style>
  <w:style w:type="paragraph" w:styleId="TOC3">
    <w:name w:val="TOC 3"/>
    <w:basedOn w:val="Normal"/>
    <w:next w:val="Normal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/>
      <w:sz w:val="20"/>
      <w:szCs w:val="20"/>
    </w:rPr>
  </w:style>
  <w:style w:type="paragraph" w:styleId="Style22" w:customStyle="1">
    <w:name w:val="Раздел регламента"/>
    <w:basedOn w:val="Normal"/>
    <w:qFormat/>
    <w:pPr/>
    <w:rPr/>
  </w:style>
  <w:style w:type="paragraph" w:styleId="Style23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pPr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qFormat/>
    <w:pPr>
      <w:ind w:left="1066" w:firstLine="709"/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 w:cs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 w:cs="Cambria"/>
      <w:bCs/>
      <w:color w:val="365F91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</w:rPr>
  </w:style>
  <w:style w:type="paragraph" w:styleId="Style25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34" w:customStyle="1">
    <w:name w:val="Нумерованный список ур3"/>
    <w:basedOn w:val="Normal"/>
    <w:qFormat/>
    <w:pPr>
      <w:numPr>
        <w:ilvl w:val="0"/>
        <w:numId w:val="7"/>
      </w:numPr>
      <w:jc w:val="both"/>
    </w:pPr>
    <w:rPr>
      <w:rFonts w:ascii="Garamond" w:hAnsi="Garamond" w:cs="Garamond"/>
      <w:sz w:val="24"/>
      <w:szCs w:val="20"/>
    </w:rPr>
  </w:style>
  <w:style w:type="paragraph" w:styleId="ListBullet4">
    <w:name w:val="List Bullet 4"/>
    <w:basedOn w:val="Normal"/>
    <w:qFormat/>
    <w:pPr>
      <w:tabs>
        <w:tab w:val="clear" w:pos="708"/>
        <w:tab w:val="left" w:pos="0" w:leader="none"/>
      </w:tabs>
      <w:spacing w:before="120" w:after="0"/>
      <w:ind w:left="207" w:hanging="360"/>
      <w:jc w:val="both"/>
    </w:pPr>
    <w:rPr>
      <w:rFonts w:ascii="Garamond" w:hAnsi="Garamond" w:cs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tabs>
        <w:tab w:val="clear" w:pos="708"/>
        <w:tab w:val="left" w:pos="0" w:leader="none"/>
      </w:tabs>
      <w:spacing w:before="120" w:after="0"/>
      <w:ind w:left="207" w:hanging="360"/>
      <w:jc w:val="both"/>
    </w:pPr>
    <w:rPr>
      <w:rFonts w:ascii="Garamond" w:hAnsi="Garamond" w:cs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/>
    </w:rPr>
  </w:style>
  <w:style w:type="paragraph" w:styleId="Style26" w:customStyle="1">
    <w:name w:val="Пункт"/>
    <w:basedOn w:val="Normal"/>
    <w:qFormat/>
    <w:pPr>
      <w:widowControl w:val="false"/>
      <w:spacing w:lineRule="auto" w:line="360" w:before="120" w:after="0"/>
      <w:ind w:left="1134" w:right="800" w:hanging="1134"/>
      <w:jc w:val="both"/>
    </w:pPr>
    <w:rPr>
      <w:rFonts w:ascii="Arial" w:hAnsi="Arial" w:cs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cs="Calibri"/>
      <w:sz w:val="22"/>
      <w:szCs w:val="22"/>
    </w:rPr>
  </w:style>
  <w:style w:type="paragraph" w:styleId="Style2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8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qFormat/>
    <w:pPr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30" w:customStyle="1">
    <w:name w:val="УРОВЕНЬ_(а)"/>
    <w:basedOn w:val="ListParagraph"/>
    <w:qFormat/>
    <w:pPr>
      <w:numPr>
        <w:ilvl w:val="0"/>
        <w:numId w:val="2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 w:val="false"/>
      <w:jc w:val="both"/>
      <w:outlineLvl w:val="4"/>
    </w:pPr>
    <w:rPr>
      <w:sz w:val="26"/>
      <w:szCs w:val="28"/>
    </w:rPr>
  </w:style>
  <w:style w:type="paragraph" w:styleId="27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 w:val="false"/>
      <w:jc w:val="both"/>
    </w:pPr>
    <w:rPr>
      <w:sz w:val="26"/>
      <w:szCs w:val="28"/>
    </w:rPr>
  </w:style>
  <w:style w:type="paragraph" w:styleId="36" w:customStyle="1">
    <w:name w:val="УРОВЕНЬ_Абзац_тип3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134" w:hanging="1134"/>
      <w:contextualSpacing w:val="false"/>
      <w:jc w:val="both"/>
    </w:pPr>
    <w:rPr>
      <w:sz w:val="26"/>
      <w:szCs w:val="28"/>
    </w:rPr>
  </w:style>
  <w:style w:type="paragraph" w:styleId="Style31" w:customStyle="1">
    <w:name w:val="УРОВЕНЬ_Подпись"/>
    <w:basedOn w:val="ListParagraph"/>
    <w:qFormat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1134"/>
      <w:contextualSpacing w:val="false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numPr>
        <w:ilvl w:val="0"/>
        <w:numId w:val="0"/>
      </w:numPr>
      <w:spacing w:before="480" w:after="240"/>
      <w:ind w:left="567" w:hanging="567"/>
      <w:jc w:val="both"/>
    </w:pPr>
    <w:rPr>
      <w:rFonts w:ascii="Arial" w:hAnsi="Arial" w:eastAsia="Times New Roman" w:cs="Arial"/>
      <w:bCs/>
      <w:kern w:val="2"/>
      <w:sz w:val="40"/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6"/>
      </w:numPr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2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pPr>
      <w:ind w:left="1680" w:hanging="0"/>
    </w:pPr>
    <w:rPr>
      <w:rFonts w:ascii="Calibri" w:hAnsi="Calibri" w:cs="Calibri"/>
      <w:sz w:val="20"/>
      <w:szCs w:val="20"/>
    </w:rPr>
  </w:style>
  <w:style w:type="paragraph" w:styleId="Style33" w:customStyle="1">
    <w:name w:val="Текст в заданном формате"/>
    <w:basedOn w:val="Normal"/>
    <w:qFormat/>
    <w:pPr>
      <w:spacing w:lineRule="auto" w:line="276"/>
    </w:pPr>
    <w:rPr>
      <w:rFonts w:ascii="Liberation Mono;Courier New" w:hAnsi="Liberation Mono;Courier New" w:eastAsia="Liberation Mono;Courier New" w:cs="Liberation Mono;Courier New"/>
      <w:sz w:val="20"/>
      <w:szCs w:val="20"/>
    </w:rPr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Application>AlterOffice/3.4.0.9$Linux_X86_64 LibreOffice_project/b8daf9e823b1a5463a2f48435ddc2e8696e7d4fc</Application>
  <AppVersion>15.0000</AppVersion>
  <Pages>8</Pages>
  <Words>942</Words>
  <Characters>6065</Characters>
  <CharactersWithSpaces>6760</CharactersWithSpaces>
  <Paragraphs>286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2024-08-09T12:59:00Z</dcterms:created>
  <dc:creator>Быстров Олег Геннадьевич</dc:creator>
  <dc:description/>
  <dc:language>ru-RU</dc:language>
  <cp:lastModifiedBy>shefersv@corp.gidroogk.com</cp:lastModifiedBy>
  <cp:lastPrinted>2025-06-10T13:37:00Z</cp:lastPrinted>
  <dcterms:modified xsi:type="dcterms:W3CDTF">2026-11-06T15:38:20Z</dcterms:modified>
  <cp:revision>62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