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Override PartName="/word/header3.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_rels/document.xml.rels" ContentType="application/vnd.openxmlformats-package.relationships+xml"/>
  <Override PartName="/word/header2.xml" ContentType="application/vnd.openxmlformats-officedocument.wordprocessingml.header+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document.xml" ContentType="application/vnd.openxmlformats-officedocument.wordprocessingml.document.main+xml"/>
  <Override PartName="/word/footer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2.xml" ContentType="application/vnd.openxmlformats-officedocument.wordprocessingml.footer+xml"/>
  <Override PartName="/word/header4.xml" ContentType="application/vnd.openxmlformats-officedocument.wordprocessingml.header+xml"/>
  <Override PartName="/word/styles.xml" ContentType="application/vnd.openxmlformats-officedocument.wordprocessingml.styles+xml"/>
  <Override PartName="/customXml/_rels/item1.xml.rels" ContentType="application/vnd.openxmlformats-package.relationships+xml"/>
  <Override PartName="/customXml/_rels/item4.xml.rels" ContentType="application/vnd.openxmlformats-package.relationships+xml"/>
  <Override PartName="/customXml/_rels/item3.xml.rels" ContentType="application/vnd.openxmlformats-package.relationships+xml"/>
  <Override PartName="/customXml/_rels/item2.xml.rels" ContentType="application/vnd.openxmlformats-package.relationships+xml"/>
  <Override PartName="/customXml/itemProps3.xml" ContentType="application/vnd.openxmlformats-officedocument.customXmlProperties+xml"/>
  <Override PartName="/customXml/item3.xml" ContentType="application/xml"/>
  <Override PartName="/customXml/item4.xml" ContentType="application/xml"/>
  <Override PartName="/customXml/itemProps1.xml" ContentType="application/vnd.openxmlformats-officedocument.customXmlProperties+xml"/>
  <Override PartName="/customXml/itemProps4.xml" ContentType="application/vnd.openxmlformats-officedocument.customXmlProperties+xml"/>
  <Override PartName="/customXml/item1.xml" ContentType="application/xml"/>
  <Override PartName="/customXml/item2.xml" ContentType="application/xml"/>
  <Override PartName="/customXml/itemProps2.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ind w:left="426" w:right="-1" w:hanging="0"/>
        <w:jc w:val="right"/>
        <w:rPr>
          <w:bCs/>
          <w:color w:val="000000"/>
          <w:sz w:val="24"/>
          <w:szCs w:val="24"/>
        </w:rPr>
      </w:pPr>
      <w:bookmarkStart w:id="0" w:name="_Hlk198719202"/>
      <w:r>
        <w:rPr>
          <w:bCs/>
          <w:color w:val="000000"/>
          <w:sz w:val="24"/>
          <w:szCs w:val="24"/>
        </w:rPr>
        <w:t>Приложение № 2 Документации о закупке</w:t>
      </w:r>
    </w:p>
    <w:p>
      <w:pPr>
        <w:pStyle w:val="Normal"/>
        <w:ind w:left="426" w:right="-1" w:hanging="0"/>
        <w:jc w:val="right"/>
        <w:rPr>
          <w:bCs/>
          <w:color w:val="000000"/>
          <w:sz w:val="24"/>
          <w:szCs w:val="24"/>
        </w:rPr>
      </w:pPr>
      <w:bookmarkStart w:id="1" w:name="_Hlk198719202"/>
      <w:r>
        <w:rPr>
          <w:bCs/>
          <w:color w:val="000000"/>
          <w:sz w:val="24"/>
          <w:szCs w:val="24"/>
        </w:rPr>
        <w:t xml:space="preserve">Лот № </w:t>
      </w:r>
      <w:bookmarkEnd w:id="1"/>
    </w:p>
    <w:p>
      <w:pPr>
        <w:pStyle w:val="Normal"/>
        <w:shd w:val="clear" w:color="auto" w:fill="FFFFFF"/>
        <w:tabs>
          <w:tab w:val="clear" w:pos="709"/>
          <w:tab w:val="left" w:pos="6926" w:leader="none"/>
        </w:tabs>
        <w:jc w:val="center"/>
        <w:rPr>
          <w:b/>
          <w:bCs/>
          <w:sz w:val="24"/>
          <w:szCs w:val="24"/>
        </w:rPr>
      </w:pPr>
      <w:r>
        <w:rPr>
          <w:b/>
          <w:bCs/>
          <w:sz w:val="24"/>
          <w:szCs w:val="24"/>
        </w:rPr>
      </w:r>
    </w:p>
    <w:p>
      <w:pPr>
        <w:pStyle w:val="Normal"/>
        <w:shd w:val="clear" w:color="auto" w:fill="FFFFFF"/>
        <w:tabs>
          <w:tab w:val="clear" w:pos="709"/>
          <w:tab w:val="left" w:pos="6926" w:leader="none"/>
        </w:tabs>
        <w:jc w:val="center"/>
        <w:rPr>
          <w:b/>
          <w:sz w:val="24"/>
          <w:szCs w:val="24"/>
        </w:rPr>
      </w:pPr>
      <w:r>
        <w:rPr>
          <w:b/>
          <w:bCs/>
          <w:sz w:val="24"/>
          <w:szCs w:val="24"/>
        </w:rPr>
        <w:t>Договор поставки</w:t>
      </w:r>
    </w:p>
    <w:p>
      <w:pPr>
        <w:pStyle w:val="Normal"/>
        <w:shd w:val="clear" w:color="auto" w:fill="FFFFFF"/>
        <w:rPr>
          <w:b/>
          <w:bCs/>
          <w:sz w:val="24"/>
          <w:szCs w:val="24"/>
        </w:rPr>
      </w:pPr>
      <w:r>
        <w:rPr>
          <w:b/>
          <w:bCs/>
          <w:sz w:val="24"/>
          <w:szCs w:val="24"/>
        </w:rPr>
      </w:r>
    </w:p>
    <w:p>
      <w:pPr>
        <w:pStyle w:val="Normal"/>
        <w:shd w:val="clear" w:color="auto" w:fill="FFFFFF"/>
        <w:tabs>
          <w:tab w:val="clear" w:pos="709"/>
          <w:tab w:val="right" w:pos="9639" w:leader="none"/>
        </w:tabs>
        <w:jc w:val="right"/>
        <w:rPr>
          <w:bCs/>
          <w:sz w:val="24"/>
          <w:szCs w:val="24"/>
        </w:rPr>
      </w:pPr>
      <w:r>
        <w:rPr>
          <w:bCs/>
          <w:sz w:val="24"/>
          <w:szCs w:val="24"/>
        </w:rPr>
        <w:t>г. _________</w:t>
        <w:tab/>
        <w:t xml:space="preserve">   «___» _________ 20__ г.</w:t>
      </w:r>
    </w:p>
    <w:p>
      <w:pPr>
        <w:pStyle w:val="Normal"/>
        <w:shd w:val="clear" w:color="auto" w:fill="FFFFFF"/>
        <w:tabs>
          <w:tab w:val="clear" w:pos="709"/>
          <w:tab w:val="right" w:pos="9639" w:leader="none"/>
        </w:tabs>
        <w:jc w:val="right"/>
        <w:rPr>
          <w:bCs/>
          <w:sz w:val="24"/>
          <w:szCs w:val="24"/>
        </w:rPr>
      </w:pPr>
      <w:r>
        <w:rPr>
          <w:bCs/>
          <w:sz w:val="24"/>
          <w:szCs w:val="24"/>
        </w:rPr>
      </w:r>
    </w:p>
    <w:p>
      <w:pPr>
        <w:pStyle w:val="Normal"/>
        <w:ind w:firstLine="709"/>
        <w:jc w:val="both"/>
        <w:rPr>
          <w:sz w:val="24"/>
          <w:szCs w:val="24"/>
        </w:rPr>
      </w:pPr>
      <w:r>
        <w:rPr>
          <w:b/>
          <w:sz w:val="24"/>
          <w:szCs w:val="24"/>
        </w:rPr>
        <w:t xml:space="preserve">___________ </w:t>
      </w:r>
      <w:r>
        <w:rPr>
          <w:sz w:val="24"/>
          <w:szCs w:val="24"/>
        </w:rPr>
        <w:t>(______________)</w:t>
      </w:r>
      <w:r>
        <w:rPr>
          <w:spacing w:val="2"/>
          <w:sz w:val="24"/>
          <w:szCs w:val="24"/>
        </w:rPr>
        <w:t xml:space="preserve"> (далее – </w:t>
      </w:r>
      <w:r>
        <w:rPr>
          <w:sz w:val="24"/>
          <w:szCs w:val="24"/>
        </w:rPr>
        <w:t>«Покупатель»), в лице _____________________</w:t>
      </w:r>
      <w:r>
        <w:rPr>
          <w:spacing w:val="4"/>
          <w:sz w:val="24"/>
          <w:szCs w:val="24"/>
        </w:rPr>
        <w:t xml:space="preserve">, действующего на основании ________, с одной стороны, </w:t>
        <w:br/>
        <w:t>и</w:t>
      </w:r>
      <w:r>
        <w:rPr>
          <w:spacing w:val="10"/>
          <w:sz w:val="24"/>
          <w:szCs w:val="24"/>
        </w:rPr>
        <w:t xml:space="preserve"> </w:t>
      </w:r>
      <w:r>
        <w:rPr>
          <w:b/>
          <w:spacing w:val="10"/>
          <w:sz w:val="24"/>
          <w:szCs w:val="24"/>
        </w:rPr>
        <w:t>____________________</w:t>
      </w:r>
      <w:r>
        <w:rPr>
          <w:bCs/>
          <w:sz w:val="24"/>
          <w:szCs w:val="24"/>
        </w:rPr>
        <w:t xml:space="preserve"> </w:t>
      </w:r>
      <w:r>
        <w:rPr>
          <w:sz w:val="24"/>
          <w:szCs w:val="24"/>
        </w:rPr>
        <w:t xml:space="preserve">(далее – «Поставщик»), в лице _________________________, действующего на основании ___________________, с другой стороны, </w:t>
      </w:r>
    </w:p>
    <w:p>
      <w:pPr>
        <w:pStyle w:val="Normal"/>
        <w:ind w:firstLine="709"/>
        <w:jc w:val="both"/>
        <w:rPr>
          <w:spacing w:val="10"/>
          <w:sz w:val="24"/>
          <w:szCs w:val="24"/>
        </w:rPr>
      </w:pPr>
      <w:r>
        <w:rPr>
          <w:sz w:val="24"/>
          <w:szCs w:val="24"/>
        </w:rPr>
        <w:t xml:space="preserve">совместно в дальнейшем именуемые «Стороны», а по отдельности – «Сторона», </w:t>
        <w:br/>
      </w:r>
      <w:r>
        <w:rPr>
          <w:sz w:val="24"/>
          <w:szCs w:val="24"/>
          <w:highlight w:val="lightGray"/>
          <w:lang w:eastAsia="en-US"/>
        </w:rPr>
        <w:t xml:space="preserve">по результатам проведенной Покупателем конкурентной процедуры по лоту № ____________ и на основании протокола __________ от «___» _________ г. №_______, </w:t>
      </w:r>
      <w:r>
        <w:rPr>
          <w:sz w:val="24"/>
          <w:szCs w:val="24"/>
        </w:rPr>
        <w:t>заключили настоящий договор поставки (далее – «Договор») о нижеследующем:</w:t>
      </w:r>
    </w:p>
    <w:p>
      <w:pPr>
        <w:pStyle w:val="Normal"/>
        <w:shd w:val="clear" w:color="auto" w:fill="FFFFFF"/>
        <w:rPr>
          <w:bCs/>
          <w:sz w:val="24"/>
          <w:szCs w:val="24"/>
          <w:lang w:val="x-none"/>
        </w:rPr>
      </w:pPr>
      <w:r>
        <w:rPr>
          <w:bCs/>
          <w:sz w:val="24"/>
          <w:szCs w:val="24"/>
          <w:lang w:val="x-none"/>
        </w:rPr>
      </w:r>
    </w:p>
    <w:p>
      <w:pPr>
        <w:pStyle w:val="Normal"/>
        <w:shd w:val="clear" w:color="auto" w:fill="FFFFFF"/>
        <w:jc w:val="center"/>
        <w:rPr>
          <w:b/>
          <w:bCs/>
          <w:sz w:val="24"/>
          <w:szCs w:val="24"/>
        </w:rPr>
      </w:pPr>
      <w:r>
        <w:rPr>
          <w:b/>
          <w:bCs/>
          <w:sz w:val="24"/>
          <w:szCs w:val="24"/>
        </w:rPr>
        <w:t>Термины и определения</w:t>
      </w:r>
    </w:p>
    <w:p>
      <w:pPr>
        <w:pStyle w:val="Normal"/>
        <w:shd w:val="clear" w:color="auto" w:fill="FFFFFF"/>
        <w:ind w:firstLine="709"/>
        <w:jc w:val="both"/>
        <w:rPr>
          <w:bCs/>
          <w:sz w:val="24"/>
          <w:szCs w:val="24"/>
        </w:rPr>
      </w:pPr>
      <w:r>
        <w:rPr>
          <w:bCs/>
          <w:sz w:val="24"/>
          <w:szCs w:val="24"/>
        </w:rPr>
        <w:t xml:space="preserve">Термины и определения, приведенные в настоящем разделе, предназначены </w:t>
        <w:br/>
        <w:t>для однозначного понимания формулировок Договора и будут иметь по тексту Договора следующие значения, если иное прямо не указано в Договоре:</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«Акт рекламации»</w:t>
      </w:r>
      <w:r>
        <w:rPr>
          <w:sz w:val="24"/>
          <w:szCs w:val="24"/>
          <w:lang w:eastAsia="en-US"/>
        </w:rPr>
        <w:t xml:space="preserve"> – документ, оформляемый по унифицированным формам </w:t>
        <w:br/>
        <w:t xml:space="preserve">№ ТОРГ-2 «Акт об установленном расхождении по количеству и качеству при приемке товарно-материальных ценностей» и № ТОРГ-3 «Акт об установленном расхождении </w:t>
        <w:br/>
        <w:t>по количеству и качеству при приемке импортных товаров», утвержденным постановлением Госкомстата РФ от 25.12.1998 № 132, подписываемый Сторонами при приемке поставленного Товара.</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«Банковская гарантия»</w:t>
      </w:r>
      <w:r>
        <w:rPr>
          <w:sz w:val="24"/>
          <w:szCs w:val="24"/>
          <w:lang w:eastAsia="en-US"/>
        </w:rPr>
        <w:t xml:space="preserve"> – независимая гарантия, выданная в обеспечение исполнения Поставщиком обязательств по Договору согласованным с Покупателем банком (гарантом), которая регулируется Унифицированными правилами для гарантий </w:t>
        <w:br/>
        <w:t>по требованию, включая типовые формы (URDG 758) (публикация Международной торговой палаты № 758),</w:t>
      </w:r>
      <w:r>
        <w:rPr>
          <w:sz w:val="24"/>
          <w:szCs w:val="24"/>
        </w:rPr>
        <w:t xml:space="preserve"> </w:t>
      </w:r>
      <w:r>
        <w:rPr>
          <w:sz w:val="24"/>
          <w:szCs w:val="24"/>
          <w:lang w:eastAsia="en-US"/>
        </w:rPr>
        <w:t>в той мере, в какой указанные правила не противоречат законодательству Российской Федерации и условиям настоящего Договора.</w:t>
      </w:r>
    </w:p>
    <w:p>
      <w:pPr>
        <w:pStyle w:val="ListParagraph"/>
        <w:shd w:val="clear" w:color="auto" w:fill="FFFFFF"/>
        <w:tabs>
          <w:tab w:val="clear" w:pos="709"/>
          <w:tab w:val="left" w:pos="567" w:leader="none"/>
          <w:tab w:val="left" w:pos="1134" w:leader="none"/>
        </w:tabs>
        <w:overflowPunct w:val="true"/>
        <w:ind w:left="0" w:firstLine="708"/>
        <w:jc w:val="both"/>
        <w:textAlignment w:val="baseline"/>
        <w:rPr>
          <w:sz w:val="24"/>
          <w:szCs w:val="24"/>
          <w:lang w:eastAsia="en-US"/>
        </w:rPr>
      </w:pPr>
      <w:r>
        <w:rPr>
          <w:b/>
          <w:sz w:val="24"/>
          <w:szCs w:val="24"/>
          <w:lang w:eastAsia="en-US"/>
        </w:rPr>
        <w:t>«Гарантийный срок»</w:t>
      </w:r>
      <w:r>
        <w:rPr>
          <w:sz w:val="24"/>
          <w:szCs w:val="24"/>
        </w:rPr>
        <w:t xml:space="preserve"> </w:t>
      </w:r>
      <w:r>
        <w:rPr>
          <w:sz w:val="24"/>
          <w:szCs w:val="24"/>
          <w:lang w:eastAsia="en-US"/>
        </w:rPr>
        <w:t>– период, в течение которого качество поставленного Товара должно соответствовать требованиям Договора и Применимого права, и Поставщик 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Товара.</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«Договор»</w:t>
      </w:r>
      <w:r>
        <w:rPr>
          <w:sz w:val="24"/>
          <w:szCs w:val="24"/>
          <w:lang w:eastAsia="en-US"/>
        </w:rPr>
        <w:t xml:space="preserve"> – настоящий договор, подписанный Покупателем и Поставщиком, включая все приложения к нему, а также дополнительные соглашения к Договору при условии, что они заключены надлежащим образом, и из них явно следует, что они составляют часть Договора.</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«Коммерческая тайна»</w:t>
      </w:r>
      <w:r>
        <w:rPr>
          <w:sz w:val="24"/>
          <w:szCs w:val="24"/>
          <w:lang w:eastAsia="en-US"/>
        </w:rPr>
        <w:t xml:space="preserve"> – режим конфиденциальности информации, позволяющий </w:t>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br/>
        <w:t xml:space="preserve">или получить иную коммерческую выгоду. </w:t>
      </w:r>
    </w:p>
    <w:p>
      <w:pPr>
        <w:pStyle w:val="ListParagraph"/>
        <w:shd w:val="clear" w:color="auto" w:fill="FFFFFF"/>
        <w:tabs>
          <w:tab w:val="clear" w:pos="709"/>
          <w:tab w:val="left" w:pos="0" w:leader="none"/>
        </w:tabs>
        <w:overflowPunct w:val="true"/>
        <w:ind w:left="0" w:firstLine="709"/>
        <w:jc w:val="both"/>
        <w:textAlignment w:val="baseline"/>
        <w:rPr>
          <w:b/>
          <w:sz w:val="24"/>
          <w:szCs w:val="24"/>
          <w:lang w:eastAsia="en-US"/>
        </w:rPr>
      </w:pPr>
      <w:r>
        <w:rPr>
          <w:b/>
          <w:sz w:val="24"/>
          <w:szCs w:val="24"/>
          <w:lang w:eastAsia="en-US"/>
        </w:rPr>
        <w:t xml:space="preserve">«Накладная ТОРГ-12» </w:t>
      </w:r>
      <w:r>
        <w:rPr>
          <w:sz w:val="24"/>
          <w:szCs w:val="24"/>
          <w:lang w:eastAsia="en-US"/>
        </w:rPr>
        <w:t>–</w:t>
      </w:r>
      <w:r>
        <w:rPr>
          <w:b/>
          <w:sz w:val="24"/>
          <w:szCs w:val="24"/>
          <w:lang w:eastAsia="en-US"/>
        </w:rPr>
        <w:t xml:space="preserve"> </w:t>
      </w:r>
      <w:r>
        <w:rPr>
          <w:sz w:val="24"/>
          <w:szCs w:val="24"/>
          <w:lang w:eastAsia="en-US"/>
        </w:rPr>
        <w:t xml:space="preserve">документ, оформляемый по унифицированной форме </w:t>
        <w:br/>
        <w:t xml:space="preserve">№ ТОРГ-12 «Товарная накладная», утвержденной постановлением Госкомстата РФ </w:t>
        <w:br/>
        <w:t xml:space="preserve">от 25.12.1998 № 132, подписываемый Сторонами после завершения приемки Товара </w:t>
        <w:br/>
        <w:t>по количеству, качеству и комплектности.</w:t>
      </w:r>
    </w:p>
    <w:p>
      <w:pPr>
        <w:pStyle w:val="ListParagraph"/>
        <w:shd w:val="clear" w:color="auto" w:fill="FFFFFF"/>
        <w:tabs>
          <w:tab w:val="clear" w:pos="709"/>
          <w:tab w:val="left" w:pos="0" w:leader="none"/>
        </w:tabs>
        <w:overflowPunct w:val="true"/>
        <w:ind w:left="0" w:firstLine="709"/>
        <w:jc w:val="both"/>
        <w:textAlignment w:val="baseline"/>
        <w:rPr>
          <w:sz w:val="24"/>
          <w:szCs w:val="24"/>
          <w:lang w:eastAsia="en-US"/>
        </w:rPr>
      </w:pPr>
      <w:r>
        <w:rPr>
          <w:b/>
          <w:sz w:val="24"/>
          <w:szCs w:val="24"/>
          <w:lang w:eastAsia="en-US"/>
        </w:rPr>
        <w:t xml:space="preserve">«Отказ от Договора» </w:t>
      </w:r>
      <w:r>
        <w:rPr>
          <w:sz w:val="24"/>
          <w:szCs w:val="24"/>
          <w:lang w:eastAsia="en-US"/>
        </w:rPr>
        <w:t xml:space="preserve">– односторонний внесудебный отказ от исполнения Договора, совершенный Стороной в соответствии со статьей 450.1 Гражданского кодекса Российской Федерации (далее – ГК РФ) в случаях, установленных Договором. </w:t>
      </w:r>
    </w:p>
    <w:p>
      <w:pPr>
        <w:pStyle w:val="Heading3"/>
        <w:keepNext w:val="false"/>
        <w:tabs>
          <w:tab w:val="clear" w:pos="709"/>
          <w:tab w:val="left" w:pos="0" w:leader="none"/>
        </w:tabs>
        <w:overflowPunct w:val="true"/>
        <w:spacing w:before="0" w:after="0"/>
        <w:ind w:firstLine="709"/>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«Применимое право»</w:t>
      </w:r>
      <w:r>
        <w:rPr>
          <w:rFonts w:ascii="Times New Roman" w:hAnsi="Times New Roman"/>
          <w:b w:val="false"/>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нормативные 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 и противопожарной безопасности, относящиеся к Товару.</w:t>
      </w:r>
    </w:p>
    <w:p>
      <w:pPr>
        <w:pStyle w:val="Normal"/>
        <w:ind w:firstLine="709"/>
        <w:jc w:val="both"/>
        <w:rPr>
          <w:sz w:val="24"/>
          <w:szCs w:val="24"/>
          <w:lang w:eastAsia="en-US"/>
        </w:rPr>
      </w:pPr>
      <w:r>
        <w:rPr>
          <w:b/>
          <w:sz w:val="24"/>
          <w:szCs w:val="24"/>
          <w:lang w:eastAsia="en-US"/>
        </w:rPr>
        <w:t>«Проектная документация»</w:t>
      </w:r>
      <w:r>
        <w:rPr>
          <w:sz w:val="24"/>
          <w:szCs w:val="24"/>
          <w:lang w:eastAsia="en-US"/>
        </w:rPr>
        <w:t xml:space="preserve"> – совокупность текстовых и графических (в виде карт (схем)) документов и материалов, определяющих архитектурные, функционально-технологические, конструктивные и инженерно-технические решения для обеспечения строительства, реконструкции, модернизации, технического перевооружения объектов капитального строительства, их частей. </w:t>
      </w:r>
    </w:p>
    <w:p>
      <w:pPr>
        <w:pStyle w:val="Normal"/>
        <w:ind w:firstLine="709"/>
        <w:jc w:val="both"/>
        <w:rPr>
          <w:sz w:val="24"/>
          <w:szCs w:val="24"/>
          <w:lang w:eastAsia="en-US"/>
        </w:rPr>
      </w:pPr>
      <w:r>
        <w:rPr>
          <w:sz w:val="24"/>
          <w:szCs w:val="24"/>
          <w:lang w:eastAsia="en-US"/>
        </w:rPr>
        <w:t xml:space="preserve">Состав разделов Проектной документации определяется Применимым правом. </w:t>
      </w:r>
    </w:p>
    <w:p>
      <w:pPr>
        <w:pStyle w:val="Normal"/>
        <w:ind w:firstLine="709"/>
        <w:jc w:val="both"/>
        <w:rPr>
          <w:b/>
          <w:sz w:val="24"/>
          <w:szCs w:val="24"/>
          <w:lang w:eastAsia="en-US"/>
        </w:rPr>
      </w:pPr>
      <w:r>
        <w:rPr>
          <w:sz w:val="24"/>
          <w:szCs w:val="24"/>
          <w:lang w:eastAsia="en-US"/>
        </w:rPr>
        <w:t>В состав Проектной документации может включаться также иная документация, необходимая для выполнения работ и эксплуатации объекта капитального строительства, разработанная, в том числе, на основании Технического задания Покупателя.</w:t>
      </w:r>
    </w:p>
    <w:p>
      <w:pPr>
        <w:pStyle w:val="Normal"/>
        <w:tabs>
          <w:tab w:val="clear" w:pos="709"/>
          <w:tab w:val="left" w:pos="567" w:leader="none"/>
        </w:tabs>
        <w:ind w:firstLine="708"/>
        <w:jc w:val="both"/>
        <w:rPr>
          <w:sz w:val="24"/>
          <w:szCs w:val="24"/>
          <w:highlight w:val="lightGray"/>
          <w:lang w:eastAsia="en-US"/>
        </w:rPr>
      </w:pPr>
      <w:r>
        <w:rPr>
          <w:b/>
          <w:sz w:val="24"/>
          <w:szCs w:val="24"/>
          <w:highlight w:val="lightGray"/>
          <w:lang w:eastAsia="en-US"/>
        </w:rPr>
        <w:t xml:space="preserve">«Рабочая документация» </w:t>
      </w:r>
      <w:r>
        <w:rPr>
          <w:sz w:val="24"/>
          <w:szCs w:val="24"/>
          <w:highlight w:val="lightGray"/>
          <w:lang w:eastAsia="en-US"/>
        </w:rPr>
        <w:t>–</w:t>
      </w:r>
      <w:r>
        <w:rPr>
          <w:b/>
          <w:sz w:val="24"/>
          <w:szCs w:val="24"/>
          <w:highlight w:val="lightGray"/>
          <w:lang w:eastAsia="en-US"/>
        </w:rPr>
        <w:t xml:space="preserve"> </w:t>
      </w:r>
      <w:r>
        <w:rPr>
          <w:sz w:val="24"/>
          <w:szCs w:val="24"/>
          <w:highlight w:val="lightGray"/>
          <w:lang w:eastAsia="en-US"/>
        </w:rPr>
        <w:t xml:space="preserve">совокупность текстовых и графических документов </w:t>
        <w:br/>
        <w:t xml:space="preserve">на русском языке, обеспечивающих реализацию принятых в утвержденной Проектной документации технических решений объекта капитального строительства, необходимых </w:t>
        <w:br/>
        <w:t>для производства строительных и монтажных работ, обеспечения строительства оборудованием, изделиями и материалами и / или изготовления строительных изделий, содержащая:</w:t>
      </w:r>
    </w:p>
    <w:p>
      <w:pPr>
        <w:pStyle w:val="ListParagraph"/>
        <w:numPr>
          <w:ilvl w:val="0"/>
          <w:numId w:val="12"/>
        </w:numPr>
        <w:tabs>
          <w:tab w:val="clear" w:pos="709"/>
          <w:tab w:val="left" w:pos="567" w:leader="none"/>
          <w:tab w:val="left" w:pos="1134" w:leader="none"/>
        </w:tabs>
        <w:ind w:left="0" w:firstLine="709"/>
        <w:jc w:val="both"/>
        <w:rPr>
          <w:b/>
          <w:lang w:eastAsia="en-US"/>
        </w:rPr>
      </w:pPr>
      <w:r>
        <w:rPr>
          <w:sz w:val="24"/>
          <w:szCs w:val="24"/>
          <w:highlight w:val="lightGray"/>
          <w:lang w:eastAsia="en-US"/>
        </w:rPr>
        <w:t>рабочие чертежи основного комплекта, спецификации оборудования и изделий;</w:t>
      </w:r>
    </w:p>
    <w:p>
      <w:pPr>
        <w:pStyle w:val="ListParagraph"/>
        <w:numPr>
          <w:ilvl w:val="0"/>
          <w:numId w:val="12"/>
        </w:numPr>
        <w:tabs>
          <w:tab w:val="clear" w:pos="709"/>
          <w:tab w:val="left" w:pos="567" w:leader="none"/>
          <w:tab w:val="left" w:pos="1134" w:leader="none"/>
        </w:tabs>
        <w:ind w:left="0" w:firstLine="709"/>
        <w:jc w:val="both"/>
        <w:rPr>
          <w:b/>
          <w:lang w:eastAsia="en-US"/>
        </w:rPr>
      </w:pPr>
      <w:r>
        <w:rPr>
          <w:sz w:val="24"/>
          <w:szCs w:val="24"/>
          <w:highlight w:val="lightGray"/>
          <w:lang w:eastAsia="en-US"/>
        </w:rPr>
        <w:t>документы, разработанные в дополнение к рабочим чертежам основного комплекта;</w:t>
      </w:r>
    </w:p>
    <w:p>
      <w:pPr>
        <w:pStyle w:val="ListParagraph"/>
        <w:numPr>
          <w:ilvl w:val="0"/>
          <w:numId w:val="12"/>
        </w:numPr>
        <w:tabs>
          <w:tab w:val="clear" w:pos="709"/>
          <w:tab w:val="left" w:pos="567" w:leader="none"/>
          <w:tab w:val="left" w:pos="1134" w:leader="none"/>
        </w:tabs>
        <w:ind w:left="0" w:firstLine="709"/>
        <w:jc w:val="both"/>
        <w:rPr>
          <w:b/>
          <w:lang w:eastAsia="en-US"/>
        </w:rPr>
      </w:pPr>
      <w:r>
        <w:rPr>
          <w:sz w:val="24"/>
          <w:szCs w:val="24"/>
          <w:highlight w:val="lightGray"/>
          <w:lang w:eastAsia="en-US"/>
        </w:rPr>
        <w:t>сметную документацию.</w:t>
      </w:r>
    </w:p>
    <w:p>
      <w:pPr>
        <w:pStyle w:val="Normal"/>
        <w:ind w:firstLine="708"/>
        <w:jc w:val="both"/>
        <w:rPr>
          <w:sz w:val="24"/>
          <w:szCs w:val="24"/>
          <w:lang w:eastAsia="en-US"/>
        </w:rPr>
      </w:pPr>
      <w:r>
        <w:rPr>
          <w:b/>
          <w:sz w:val="24"/>
          <w:szCs w:val="24"/>
          <w:lang w:eastAsia="en-US"/>
        </w:rPr>
        <w:t>«Рабочий день»</w:t>
      </w:r>
      <w:r>
        <w:rPr>
          <w:sz w:val="24"/>
          <w:szCs w:val="24"/>
          <w:lang w:eastAsia="en-US"/>
        </w:rPr>
        <w:t xml:space="preserve"> – день, который в соответствии с Применимым правом, является рабочим днем в Российской Федерации.</w:t>
      </w:r>
    </w:p>
    <w:p>
      <w:pPr>
        <w:pStyle w:val="Heading3"/>
        <w:keepNext w:val="false"/>
        <w:tabs>
          <w:tab w:val="clear" w:pos="709"/>
          <w:tab w:val="left" w:pos="0" w:leader="none"/>
        </w:tabs>
        <w:overflowPunct w:val="true"/>
        <w:spacing w:before="0" w:after="0"/>
        <w:ind w:firstLine="708"/>
        <w:jc w:val="both"/>
        <w:textAlignment w:val="baseline"/>
        <w:rPr>
          <w:rFonts w:ascii="Times New Roman" w:hAnsi="Times New Roman"/>
          <w:b w:val="false"/>
          <w:color w:val="auto"/>
          <w:sz w:val="24"/>
          <w:szCs w:val="24"/>
          <w:lang w:val="ru-RU" w:eastAsia="en-US"/>
        </w:rPr>
      </w:pPr>
      <w:r>
        <w:rPr>
          <w:rFonts w:ascii="Times New Roman" w:hAnsi="Times New Roman"/>
          <w:color w:val="auto"/>
          <w:sz w:val="24"/>
          <w:szCs w:val="24"/>
          <w:lang w:val="ru-RU" w:eastAsia="en-US"/>
        </w:rPr>
        <w:t>«Цена Договора»</w:t>
      </w:r>
      <w:r>
        <w:rPr>
          <w:rFonts w:ascii="Times New Roman" w:hAnsi="Times New Roman"/>
          <w:b w:val="false"/>
          <w:color w:val="auto"/>
          <w:sz w:val="24"/>
          <w:szCs w:val="24"/>
          <w:lang w:val="ru-RU" w:eastAsia="en-US"/>
        </w:rPr>
        <w:t xml:space="preserve"> – определяемая в соответствии с разделом 2 Договора сумма, которую Покупатель обязуется уплатить Поставщику в порядке и на условиях, установленных Договором, включающая компенсацию всех издержек Поставщика </w:t>
        <w:br/>
        <w:t xml:space="preserve">и причитающееся ему вознаграждение, а также инфляционные риски на весь период действия Договора. </w:t>
      </w:r>
    </w:p>
    <w:p>
      <w:pPr>
        <w:pStyle w:val="Normal"/>
        <w:shd w:val="clear" w:color="auto" w:fill="FFFFFF"/>
        <w:ind w:firstLine="709"/>
        <w:jc w:val="center"/>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Предмет Договора</w:t>
      </w:r>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Поставщик обязуется в порядке и сроки, установленные Договором, передать </w:t>
        <w:br/>
        <w:t>в собственность Покупателю</w:t>
      </w:r>
      <w:r>
        <w:rPr>
          <w:rFonts w:eastAsia="Calibri"/>
          <w:bCs/>
          <w:sz w:val="24"/>
          <w:szCs w:val="24"/>
          <w:lang w:eastAsia="en-US"/>
        </w:rPr>
        <w:t xml:space="preserve"> </w:t>
      </w:r>
      <w:r>
        <w:rPr>
          <w:bCs/>
          <w:sz w:val="24"/>
          <w:szCs w:val="24"/>
          <w:highlight w:val="lightGray"/>
        </w:rPr>
        <w:t xml:space="preserve">_____________________ </w:t>
      </w:r>
      <w:r>
        <w:rPr>
          <w:bCs/>
          <w:i/>
          <w:sz w:val="24"/>
          <w:szCs w:val="24"/>
          <w:highlight w:val="lightGray"/>
        </w:rPr>
        <w:t>[указывается общее наименование товара]</w:t>
      </w:r>
      <w:r>
        <w:rPr>
          <w:bCs/>
          <w:sz w:val="24"/>
          <w:szCs w:val="24"/>
        </w:rPr>
        <w:t xml:space="preserve"> (далее – «Товар») в соответствии со Спецификацией (Приложение № 1 к Договору) и Техническими требованиями (Приложение № 2 к Договору), а Покупатель обязуется принять Товар и уплатить Цену Договора.</w:t>
      </w:r>
    </w:p>
    <w:p>
      <w:pPr>
        <w:pStyle w:val="Norma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Поставка Товара по Договору осуществляется для нужд </w:t>
      </w:r>
      <w:r>
        <w:rPr>
          <w:bCs/>
          <w:sz w:val="24"/>
          <w:szCs w:val="24"/>
          <w:highlight w:val="lightGray"/>
        </w:rPr>
        <w:t>__________________.</w:t>
      </w:r>
    </w:p>
    <w:p>
      <w:pPr>
        <w:pStyle w:val="Norma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Место поставки Товара: </w:t>
      </w:r>
      <w:r>
        <w:rPr>
          <w:sz w:val="24"/>
          <w:szCs w:val="24"/>
          <w:highlight w:val="lightGray"/>
        </w:rPr>
        <w:t>_________________</w:t>
      </w:r>
      <w:r>
        <w:rPr>
          <w:sz w:val="24"/>
          <w:szCs w:val="24"/>
        </w:rPr>
        <w:t xml:space="preserve"> (далее – «Место поставки»).</w:t>
      </w:r>
    </w:p>
    <w:p>
      <w:pPr>
        <w:pStyle w:val="Normal"/>
        <w:numPr>
          <w:ilvl w:val="1"/>
          <w:numId w:val="2"/>
        </w:numPr>
        <w:shd w:val="clear" w:color="auto" w:fill="FFFFFF"/>
        <w:tabs>
          <w:tab w:val="clear" w:pos="709"/>
          <w:tab w:val="left" w:pos="0" w:leader="none"/>
          <w:tab w:val="left" w:pos="540" w:leader="none"/>
          <w:tab w:val="left" w:pos="1134" w:leader="none"/>
        </w:tabs>
        <w:ind w:left="0" w:firstLine="709"/>
        <w:jc w:val="both"/>
        <w:rPr>
          <w:bCs/>
          <w:sz w:val="24"/>
          <w:szCs w:val="24"/>
        </w:rPr>
      </w:pPr>
      <w:r>
        <w:rPr>
          <w:bCs/>
          <w:sz w:val="24"/>
          <w:szCs w:val="24"/>
        </w:rPr>
        <w:t xml:space="preserve">Срок поставки Товара: </w:t>
      </w:r>
      <w:r>
        <w:rPr>
          <w:bCs/>
          <w:sz w:val="24"/>
          <w:szCs w:val="24"/>
          <w:highlight w:val="lightGray"/>
        </w:rPr>
        <w:t>«___» ___________ 20___</w:t>
      </w:r>
      <w:r>
        <w:rPr>
          <w:bCs/>
          <w:sz w:val="24"/>
          <w:szCs w:val="24"/>
        </w:rPr>
        <w:t xml:space="preserve"> г.</w:t>
      </w:r>
    </w:p>
    <w:p>
      <w:pPr>
        <w:pStyle w:val="Normal"/>
        <w:shd w:val="clear" w:color="auto" w:fill="FFFFFF"/>
        <w:tabs>
          <w:tab w:val="clear" w:pos="709"/>
          <w:tab w:val="left" w:pos="540" w:leader="none"/>
        </w:tabs>
        <w:ind w:left="1134" w:hanging="0"/>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Цена Договора и порядок расчетов</w:t>
      </w:r>
    </w:p>
    <w:p>
      <w:pPr>
        <w:pStyle w:val="Normal"/>
        <w:numPr>
          <w:ilvl w:val="1"/>
          <w:numId w:val="2"/>
        </w:numPr>
        <w:shd w:val="clear" w:color="auto" w:fill="FFFFFF"/>
        <w:tabs>
          <w:tab w:val="clear" w:pos="709"/>
          <w:tab w:val="left" w:pos="0" w:leader="none"/>
          <w:tab w:val="left" w:pos="1134" w:leader="none"/>
        </w:tabs>
        <w:ind w:left="0" w:firstLine="709"/>
        <w:jc w:val="both"/>
        <w:rPr/>
      </w:pPr>
      <w:r>
        <w:rPr>
          <w:sz w:val="24"/>
          <w:szCs w:val="24"/>
        </w:rPr>
        <w:t xml:space="preserve">Цена Договора в соответствии со Спецификацией (Приложение № 1 к Договору) </w:t>
      </w:r>
      <w:r>
        <w:rPr>
          <w:bCs/>
          <w:sz w:val="24"/>
          <w:szCs w:val="24"/>
        </w:rPr>
        <w:t xml:space="preserve">является </w:t>
      </w:r>
      <w:r>
        <w:rPr>
          <w:bCs/>
          <w:sz w:val="24"/>
          <w:szCs w:val="24"/>
          <w:highlight w:val="lightGray"/>
        </w:rPr>
        <w:t>предельной / твердой</w:t>
      </w:r>
      <w:r>
        <w:rPr>
          <w:rStyle w:val="FootnoteReference"/>
          <w:bCs/>
          <w:sz w:val="24"/>
          <w:szCs w:val="24"/>
          <w:highlight w:val="lightGray"/>
          <w:vertAlign w:val="superscript"/>
        </w:rPr>
        <w:footnoteReference w:id="2"/>
      </w:r>
      <w:r>
        <w:rPr>
          <w:bCs/>
          <w:sz w:val="24"/>
          <w:szCs w:val="24"/>
        </w:rPr>
        <w:t xml:space="preserve"> и составляет </w:t>
      </w:r>
      <w:r>
        <w:rPr>
          <w:sz w:val="24"/>
          <w:szCs w:val="24"/>
          <w:highlight w:val="lightGray"/>
        </w:rPr>
        <w:t>_______</w:t>
      </w:r>
      <w:r>
        <w:rPr>
          <w:bCs/>
          <w:sz w:val="24"/>
          <w:szCs w:val="24"/>
        </w:rPr>
        <w:t xml:space="preserve"> (</w:t>
      </w:r>
      <w:r>
        <w:rPr>
          <w:sz w:val="24"/>
          <w:szCs w:val="24"/>
          <w:highlight w:val="lightGray"/>
        </w:rPr>
        <w:t>__________________</w:t>
      </w:r>
      <w:r>
        <w:rPr>
          <w:bCs/>
          <w:sz w:val="24"/>
          <w:szCs w:val="24"/>
          <w:highlight w:val="lightGray"/>
        </w:rPr>
        <w:t>)</w:t>
      </w:r>
      <w:r>
        <w:rPr>
          <w:bCs/>
          <w:sz w:val="24"/>
          <w:szCs w:val="24"/>
        </w:rPr>
        <w:t xml:space="preserve"> рублей </w:t>
      </w:r>
      <w:r>
        <w:rPr>
          <w:sz w:val="24"/>
          <w:szCs w:val="24"/>
          <w:highlight w:val="lightGray"/>
        </w:rPr>
        <w:t>___</w:t>
      </w:r>
      <w:r>
        <w:rPr>
          <w:bCs/>
          <w:sz w:val="24"/>
          <w:szCs w:val="24"/>
        </w:rPr>
        <w:t xml:space="preserve"> копеек без учета НДС, при этом НДС исчисляется дополнительно по ставке, установленной ст</w:t>
      </w:r>
    </w:p>
    <w:p>
      <w:pPr>
        <w:pStyle w:val="Norma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Цена Договора включает в себя прибыль Поставщика, а также все расходы </w:t>
        <w:br/>
        <w:t xml:space="preserve">и затраты Поставщика на: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Производство и / или приобретение Товара.</w:t>
      </w:r>
    </w:p>
    <w:p>
      <w:pPr>
        <w:pStyle w:val="ListParagraph"/>
        <w:numPr>
          <w:ilvl w:val="2"/>
          <w:numId w:val="13"/>
        </w:numPr>
        <w:shd w:val="clear" w:color="auto" w:fill="FFFFFF"/>
        <w:tabs>
          <w:tab w:val="clear" w:pos="709"/>
          <w:tab w:val="left" w:pos="1418" w:leader="none"/>
        </w:tabs>
        <w:ind w:left="0" w:firstLine="709"/>
        <w:jc w:val="both"/>
        <w:rPr>
          <w:bCs/>
          <w:sz w:val="24"/>
          <w:szCs w:val="24"/>
        </w:rPr>
      </w:pPr>
      <w:r>
        <w:rPr>
          <w:bCs/>
          <w:sz w:val="24"/>
          <w:szCs w:val="24"/>
        </w:rPr>
        <w:t xml:space="preserve">Транспортировку Товара до Места поставки, погрузку, разгрузку, </w:t>
      </w:r>
      <w:r>
        <w:rPr>
          <w:bCs/>
          <w:sz w:val="24"/>
          <w:szCs w:val="24"/>
          <w:highlight w:val="lightGray"/>
        </w:rPr>
        <w:t>перемещение по территории Покупателя</w:t>
      </w:r>
      <w:r>
        <w:rPr>
          <w:rStyle w:val="FootnoteReference"/>
          <w:highlight w:val="lightGray"/>
          <w:vertAlign w:val="superscript"/>
        </w:rPr>
        <w:footnoteReference w:id="3"/>
      </w:r>
      <w:r>
        <w:rPr>
          <w:bCs/>
          <w:sz w:val="24"/>
          <w:szCs w:val="24"/>
        </w:rPr>
        <w:t xml:space="preserve">, стоимость тары и упаковки, лицензий, необходимых для использования Товара (если применимо).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Подлежащие уплате налоги, сборы и пошлины (в том числе по таможенному оформлению Товара, если применимо).</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Заработную плату, накладные и командировочные расходы, перемещение </w:t>
        <w:br/>
        <w:t xml:space="preserve">и размещение персонала Поставщика. </w:t>
      </w:r>
    </w:p>
    <w:p>
      <w:pPr>
        <w:pStyle w:val="Norma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Все прочие затраты и расходы Поставщика, связанные с поставкой Товара </w:t>
        <w:br/>
        <w:t xml:space="preserve">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 </w:t>
      </w:r>
    </w:p>
    <w:p>
      <w:pPr>
        <w:pStyle w:val="Normal"/>
        <w:numPr>
          <w:ilvl w:val="1"/>
          <w:numId w:val="2"/>
        </w:numPr>
        <w:shd w:val="clear" w:color="auto" w:fill="FFFFFF"/>
        <w:tabs>
          <w:tab w:val="clear" w:pos="709"/>
          <w:tab w:val="left" w:pos="568" w:leader="none"/>
          <w:tab w:val="left" w:pos="1134" w:leader="none"/>
        </w:tabs>
        <w:ind w:left="0" w:firstLine="709"/>
        <w:jc w:val="both"/>
        <w:rPr>
          <w:sz w:val="24"/>
          <w:szCs w:val="24"/>
        </w:rPr>
      </w:pPr>
      <w:r>
        <w:rPr>
          <w:sz w:val="24"/>
          <w:szCs w:val="24"/>
        </w:rPr>
        <w:t>Изменение стоимости Товара по Договору не требует заключения дополнительного соглашения к Договору только в случае, когда оно вызвано изменением ставки российского НДС.</w:t>
      </w:r>
    </w:p>
    <w:p>
      <w:pPr>
        <w:pStyle w:val="Normal"/>
        <w:numPr>
          <w:ilvl w:val="1"/>
          <w:numId w:val="2"/>
        </w:numPr>
        <w:shd w:val="clear" w:color="auto" w:fill="FFFFFF"/>
        <w:tabs>
          <w:tab w:val="clear" w:pos="709"/>
          <w:tab w:val="left" w:pos="0" w:leader="none"/>
          <w:tab w:val="left" w:pos="1134" w:leader="none"/>
        </w:tabs>
        <w:ind w:left="0" w:firstLine="709"/>
        <w:jc w:val="both"/>
        <w:rPr>
          <w:sz w:val="24"/>
          <w:szCs w:val="24"/>
        </w:rPr>
      </w:pPr>
      <w:r>
        <w:rPr>
          <w:sz w:val="24"/>
          <w:szCs w:val="24"/>
        </w:rPr>
        <w:t xml:space="preserve">Оплата по Договору осуществляется Покупателем в следующем порядке: </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sz w:val="24"/>
          <w:szCs w:val="24"/>
        </w:rPr>
      </w:pPr>
      <w:r>
        <w:rPr>
          <w:sz w:val="24"/>
          <w:szCs w:val="24"/>
        </w:rPr>
        <w:t>Поставщик не позднее, чем за 3 (три) рабочих дня до предполагаемой даты выплаты авансового платежа, обязан предоставить Покупателю Банковскую гарантию возврата авансового платежа, соответствующую требованиям, установленным разделом 5 Договора.</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sz w:val="24"/>
        </w:rPr>
      </w:pPr>
      <w:r>
        <w:rPr>
          <w:sz w:val="24"/>
        </w:rPr>
        <w:t>Авансовый платеж в размере 10 (десяти) процентов от стоимости Товара</w:t>
      </w:r>
      <w:r>
        <w:rPr>
          <w:rStyle w:val="FootnoteReference"/>
          <w:sz w:val="24"/>
        </w:rPr>
        <w:footnoteReference w:id="4"/>
      </w:r>
      <w:r>
        <w:rPr>
          <w:sz w:val="24"/>
        </w:rPr>
        <w:t xml:space="preserve"> выплачивается Поставщику </w:t>
      </w:r>
      <w:r>
        <w:rPr>
          <w:sz w:val="24"/>
          <w:highlight w:val="lightGray"/>
        </w:rPr>
        <w:t>при условии согласования Сторонами Спецификации (Приложение № 1 к Договору) в соответствии с пунктом 2.2 Договора</w:t>
      </w:r>
      <w:r>
        <w:rPr>
          <w:sz w:val="24"/>
        </w:rPr>
        <w:t xml:space="preserve"> в течение </w:t>
        <w:br/>
        <w:t>30 (тридцати) календарных дней с даты получения Покупателем счета, выставленного Поставщиком, но не ранее чем за 30 (тридцать) календарных дней до даты поставки Товара, и с учетом пунктов 2.5.1, 2.5.4 Договора.</w:t>
      </w:r>
    </w:p>
    <w:p>
      <w:pPr>
        <w:pStyle w:val="ListParagraph"/>
        <w:numPr>
          <w:ilvl w:val="2"/>
          <w:numId w:val="2"/>
        </w:numPr>
        <w:tabs>
          <w:tab w:val="clear" w:pos="709"/>
        </w:tabs>
        <w:ind w:left="0" w:firstLine="709"/>
        <w:jc w:val="both"/>
        <w:rPr>
          <w:sz w:val="24"/>
        </w:rPr>
      </w:pPr>
      <w:r>
        <w:rPr>
          <w:sz w:val="24"/>
        </w:rPr>
        <w:t>Окончательный платеж в размере 90 (девяносто) процентов от стоимости Товара</w:t>
      </w:r>
      <w:r>
        <w:rPr>
          <w:rStyle w:val="FootnoteReference"/>
          <w:sz w:val="24"/>
        </w:rPr>
        <w:footnoteReference w:id="5"/>
      </w:r>
      <w:r>
        <w:rPr>
          <w:sz w:val="24"/>
        </w:rPr>
        <w:t xml:space="preserve"> выплачивается Поставщику в течение </w:t>
      </w:r>
      <w:r>
        <w:rPr>
          <w:sz w:val="24"/>
          <w:highlight w:val="lightGray"/>
        </w:rPr>
        <w:t>20 (двадцати) календарных дней</w:t>
      </w:r>
      <w:r>
        <w:rPr>
          <w:rStyle w:val="FootnoteReference"/>
          <w:sz w:val="24"/>
          <w:highlight w:val="lightGray"/>
        </w:rPr>
        <w:footnoteReference w:id="6"/>
      </w:r>
      <w:r>
        <w:rPr>
          <w:sz w:val="24"/>
          <w:highlight w:val="lightGray"/>
        </w:rPr>
        <w:t xml:space="preserve"> / 45 (сорока пяти) календарных дней</w:t>
      </w:r>
      <w:r>
        <w:rPr>
          <w:rStyle w:val="FootnoteReference"/>
          <w:sz w:val="24"/>
          <w:highlight w:val="lightGray"/>
        </w:rPr>
        <w:footnoteReference w:id="7"/>
      </w:r>
      <w:r>
        <w:rPr>
          <w:sz w:val="24"/>
          <w:highlight w:val="lightGray"/>
        </w:rPr>
        <w:t xml:space="preserve"> / 7 (семи) рабочих дней</w:t>
      </w:r>
      <w:r>
        <w:rPr>
          <w:rStyle w:val="FootnoteReference"/>
          <w:sz w:val="24"/>
          <w:highlight w:val="lightGray"/>
        </w:rPr>
        <w:footnoteReference w:id="8"/>
      </w:r>
      <w:r>
        <w:rPr>
          <w:sz w:val="24"/>
        </w:rPr>
        <w:t xml:space="preserve"> с даты подписания Сторонами накладной ТОРГ-12 на основании счета, выставленного Поставщиком, и с учетом пункта 2.5.4 Договора.</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 случае выставления Поставщиком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Покупателем не принимается и подлежит замене Поставщиком независимо от его фактического вручения Покупателю. В случае выставления Поставщиком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Покупателем.</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bookmarkStart w:id="2" w:name="_Ref373242894"/>
      <w:r>
        <w:rPr>
          <w:bCs/>
          <w:sz w:val="24"/>
          <w:szCs w:val="24"/>
        </w:rPr>
        <w:t xml:space="preserve">Покупатель вправе не выплачивать предварительную оплату (аванс), расторгнуть Договор в одностороннем внесудебном порядке и предъявить требование </w:t>
        <w:br/>
        <w:t xml:space="preserve">о возмещении убытков в случае, если Поставщик не </w:t>
      </w:r>
      <w:r>
        <w:rPr>
          <w:sz w:val="24"/>
          <w:szCs w:val="24"/>
        </w:rPr>
        <w:t>предоставил</w:t>
      </w:r>
      <w:r>
        <w:rPr>
          <w:bCs/>
          <w:sz w:val="24"/>
          <w:szCs w:val="24"/>
        </w:rPr>
        <w:t xml:space="preserve"> финансового обеспечения исполнения обязательств, предусмотренного пунктом 2.5.1 Договора, в установленный срок и при этом не приступил к исполнению обязательств по Договору.</w:t>
      </w:r>
      <w:bookmarkEnd w:id="2"/>
      <w:r>
        <w:rPr>
          <w:bCs/>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Расчеты по Договору осуществляются в валюте Российской Федерации. Оплата производится Покупателем путем перечисления денежных средств на расчетный счет Поставщика, указанный в Договоре. Обязательство Покупателя по осуществлению платежа считается исполненным с даты списания денежных средств с расчетного счета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Индексация Цены Договора не допускается.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s>
        <w:ind w:left="0" w:firstLine="709"/>
        <w:jc w:val="both"/>
        <w:rPr>
          <w:sz w:val="24"/>
          <w:szCs w:val="24"/>
        </w:rPr>
      </w:pPr>
      <w:r>
        <w:rPr>
          <w:sz w:val="24"/>
          <w:szCs w:val="24"/>
        </w:rPr>
        <w:t>Поставщик обязан представить Покупателю счета-фактуры, выставленные в сроки и оформленные в порядке, установленном законодательством Российской Федерации. В случае нарушения Поставщиком данного требования, он обязан произвести замену счета-фактуры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p>
    <w:p>
      <w:pPr>
        <w:pStyle w:val="ListParagraph"/>
        <w:numPr>
          <w:ilvl w:val="1"/>
          <w:numId w:val="2"/>
        </w:numPr>
        <w:tabs>
          <w:tab w:val="clear" w:pos="709"/>
          <w:tab w:val="left" w:pos="1134" w:leader="none"/>
        </w:tabs>
        <w:ind w:left="0" w:firstLine="709"/>
        <w:jc w:val="both"/>
        <w:rPr>
          <w:sz w:val="24"/>
          <w:szCs w:val="24"/>
        </w:rPr>
      </w:pPr>
      <w:r>
        <w:rPr>
          <w:sz w:val="24"/>
          <w:szCs w:val="24"/>
        </w:rPr>
        <w:t xml:space="preserve">Поставщик обязан подписать акты сверки взаимных расчетов, направленные Покупателем в 2 (двух) экземплярах, и вернуть 1 (один) экземпляр Покупателю в течение </w:t>
        <w:br/>
        <w:t>5 (пяти) рабочих дней с даты получения экземпляров актов сверки расчетов от Покупателя.</w:t>
      </w:r>
    </w:p>
    <w:p>
      <w:pPr>
        <w:pStyle w:val="Normal"/>
        <w:numPr>
          <w:ilvl w:val="1"/>
          <w:numId w:val="2"/>
        </w:numPr>
        <w:shd w:val="clear" w:color="auto" w:fill="FFFFFF"/>
        <w:tabs>
          <w:tab w:val="clear" w:pos="709"/>
          <w:tab w:val="left" w:pos="0" w:leader="none"/>
          <w:tab w:val="left" w:pos="567" w:leader="none"/>
          <w:tab w:val="left" w:pos="716" w:leader="none"/>
          <w:tab w:val="left" w:pos="1134" w:leader="none"/>
          <w:tab w:val="left" w:pos="1276" w:leader="none"/>
        </w:tabs>
        <w:ind w:left="0" w:firstLine="709"/>
        <w:jc w:val="both"/>
        <w:rPr>
          <w:sz w:val="24"/>
          <w:szCs w:val="24"/>
        </w:rPr>
      </w:pPr>
      <w:r>
        <w:rPr>
          <w:sz w:val="24"/>
        </w:rPr>
        <w:t xml:space="preserve">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w:t>
      </w:r>
      <w:r>
        <w:rPr>
          <w:iCs/>
          <w:sz w:val="24"/>
          <w:szCs w:val="24"/>
        </w:rPr>
        <w:t>Поставщика перед Покупателем</w:t>
      </w:r>
      <w:r>
        <w:rPr>
          <w:sz w:val="24"/>
        </w:rPr>
        <w:t xml:space="preserve">, в том числе (включая, но не ограничиваясь), суммы неотработанного аванса по Договору, суммы неустоек (пени, штрафы) </w:t>
        <w:br/>
        <w:t>за неисполнение и / или ненадлежащее исполнение обязательств по Договору, стоимость работ по устранению недостатков Товара, поставленного Поставщиком.</w:t>
      </w:r>
    </w:p>
    <w:p>
      <w:pPr>
        <w:pStyle w:val="Normal"/>
        <w:ind w:firstLine="709"/>
        <w:jc w:val="both"/>
        <w:rPr>
          <w:sz w:val="24"/>
          <w:szCs w:val="24"/>
        </w:rPr>
      </w:pPr>
      <w:r>
        <w:rPr>
          <w:sz w:val="24"/>
        </w:rPr>
        <w:t>Покупатель направляет Поставщику уведомление о проведении сальдо взаимных обязательств Сторон по Договору.</w:t>
      </w:r>
    </w:p>
    <w:p>
      <w:pPr>
        <w:pStyle w:val="Normal"/>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Порядок поставки и приемки Товара</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sz w:val="24"/>
          <w:szCs w:val="24"/>
        </w:rPr>
        <w:t>Поставка Товара осуществляется в Место поставки, указанное в пункте 1.3 Договора.</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r>
        <w:rPr>
          <w:bCs/>
          <w:sz w:val="24"/>
          <w:szCs w:val="24"/>
        </w:rPr>
        <w:t xml:space="preserve">Качество, комплектность, количество и ассортимент поставляемого по Договору Товара должны соответствовать Проектной </w:t>
      </w:r>
      <w:r>
        <w:rPr>
          <w:bCs/>
          <w:sz w:val="24"/>
          <w:szCs w:val="24"/>
          <w:highlight w:val="lightGray"/>
        </w:rPr>
        <w:t>и Рабочей</w:t>
      </w:r>
      <w:r>
        <w:rPr>
          <w:bCs/>
          <w:sz w:val="24"/>
          <w:szCs w:val="24"/>
        </w:rPr>
        <w:t xml:space="preserve"> </w:t>
      </w:r>
      <w:r>
        <w:rPr>
          <w:sz w:val="24"/>
          <w:szCs w:val="24"/>
        </w:rPr>
        <w:t>документации</w:t>
      </w:r>
      <w:r>
        <w:rPr>
          <w:bCs/>
          <w:sz w:val="24"/>
          <w:szCs w:val="24"/>
        </w:rPr>
        <w:t>, требованиям Договора и Покупателя,</w:t>
      </w:r>
      <w:r>
        <w:rPr>
          <w:b/>
          <w:bCs/>
          <w:sz w:val="24"/>
          <w:szCs w:val="24"/>
        </w:rPr>
        <w:t xml:space="preserve"> </w:t>
      </w:r>
      <w:r>
        <w:rPr>
          <w:bCs/>
          <w:sz w:val="24"/>
          <w:szCs w:val="24"/>
        </w:rPr>
        <w:t xml:space="preserve">в том числе указанным в Спецификации (Приложение № 1 к Договору), </w:t>
        <w:br/>
        <w:t>а также Применимого права.</w:t>
      </w:r>
    </w:p>
    <w:p>
      <w:pPr>
        <w:pStyle w:val="Normal"/>
        <w:widowControl/>
        <w:shd w:val="clear" w:color="auto" w:fill="FFFFFF"/>
        <w:tabs>
          <w:tab w:val="clear" w:pos="709"/>
          <w:tab w:val="left" w:pos="1134" w:leader="none"/>
        </w:tabs>
        <w:ind w:firstLine="709"/>
        <w:jc w:val="both"/>
        <w:rPr>
          <w:bCs/>
          <w:sz w:val="24"/>
          <w:szCs w:val="24"/>
          <w:highlight w:val="lightGray"/>
        </w:rPr>
      </w:pPr>
      <w:r>
        <w:rPr>
          <w:bCs/>
          <w:sz w:val="24"/>
          <w:szCs w:val="24"/>
          <w:highlight w:val="lightGray"/>
        </w:rPr>
        <w:t xml:space="preserve">Поставщик не вправе производить замену Товара, содержащегося в одном </w:t>
        <w:br/>
        <w:t>из реестров, предусмотренных пунктом 2 постановления   Правительства РФ от 23 декабря 2024 года № 1875 называется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на иной Товар, не включенный в такие реестры.</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sz w:val="24"/>
          <w:szCs w:val="24"/>
        </w:rPr>
        <w:t>Поставляемый</w:t>
      </w:r>
      <w:r>
        <w:rPr>
          <w:bCs/>
          <w:sz w:val="24"/>
          <w:szCs w:val="24"/>
        </w:rPr>
        <w:t xml:space="preserve"> Товар должен быть новым, не бывшим в употреблении, пригодным для использования по своему назначению. Поставщик гарантирует, что Товар принадлежит ему на законном основании, в споре, залоге или под арестом не состоит, </w:t>
        <w:br/>
        <w:t>и не обременен правами третьих лиц.</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sz w:val="24"/>
          <w:szCs w:val="24"/>
        </w:rPr>
        <w:t>Одновременно</w:t>
      </w:r>
      <w:r>
        <w:rPr>
          <w:bCs/>
          <w:sz w:val="24"/>
          <w:szCs w:val="24"/>
        </w:rPr>
        <w:t xml:space="preserve"> с передачей Товара Поставщик обязан передать Покупателю оригиналы следующих относящихся к Товару документов: </w:t>
      </w:r>
    </w:p>
    <w:p>
      <w:pPr>
        <w:pStyle w:val="Normal"/>
        <w:numPr>
          <w:ilvl w:val="0"/>
          <w:numId w:val="4"/>
        </w:numPr>
        <w:tabs>
          <w:tab w:val="clear" w:pos="709"/>
          <w:tab w:val="left" w:pos="1418" w:leader="none"/>
        </w:tabs>
        <w:ind w:left="0" w:firstLine="709"/>
        <w:jc w:val="both"/>
        <w:rPr>
          <w:sz w:val="24"/>
          <w:szCs w:val="24"/>
        </w:rPr>
      </w:pPr>
      <w:r>
        <w:rPr>
          <w:sz w:val="24"/>
          <w:szCs w:val="24"/>
        </w:rPr>
        <w:t xml:space="preserve">сертификат качества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left="0" w:firstLine="709"/>
        <w:jc w:val="both"/>
        <w:rPr>
          <w:sz w:val="24"/>
          <w:szCs w:val="24"/>
        </w:rPr>
      </w:pPr>
      <w:r>
        <w:rPr>
          <w:sz w:val="24"/>
          <w:szCs w:val="24"/>
        </w:rPr>
        <w:t xml:space="preserve">технический паспорт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left="0" w:firstLine="709"/>
        <w:jc w:val="both"/>
        <w:rPr>
          <w:sz w:val="24"/>
          <w:szCs w:val="24"/>
        </w:rPr>
      </w:pPr>
      <w:r>
        <w:rPr>
          <w:sz w:val="24"/>
          <w:szCs w:val="24"/>
        </w:rPr>
        <w:t xml:space="preserve">инструкция по эксплуатации на русском языке в </w:t>
      </w:r>
      <w:r>
        <w:rPr>
          <w:sz w:val="24"/>
          <w:szCs w:val="24"/>
          <w:highlight w:val="lightGray"/>
        </w:rPr>
        <w:t>__(____)</w:t>
      </w:r>
      <w:r>
        <w:rPr>
          <w:sz w:val="24"/>
          <w:szCs w:val="24"/>
        </w:rPr>
        <w:t xml:space="preserve"> экз.;</w:t>
      </w:r>
    </w:p>
    <w:p>
      <w:pPr>
        <w:pStyle w:val="Normal"/>
        <w:numPr>
          <w:ilvl w:val="0"/>
          <w:numId w:val="4"/>
        </w:numPr>
        <w:tabs>
          <w:tab w:val="clear" w:pos="709"/>
          <w:tab w:val="left" w:pos="1418" w:leader="none"/>
        </w:tabs>
        <w:ind w:left="0" w:firstLine="709"/>
        <w:jc w:val="both"/>
        <w:rPr>
          <w:sz w:val="24"/>
          <w:szCs w:val="24"/>
        </w:rPr>
      </w:pPr>
      <w:r>
        <w:rPr>
          <w:sz w:val="24"/>
          <w:szCs w:val="24"/>
        </w:rPr>
        <w:t xml:space="preserve">упаковочный лист в </w:t>
      </w:r>
      <w:r>
        <w:rPr>
          <w:sz w:val="24"/>
          <w:szCs w:val="24"/>
          <w:highlight w:val="lightGray"/>
        </w:rPr>
        <w:t>__(____)</w:t>
      </w:r>
      <w:r>
        <w:rPr>
          <w:sz w:val="24"/>
          <w:szCs w:val="24"/>
        </w:rPr>
        <w:t xml:space="preserve"> экз.;</w:t>
      </w:r>
    </w:p>
    <w:p>
      <w:pPr>
        <w:pStyle w:val="Normal"/>
        <w:numPr>
          <w:ilvl w:val="0"/>
          <w:numId w:val="3"/>
        </w:numPr>
        <w:tabs>
          <w:tab w:val="clear" w:pos="709"/>
          <w:tab w:val="left" w:pos="1418" w:leader="none"/>
        </w:tabs>
        <w:ind w:left="0" w:firstLine="709"/>
        <w:jc w:val="both"/>
        <w:rPr>
          <w:sz w:val="24"/>
          <w:szCs w:val="24"/>
        </w:rPr>
      </w:pPr>
      <w:r>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pPr>
        <w:pStyle w:val="Normal"/>
        <w:numPr>
          <w:ilvl w:val="0"/>
          <w:numId w:val="3"/>
        </w:numPr>
        <w:tabs>
          <w:tab w:val="clear" w:pos="709"/>
          <w:tab w:val="left" w:pos="1418" w:leader="none"/>
        </w:tabs>
        <w:ind w:left="0" w:firstLine="709"/>
        <w:jc w:val="both"/>
        <w:rPr>
          <w:sz w:val="24"/>
          <w:szCs w:val="24"/>
        </w:rPr>
      </w:pPr>
      <w:r>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__(____) экз.;</w:t>
      </w:r>
    </w:p>
    <w:p>
      <w:pPr>
        <w:pStyle w:val="Normal"/>
        <w:numPr>
          <w:ilvl w:val="0"/>
          <w:numId w:val="3"/>
        </w:numPr>
        <w:shd w:val="clear" w:color="auto" w:fill="FFFFFF"/>
        <w:tabs>
          <w:tab w:val="clear" w:pos="709"/>
          <w:tab w:val="left" w:pos="1418" w:leader="none"/>
        </w:tabs>
        <w:ind w:left="0" w:firstLine="709"/>
        <w:jc w:val="both"/>
        <w:rPr>
          <w:sz w:val="24"/>
          <w:szCs w:val="24"/>
        </w:rPr>
      </w:pPr>
      <w:r>
        <w:rPr>
          <w:sz w:val="24"/>
          <w:szCs w:val="24"/>
        </w:rPr>
        <w:t xml:space="preserve">накладная ТОРГ-12 в </w:t>
      </w:r>
      <w:r>
        <w:rPr>
          <w:sz w:val="24"/>
          <w:szCs w:val="24"/>
          <w:highlight w:val="lightGray"/>
        </w:rPr>
        <w:t>__(____)</w:t>
      </w:r>
      <w:r>
        <w:rPr>
          <w:sz w:val="24"/>
          <w:szCs w:val="24"/>
        </w:rPr>
        <w:t xml:space="preserve"> экз.</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bookmarkStart w:id="3" w:name="_Ref361408232"/>
      <w:r>
        <w:rPr>
          <w:bCs/>
          <w:sz w:val="24"/>
          <w:szCs w:val="24"/>
        </w:rPr>
        <w:t xml:space="preserve">Поставщик обязан обеспечить присутствие во время приемки Товара и в Месте поставки </w:t>
      </w:r>
      <w:r>
        <w:rPr>
          <w:sz w:val="24"/>
          <w:szCs w:val="24"/>
        </w:rPr>
        <w:t>своего</w:t>
      </w:r>
      <w:r>
        <w:rPr>
          <w:bCs/>
          <w:sz w:val="24"/>
          <w:szCs w:val="24"/>
        </w:rPr>
        <w:t xml:space="preserve"> представителя, уполномоченного надлежащим образом оформленной доверенностью на передачу Товара Покупателю, подписание Акта рекламации. </w:t>
        <w:br/>
        <w:t xml:space="preserve">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w:t>
        <w:br/>
        <w:t xml:space="preserve">по Договору. Стороны будут рассматривать неявку представителя Поставщика </w:t>
        <w:br/>
        <w:t xml:space="preserve">как просрочку поставки. </w:t>
      </w:r>
    </w:p>
    <w:p>
      <w:pPr>
        <w:pStyle w:val="ListParagraph"/>
        <w:shd w:val="clear" w:color="auto" w:fill="FFFFFF"/>
        <w:tabs>
          <w:tab w:val="clear" w:pos="709"/>
          <w:tab w:val="left" w:pos="1134" w:leader="none"/>
          <w:tab w:val="left" w:pos="1418" w:leader="none"/>
        </w:tabs>
        <w:ind w:left="0" w:firstLine="709"/>
        <w:jc w:val="both"/>
        <w:rPr>
          <w:bCs/>
          <w:sz w:val="24"/>
          <w:szCs w:val="24"/>
        </w:rPr>
      </w:pPr>
      <w:r>
        <w:rPr>
          <w:bCs/>
          <w:sz w:val="24"/>
          <w:szCs w:val="24"/>
        </w:rPr>
        <w:t>Оригинал доверенности представителя Поставщика подлежит передаче Покупателю.</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 xml:space="preserve">В </w:t>
      </w:r>
      <w:r>
        <w:rPr>
          <w:sz w:val="24"/>
          <w:szCs w:val="24"/>
        </w:rPr>
        <w:t>случае</w:t>
      </w:r>
      <w:r>
        <w:rPr>
          <w:bCs/>
          <w:sz w:val="24"/>
          <w:szCs w:val="24"/>
        </w:rPr>
        <w:t xml:space="preserve"> неявки представителя Поставщика и / или его отказа от подписания Акта рекламации при приемке Товара, составленный и подписанный Покупателем </w:t>
        <w:br/>
        <w:t>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pPr>
        <w:pStyle w:val="ListParagraph"/>
        <w:widowControl/>
        <w:numPr>
          <w:ilvl w:val="1"/>
          <w:numId w:val="2"/>
        </w:numPr>
        <w:shd w:val="clear" w:color="auto" w:fill="FFFFFF"/>
        <w:tabs>
          <w:tab w:val="clear" w:pos="709"/>
          <w:tab w:val="left" w:pos="1276" w:leader="none"/>
        </w:tabs>
        <w:ind w:left="0" w:firstLine="709"/>
        <w:jc w:val="both"/>
        <w:rPr>
          <w:bCs/>
          <w:sz w:val="24"/>
          <w:szCs w:val="24"/>
        </w:rPr>
      </w:pPr>
      <w:bookmarkStart w:id="4" w:name="_Ref361408474"/>
      <w:r>
        <w:rPr>
          <w:sz w:val="24"/>
          <w:szCs w:val="24"/>
        </w:rPr>
        <w:t>Товар</w:t>
      </w:r>
      <w:r>
        <w:rPr>
          <w:bCs/>
          <w:sz w:val="24"/>
          <w:szCs w:val="24"/>
        </w:rPr>
        <w:t xml:space="preserve"> должен отгружаться Поставщиком в таре и упаковке, обеспечивающих полную сохранность Товара от всякого рода повреждений и порчи с учетом возможных перегрузок и длительного хранения.</w:t>
      </w:r>
      <w:bookmarkEnd w:id="4"/>
      <w:r>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w:t>
        <w:br/>
        <w:t xml:space="preserve">в сопроводительных документах).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Отдельные требования к упаковке и маркировке негабаритного Товара, </w:t>
        <w:br/>
        <w:t xml:space="preserve">а также любые другие специальные требования, помимо установленных в настоящем пункте Договора, указываются Сторонами в Спецификации (Приложение № 1 к Договору). </w:t>
      </w:r>
    </w:p>
    <w:p>
      <w:pPr>
        <w:pStyle w:val="ListParagraph"/>
        <w:shd w:val="clear" w:color="auto" w:fill="FFFFFF"/>
        <w:tabs>
          <w:tab w:val="clear" w:pos="709"/>
          <w:tab w:val="left" w:pos="1418" w:leader="none"/>
        </w:tabs>
        <w:ind w:left="0" w:firstLine="709"/>
        <w:jc w:val="both"/>
        <w:rPr>
          <w:bCs/>
          <w:sz w:val="24"/>
          <w:szCs w:val="24"/>
        </w:rPr>
      </w:pPr>
      <w:r>
        <w:rPr>
          <w:bCs/>
          <w:sz w:val="24"/>
          <w:szCs w:val="24"/>
        </w:rPr>
        <w:t xml:space="preserve">Стоимость тары и упаковки включена в стоимость Товара. Тара и упаковка возврату </w:t>
        <w:br/>
        <w:t xml:space="preserve">не подлежат.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Погрузка, доставка, разгрузка </w:t>
      </w:r>
      <w:r>
        <w:rPr>
          <w:sz w:val="24"/>
          <w:szCs w:val="24"/>
          <w:highlight w:val="lightGray"/>
        </w:rPr>
        <w:t xml:space="preserve">и перемещение Товара (в том числе </w:t>
        <w:br/>
        <w:t>по территории Покупателя)</w:t>
      </w:r>
      <w:r>
        <w:rPr>
          <w:rStyle w:val="FootnoteReference"/>
          <w:sz w:val="24"/>
          <w:szCs w:val="24"/>
          <w:highlight w:val="lightGray"/>
          <w:vertAlign w:val="superscript"/>
        </w:rPr>
        <w:footnoteReference w:id="9"/>
      </w:r>
      <w:r>
        <w:rPr>
          <w:sz w:val="24"/>
          <w:szCs w:val="24"/>
        </w:rPr>
        <w:t xml:space="preserve"> </w:t>
      </w:r>
      <w:r>
        <w:rPr>
          <w:bCs/>
          <w:sz w:val="24"/>
          <w:szCs w:val="24"/>
        </w:rPr>
        <w:t>осуществляется</w:t>
      </w:r>
      <w:r>
        <w:rPr>
          <w:sz w:val="24"/>
          <w:szCs w:val="24"/>
        </w:rPr>
        <w:t xml:space="preserve"> Поставщиком. Стоимость погрузки, доставки, разгрузки </w:t>
      </w:r>
      <w:r>
        <w:rPr>
          <w:sz w:val="24"/>
          <w:szCs w:val="24"/>
          <w:highlight w:val="lightGray"/>
        </w:rPr>
        <w:t>и перемещения Товара</w:t>
      </w:r>
      <w:r>
        <w:rPr>
          <w:sz w:val="24"/>
          <w:szCs w:val="24"/>
        </w:rPr>
        <w:t xml:space="preserve"> включена в стоимость Товара.</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Досрочная поставка Товара допускается только при условии получения Поставщиком письменного согласия Покупателя.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bookmarkStart w:id="5" w:name="_Ref361396594"/>
      <w:r>
        <w:rPr>
          <w:sz w:val="24"/>
          <w:szCs w:val="24"/>
        </w:rPr>
        <w:t xml:space="preserve">Датой поставки Товара является дата подписания Сторонами накладной </w:t>
        <w:br/>
        <w:t>ТОРГ-12.</w:t>
      </w:r>
      <w:bookmarkEnd w:id="5"/>
      <w:r>
        <w:rPr>
          <w:sz w:val="24"/>
          <w:szCs w:val="24"/>
        </w:rPr>
        <w:t xml:space="preserve">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Приемка Товара по количеству тар и упаковок, в которых производилась отгрузка Товара, осуществляется Покупателем в день поставки в присутствии представителя Поставщика согласно представленным транспортным и сопроводительным документам, указанным в пункте 3.4 Договора. По результатам проверки количества упаковочных мест Покупатель подписывает представленные транспортные документы.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При обнаружении 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w:t>
      </w:r>
      <w:r>
        <w:rPr>
          <w:sz w:val="24"/>
          <w:szCs w:val="24"/>
          <w:highlight w:val="lightGray"/>
        </w:rPr>
        <w:t>3 (трех)</w:t>
      </w:r>
      <w:r>
        <w:rPr>
          <w:sz w:val="24"/>
          <w:szCs w:val="24"/>
        </w:rPr>
        <w:t xml:space="preserve"> календарных дней с даты выявления указанных нарушений представить Покупателю необходимые принадлежности и / или документы, </w:t>
        <w:br/>
        <w:t xml:space="preserve">а также восполнить недопоставку Товара в срок, письменно согласованный с Покупателем. </w:t>
      </w:r>
    </w:p>
    <w:p>
      <w:pPr>
        <w:pStyle w:val="ListParagraph"/>
        <w:shd w:val="clear" w:color="auto" w:fill="FFFFFF"/>
        <w:tabs>
          <w:tab w:val="clear" w:pos="709"/>
          <w:tab w:val="left" w:pos="1418" w:leader="none"/>
        </w:tabs>
        <w:ind w:left="0" w:firstLine="709"/>
        <w:jc w:val="both"/>
        <w:rPr>
          <w:sz w:val="24"/>
          <w:szCs w:val="24"/>
        </w:rPr>
      </w:pPr>
      <w:bookmarkStart w:id="6" w:name="_Ref361408232"/>
      <w:r>
        <w:rPr>
          <w:sz w:val="24"/>
          <w:szCs w:val="24"/>
        </w:rPr>
        <w:t>Устранение допущенных нарушений не освобождает Поставщика от ответственности за убытки, причиненные Покупателю нарушением условий поставки.</w:t>
      </w:r>
      <w:bookmarkEnd w:id="6"/>
      <w:r>
        <w:rPr>
          <w:sz w:val="24"/>
          <w:szCs w:val="24"/>
        </w:rPr>
        <w:t xml:space="preserve">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Приемка Товара со вскрытием тары и упаковки производится Покупателем </w:t>
        <w:br/>
        <w:t xml:space="preserve">в присутствии представителя Поставщика в течение </w:t>
      </w:r>
      <w:r>
        <w:rPr>
          <w:sz w:val="24"/>
          <w:szCs w:val="24"/>
          <w:highlight w:val="lightGray"/>
        </w:rPr>
        <w:t>10 (десяти)</w:t>
      </w:r>
      <w:r>
        <w:rPr>
          <w:sz w:val="24"/>
          <w:szCs w:val="24"/>
        </w:rPr>
        <w:t xml:space="preserve"> рабочих дней </w:t>
        <w:br/>
        <w:t>с даты подписания Покупателем транспортных документов. В случае отсутствия замечаний Покупатель подписывает накладную ТОРГ-12.</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В случае обнаружения внутри тары и упаковки недопоставки, некомплектности, недостатков, несоответствий и / или дефектов Товара, а также в случае отсутствия необходимых принадлежностей, относящихся к Товару, Стороны составляют Акт рекламации. В Акте рекламации Сторонами указываются, в том числе, сроки и способ устранения недостатков, несоответствий и / или дефектов Товара. </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Поставщик обязан своими силами и за свой счет устранить выявленные недостатки, несоответствия и / или дефекты Товара, в том числе путем его замены на новый, в течение </w:t>
        <w:br/>
        <w:t>10 (десяти) календарных дней со дня составления Сторонами Акта рекламации, если иной способ и сроки не согласованы Сторонами. После устранения недостатков, несоответствий и / или дефектов Товара его приемка осуществляется в соответствии с настоящим разделом Договора.</w:t>
      </w:r>
    </w:p>
    <w:p>
      <w:pPr>
        <w:pStyle w:val="Normal"/>
        <w:shd w:val="clear" w:color="auto" w:fill="FFFFFF"/>
        <w:tabs>
          <w:tab w:val="clear" w:pos="709"/>
          <w:tab w:val="left" w:pos="1134" w:leader="none"/>
          <w:tab w:val="left" w:pos="1418" w:leader="none"/>
          <w:tab w:val="left" w:pos="1851" w:leader="none"/>
        </w:tabs>
        <w:ind w:firstLine="709"/>
        <w:jc w:val="both"/>
        <w:rPr>
          <w:sz w:val="24"/>
          <w:szCs w:val="24"/>
        </w:rPr>
      </w:pPr>
      <w:r>
        <w:rPr>
          <w:sz w:val="24"/>
          <w:szCs w:val="24"/>
        </w:rPr>
        <w:t xml:space="preserve">Покупатель вправе не производить любые платежи, предусмотренные Договором, </w:t>
        <w:br/>
        <w:t xml:space="preserve">до исполнения Поставщиком своих обязательств по Договору, при этом Покупатель </w:t>
        <w:br/>
        <w:t>не считается просрочившим.</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 xml:space="preserve">В случае неисполнения Поставщиком обязательств по устранению выявленных недостатков, несоответствий и / или дефектов Товара в порядке, предусмотренном пунктами 3.12, 3.14 Договора, Покупатель вправе отказаться от приемки Товара, направив соответствующее письменное уведомление Поставщику. Поставщик не позднее 5 (пяти) рабочих дней с даты получения уведомления обязан обеспечить вывоз Товара, от которой отказался Покупатель, возвратить ее стоимость (ранее полученный авансовый платеж), </w:t>
        <w:br/>
        <w:t>а также возместить убытки, причиненные Покупателю ненадлежащим исполнением Договора, в том числе расходы на хранение Товара.</w:t>
      </w:r>
    </w:p>
    <w:p>
      <w:pPr>
        <w:pStyle w:val="Normal"/>
        <w:shd w:val="clear" w:color="auto" w:fill="FFFFFF"/>
        <w:tabs>
          <w:tab w:val="clear" w:pos="709"/>
          <w:tab w:val="left" w:pos="1283" w:leader="none"/>
          <w:tab w:val="left" w:pos="1851" w:leader="none"/>
        </w:tabs>
        <w:ind w:firstLine="709"/>
        <w:jc w:val="both"/>
        <w:rPr>
          <w:sz w:val="24"/>
          <w:szCs w:val="24"/>
        </w:rPr>
      </w:pPr>
      <w:r>
        <w:rPr>
          <w:sz w:val="24"/>
          <w:szCs w:val="24"/>
        </w:rPr>
        <w:t xml:space="preserve">Если Поставщик не вывезет Товар в указанный срок, Покупатель вправе самостоятельно возвратить Товар Поставщику. Расходы, понесенные Покупателем в связи </w:t>
        <w:br/>
        <w:t>с возвратом Товара, подлежат возмещению Поставщиком.</w:t>
      </w:r>
    </w:p>
    <w:p>
      <w:pPr>
        <w:pStyle w:val="ListParagraph"/>
        <w:widowControl/>
        <w:numPr>
          <w:ilvl w:val="1"/>
          <w:numId w:val="2"/>
        </w:numPr>
        <w:shd w:val="clear" w:color="auto" w:fill="FFFFFF"/>
        <w:tabs>
          <w:tab w:val="clear" w:pos="709"/>
          <w:tab w:val="left" w:pos="1276" w:leader="none"/>
        </w:tabs>
        <w:ind w:left="0" w:firstLine="709"/>
        <w:jc w:val="both"/>
        <w:rPr>
          <w:b/>
          <w:color w:val="000000"/>
          <w:sz w:val="24"/>
          <w:szCs w:val="24"/>
        </w:rPr>
      </w:pPr>
      <w:r>
        <w:rPr>
          <w:sz w:val="24"/>
          <w:szCs w:val="24"/>
        </w:rPr>
        <w:t xml:space="preserve">По иным вопросам, касающимся приемки Товара по количеству, качеству </w:t>
        <w:br/>
        <w:t xml:space="preserve">и комплектности в части, не противоречащей законодательству Российской Федерации </w:t>
        <w:br/>
        <w:t>и условиям Договора, Стороны руководствуются Инструкцией Госарбитража при Совете Министров СССР от 15.06.1965 № П-6 (за исключением пунктов 18, 21, 29-32), Инструкцией Госарбитража при Совете Министров СССР от 25.04.1966 № П-7 (за исключением пунктов 20, 23, абз.3 пункта 30, 35, 38-42).</w:t>
      </w:r>
      <w:r>
        <w:rPr>
          <w:b/>
          <w:bCs/>
          <w:color w:val="000000"/>
          <w:sz w:val="24"/>
          <w:szCs w:val="24"/>
        </w:rPr>
        <w:t xml:space="preserve"> </w:t>
      </w:r>
    </w:p>
    <w:p>
      <w:pPr>
        <w:pStyle w:val="ListParagraph"/>
        <w:widowControl/>
        <w:numPr>
          <w:ilvl w:val="1"/>
          <w:numId w:val="2"/>
        </w:numPr>
        <w:shd w:val="clear" w:color="auto" w:fill="FFFFFF"/>
        <w:tabs>
          <w:tab w:val="clear" w:pos="709"/>
          <w:tab w:val="left" w:pos="1276" w:leader="none"/>
        </w:tabs>
        <w:ind w:left="0" w:firstLine="709"/>
        <w:jc w:val="both"/>
        <w:rPr>
          <w:sz w:val="24"/>
          <w:szCs w:val="24"/>
        </w:rPr>
      </w:pPr>
      <w:r>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p>
    <w:p>
      <w:pPr>
        <w:pStyle w:val="Normal"/>
        <w:shd w:val="clear" w:color="auto" w:fill="FFFFFF"/>
        <w:jc w:val="both"/>
        <w:rPr>
          <w:sz w:val="24"/>
          <w:szCs w:val="24"/>
        </w:rPr>
      </w:pPr>
      <w:r>
        <w:rPr>
          <w:sz w:val="24"/>
          <w:szCs w:val="24"/>
        </w:rPr>
      </w:r>
    </w:p>
    <w:p>
      <w:pPr>
        <w:pStyle w:val="ListParagraph"/>
        <w:numPr>
          <w:ilvl w:val="0"/>
          <w:numId w:val="2"/>
        </w:numPr>
        <w:shd w:val="clear" w:color="auto" w:fill="FFFFFF"/>
        <w:tabs>
          <w:tab w:val="clear" w:pos="709"/>
          <w:tab w:val="left" w:pos="284" w:leader="none"/>
        </w:tabs>
        <w:ind w:left="0" w:hanging="0"/>
        <w:jc w:val="center"/>
        <w:rPr>
          <w:b/>
          <w:sz w:val="24"/>
          <w:szCs w:val="24"/>
        </w:rPr>
      </w:pPr>
      <w:r>
        <w:rPr>
          <w:b/>
          <w:sz w:val="24"/>
          <w:szCs w:val="24"/>
        </w:rPr>
        <w:t>Гарантийный срок</w:t>
      </w:r>
    </w:p>
    <w:p>
      <w:pPr>
        <w:pStyle w:val="ListParagraph"/>
        <w:numPr>
          <w:ilvl w:val="1"/>
          <w:numId w:val="2"/>
        </w:numPr>
        <w:tabs>
          <w:tab w:val="left" w:pos="709" w:leader="none"/>
          <w:tab w:val="left" w:pos="1134" w:leader="none"/>
        </w:tabs>
        <w:ind w:left="0" w:firstLine="709"/>
        <w:jc w:val="both"/>
        <w:rPr>
          <w:sz w:val="24"/>
          <w:szCs w:val="24"/>
        </w:rPr>
      </w:pPr>
      <w:r>
        <w:rPr>
          <w:sz w:val="24"/>
          <w:szCs w:val="24"/>
        </w:rPr>
        <w:t xml:space="preserve">Гарантийный срок на Товар, поставленный по Договору, составляет </w:t>
      </w:r>
      <w:r>
        <w:rPr>
          <w:sz w:val="24"/>
          <w:szCs w:val="24"/>
          <w:highlight w:val="lightGray"/>
        </w:rPr>
        <w:t>____ (______)</w:t>
      </w:r>
      <w:r>
        <w:rPr>
          <w:sz w:val="24"/>
          <w:szCs w:val="24"/>
        </w:rPr>
        <w:t xml:space="preserve"> месяцев и начинает течь с даты подписания Сторонами накладной ТОРГ-12.</w:t>
      </w:r>
      <w:r>
        <w:rPr/>
        <w:t xml:space="preserve"> </w:t>
      </w:r>
      <w:r>
        <w:rPr>
          <w:sz w:val="24"/>
          <w:szCs w:val="24"/>
        </w:rPr>
        <w:t xml:space="preserve">Гарантийный срок может быть продлен в соответствии с условиями Договора. </w:t>
      </w:r>
    </w:p>
    <w:p>
      <w:pPr>
        <w:pStyle w:val="ListParagraph"/>
        <w:tabs>
          <w:tab w:val="clear" w:pos="709"/>
          <w:tab w:val="left" w:pos="1134" w:leader="none"/>
          <w:tab w:val="left" w:pos="1851" w:leader="none"/>
        </w:tabs>
        <w:ind w:left="0" w:firstLine="709"/>
        <w:jc w:val="both"/>
        <w:rPr>
          <w:sz w:val="24"/>
          <w:szCs w:val="24"/>
        </w:rPr>
      </w:pPr>
      <w:r>
        <w:rPr>
          <w:sz w:val="24"/>
          <w:szCs w:val="24"/>
        </w:rPr>
        <w:t>Установленный в отношении Товара гарантийный срок распространяется на все составные части и комплектующие Товара.</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течение Гарантийного срока Поставщик гарантирует соответствие качества Товара требованиям Договора, технического паспорта и иных документов, относящихся </w:t>
        <w:br/>
        <w:t xml:space="preserve">к Товару, и Применимого права, возможность эксплуатации (использования) Товара </w:t>
        <w:br/>
        <w:t xml:space="preserve">в соответствии с его целевым назначением, а также несет безусловную ответственность </w:t>
        <w:br/>
        <w:t xml:space="preserve">за обнаруженные недостатки, несоответствия и / или дефекты Товара, если не докажет, что такие недостатки, несоответствия и / или дефекты явились следствием несоблюдения Покупателем требований по использованию Товара, установленных в инструкциях и иных документах, переданных Покупателю в соответствии с пунктом 3.4 Договора.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 / или дефектах. Если к указанному </w:t>
        <w:br/>
        <w:t xml:space="preserve">в настоящем пункте сроку представитель Поставщика не прибудет, Акт о недостатках, несоответствиях и / или дефектах будет составлен Покупателем в одностороннем порядке </w:t>
        <w:br/>
        <w:t>и будет признан Сторонами действительным.</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в срок, указанный </w:t>
      </w:r>
      <w:bookmarkStart w:id="7" w:name="OLE_LINK6"/>
      <w:bookmarkStart w:id="8" w:name="OLE_LINK5"/>
      <w:r>
        <w:rPr>
          <w:sz w:val="24"/>
          <w:szCs w:val="24"/>
        </w:rPr>
        <w:t>Покупателем в соответствии с пунктом 4.3 Договора</w:t>
      </w:r>
      <w:bookmarkEnd w:id="7"/>
      <w:bookmarkEnd w:id="8"/>
      <w:r>
        <w:rPr>
          <w:sz w:val="24"/>
          <w:szCs w:val="24"/>
        </w:rPr>
        <w:t xml:space="preserve">, путем замены или ремонта Товара. </w:t>
      </w:r>
    </w:p>
    <w:p>
      <w:pPr>
        <w:pStyle w:val="Normal"/>
        <w:shd w:val="clear" w:color="auto" w:fill="FFFFFF"/>
        <w:ind w:firstLine="709"/>
        <w:jc w:val="both"/>
        <w:rPr>
          <w:sz w:val="24"/>
          <w:szCs w:val="24"/>
        </w:rPr>
      </w:pPr>
      <w:r>
        <w:rPr>
          <w:sz w:val="24"/>
          <w:szCs w:val="24"/>
        </w:rPr>
        <w:t xml:space="preserve">Устранение недостатков (дефектов) путем ремонта Товара может осуществляться только по письменному согласованию с Покупателем. Поставщик вправе по согласованию </w:t>
        <w:br/>
        <w:t xml:space="preserve">с Покупателем вместо замены или ремонта Товара возвратить Покупателю его стоимость (ранее полученный авансовый платеж). Вывоз Товара для целей устранения недостатков (дефектов) осуществляется силами Поставщика и за его счет.  </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Если Поставщик не устранит недостатки (дефекты) Товара в установленный Покупателем срок, Покупатель вправе устранить их собственными силами или силами третьих лиц с отнесением на Поставщика соответствующих расходов. Поставщик обязан возместить расходы Покупателя на устранение недостатков, несоответствий и / или дефектов Товара в течение 10 (десяти) рабочих дней с даты получения соответствующего письменного требования Покупателя.</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Гарантийный срок на Товар увеличивается на тот период времени, в течение которого Покупатель не мог эксплуатировать (использовать) Товар вследствие его недостатков (дефектов). Гарантийный срок на замененную или отремонтированную единицу Товара устанавливается продолжительностью, указанной в пункте 4.1 Договора, и начинает исчисляться заново с даты приемки Покупателем замененной единицы Товара или работ </w:t>
        <w:br/>
        <w:t>по устранению недостатков (дефектов).</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Устранение недостатков, несоответствий и / или дефектов Товара или возврат его стоимости, в том числе в рамках срока, установленного в соответствии с пунктом 4.3 Договора, не освобождает Поставщика от обязанности возмещения убытков, причиненных Покупателю вследствие наличия таких недостатков (дефектов).</w:t>
      </w:r>
    </w:p>
    <w:p>
      <w:pPr>
        <w:pStyle w:val="Normal"/>
        <w:numPr>
          <w:ilvl w:val="1"/>
          <w:numId w:val="2"/>
        </w:numPr>
        <w:shd w:val="clear" w:color="auto" w:fill="FFFFFF"/>
        <w:tabs>
          <w:tab w:val="clear" w:pos="709"/>
          <w:tab w:val="left" w:pos="1134" w:leader="none"/>
        </w:tabs>
        <w:ind w:left="0" w:firstLine="709"/>
        <w:jc w:val="both"/>
        <w:rPr>
          <w:sz w:val="24"/>
          <w:szCs w:val="24"/>
        </w:rPr>
      </w:pPr>
      <w:r>
        <w:rPr>
          <w:sz w:val="24"/>
          <w:szCs w:val="24"/>
        </w:rPr>
        <w:t xml:space="preserve">Поставщик обязан предоставить Покупателю копию(-и) заключения(-ий) </w:t>
        <w:br/>
        <w:t xml:space="preserve">о подтверждении производства Товара на территории Российской Федерации, </w:t>
        <w:br/>
        <w:t>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 не позднее 6 (шести) месяцев после окончания установленного Договором срока поставки Товара</w:t>
      </w:r>
      <w:r>
        <w:rPr>
          <w:rStyle w:val="FootnoteReference"/>
          <w:sz w:val="24"/>
          <w:szCs w:val="24"/>
        </w:rPr>
        <w:footnoteReference w:id="10"/>
      </w:r>
      <w:r>
        <w:rPr>
          <w:sz w:val="24"/>
          <w:szCs w:val="24"/>
        </w:rPr>
        <w:t>.</w:t>
      </w:r>
    </w:p>
    <w:p>
      <w:pPr>
        <w:pStyle w:val="Normal"/>
        <w:shd w:val="clear" w:color="auto" w:fill="FFFFFF"/>
        <w:tabs>
          <w:tab w:val="clear" w:pos="709"/>
          <w:tab w:val="left" w:pos="1190" w:leader="none"/>
        </w:tabs>
        <w:jc w:val="both"/>
        <w:rPr>
          <w:sz w:val="24"/>
          <w:szCs w:val="24"/>
        </w:rPr>
      </w:pPr>
      <w:r>
        <w:rPr>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Банковские гарантии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Банковская гарантия, предоставляемая Поставщиком Покупателю по Договору, должна соответствовать следующим требованиям:</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Банковская гарантия должна быть безотзывной и безусловной (гарантия </w:t>
        <w:br/>
        <w:t>по первому требованию).</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Бенефициар по Банковской гарантии – Покупатель, принципал – Поставщик.</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Сумма Банковской гарантии – выражена в валюте расчетов по Договору.</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Сумма Банковской гарантии возврата авансового платежа – не менее </w:t>
        <w:br/>
        <w:t xml:space="preserve">100 (ста) процентов от размера уплачиваемой по Договору предварительной оплаты (аванса) </w:t>
        <w:br/>
        <w:t xml:space="preserve">в совокупной сумме с учетом ранее выплаченных Поставщику и непогашенных (незачтенных) авансовых платежей. </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Банковская гарантия должна предусматривать, что для истребования суммы обеспечения Покупатель направляет Банку-Гаранту только письменное требование </w:t>
        <w:br/>
        <w:t>о предъявлении суммы обеспечения к оплате</w:t>
      </w:r>
      <w:r>
        <w:rPr>
          <w:sz w:val="24"/>
          <w:szCs w:val="24"/>
        </w:rPr>
        <w:t xml:space="preserve"> </w:t>
      </w:r>
      <w:r>
        <w:rPr>
          <w:bCs/>
          <w:sz w:val="24"/>
          <w:szCs w:val="24"/>
        </w:rPr>
        <w:t xml:space="preserve">как полностью, так и частично, с указанием </w:t>
        <w:br/>
        <w:t>на существо допущенных Поставщиком нарушений, в том числе в случаях:</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отказа Поставщика от исполнения обязательств по Договору, в том числе одностороннего отказа от Договора;</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отказа Поставщика от возврата неотработанного аванса при досрочном прекращении Договора / признании Договора недействительным;</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нарушения Поставщиком срока</w:t>
      </w:r>
      <w:r>
        <w:rPr>
          <w:sz w:val="24"/>
          <w:szCs w:val="24"/>
        </w:rPr>
        <w:t xml:space="preserve"> </w:t>
      </w:r>
      <w:r>
        <w:rPr>
          <w:bCs/>
          <w:sz w:val="24"/>
          <w:szCs w:val="24"/>
        </w:rPr>
        <w:t>поставки Товара, установленного пунктом 1.4 Договора более, чем на 60 (шестьдесят) календарных дней;</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введения арбитражным судом процедуры несостоятельности (банкротства)</w:t>
      </w:r>
      <w:r>
        <w:rPr>
          <w:sz w:val="24"/>
          <w:szCs w:val="24"/>
        </w:rPr>
        <w:t xml:space="preserve"> </w:t>
        <w:br/>
      </w:r>
      <w:r>
        <w:rPr>
          <w:bCs/>
          <w:sz w:val="24"/>
          <w:szCs w:val="24"/>
        </w:rPr>
        <w:t>в отношении Поставщика;</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 xml:space="preserve">непредоставления Поставщиком в срок не позднее чем за 30 (тридцать) календарных дней до даты истечения срока действия банковской гарантии новой банковской гарантии или изменения к действующей банковской гарантии в части увеличения срока ее действия на новый период, в случаях если срок исполнения обязательств Поставщиком </w:t>
        <w:br/>
        <w:t>по Договору превышает срок действия банковской гарантии либо срок исполнения обязательств продлен;</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sz w:val="24"/>
          <w:szCs w:val="24"/>
        </w:rPr>
        <w:t>признания Договора недействительным по причинам отсутствия необходимых корпоративных одобрений у Поставщика;</w:t>
      </w:r>
    </w:p>
    <w:p>
      <w:pPr>
        <w:pStyle w:val="Normal"/>
        <w:widowControl/>
        <w:numPr>
          <w:ilvl w:val="0"/>
          <w:numId w:val="5"/>
        </w:numPr>
        <w:tabs>
          <w:tab w:val="clear" w:pos="709"/>
          <w:tab w:val="left" w:pos="0" w:leader="none"/>
          <w:tab w:val="left" w:pos="1134" w:leader="none"/>
        </w:tabs>
        <w:ind w:left="0" w:firstLine="709"/>
        <w:jc w:val="both"/>
        <w:rPr>
          <w:bCs/>
          <w:sz w:val="24"/>
          <w:szCs w:val="24"/>
        </w:rPr>
      </w:pPr>
      <w:r>
        <w:rPr>
          <w:bCs/>
          <w:sz w:val="24"/>
          <w:szCs w:val="24"/>
        </w:rPr>
        <w:t xml:space="preserve">установления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shd w:val="clear" w:color="auto" w:fill="FFFFFF"/>
        <w:tabs>
          <w:tab w:val="clear" w:pos="709"/>
          <w:tab w:val="left" w:pos="0" w:leader="none"/>
          <w:tab w:val="left" w:pos="1418" w:leader="none"/>
        </w:tabs>
        <w:ind w:left="0" w:firstLine="709"/>
        <w:jc w:val="both"/>
        <w:rPr>
          <w:sz w:val="24"/>
          <w:szCs w:val="24"/>
        </w:rPr>
      </w:pPr>
      <w:r>
        <w:rPr>
          <w:sz w:val="24"/>
          <w:szCs w:val="24"/>
        </w:rPr>
        <w:t>Вместе с требованием о предъявлении суммы обеспечения к оплате Покупатель направляет Банку-Гаранту копию Банковской гарантии.</w:t>
      </w:r>
    </w:p>
    <w:p>
      <w:pPr>
        <w:pStyle w:val="Normal"/>
        <w:widowControl/>
        <w:shd w:val="clear" w:color="auto" w:fill="FFFFFF"/>
        <w:tabs>
          <w:tab w:val="clear" w:pos="709"/>
          <w:tab w:val="left" w:pos="1418" w:leader="none"/>
          <w:tab w:val="left" w:pos="1855" w:leader="none"/>
        </w:tabs>
        <w:ind w:firstLine="709"/>
        <w:jc w:val="both"/>
        <w:rPr>
          <w:bCs/>
          <w:sz w:val="24"/>
        </w:rPr>
      </w:pPr>
      <w:r>
        <w:rPr>
          <w:bCs/>
          <w:sz w:val="24"/>
        </w:rPr>
        <w:t>Банковской гарантией возврата авансового платежа может быть предусмотрено условие о предоставлении вместе с требованием о предъявлении суммы обеспечения к оплате платежного поручения Покупателя, подтверждающего факт осуществления Покупателем авансового платежа, с отметкой банка об исполнении.</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Платеж по Банковской гарантии – осуществляется Банком-Гарантом в течение 10 (десяти) рабочих дней после обращения Покупателя.</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Срок окончания действия Банковской гарантии – не ранее 70 (семидесяти) календарных дней после наступления даты поставки Товара.</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Внесение изменений и дополнений в Договор в период срока действия Банковской гарантии не освобождает Банк-Гарант от обязательств перед Покупателем </w:t>
        <w:br/>
        <w:t>по Банковской гарантии.</w:t>
      </w:r>
    </w:p>
    <w:p>
      <w:pPr>
        <w:pStyle w:val="ListParagraph"/>
        <w:widowControl/>
        <w:numPr>
          <w:ilvl w:val="2"/>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Банковская гарантия должна быть подчинена материальному праву Российской Федерации и предусматривать Арбитражный суд города Москвы в качестве органа, компетентного разрешать споры из Банковской гарантии.</w:t>
      </w:r>
    </w:p>
    <w:p>
      <w:pPr>
        <w:pStyle w:val="ListParagraph"/>
        <w:widowControl/>
        <w:numPr>
          <w:ilvl w:val="2"/>
          <w:numId w:val="2"/>
        </w:numPr>
        <w:shd w:val="clear" w:color="auto" w:fill="FFFFFF"/>
        <w:tabs>
          <w:tab w:val="clear" w:pos="709"/>
          <w:tab w:val="left" w:pos="0" w:leader="none"/>
          <w:tab w:val="left" w:pos="1418" w:leader="none"/>
          <w:tab w:val="left" w:pos="1701" w:leader="none"/>
        </w:tabs>
        <w:ind w:left="0" w:firstLine="709"/>
        <w:jc w:val="both"/>
        <w:rPr>
          <w:bCs/>
          <w:sz w:val="24"/>
          <w:szCs w:val="24"/>
        </w:rPr>
      </w:pPr>
      <w:r>
        <w:rPr>
          <w:bCs/>
          <w:sz w:val="24"/>
          <w:szCs w:val="24"/>
        </w:rPr>
        <w:t>Банковская гарантия не должна содержать условий или требований, противоречащих требованиям, указанным в пунктах 5.1.1 – 5.1.9 Договора, или делающих такие требования неисполнимыми.</w:t>
      </w:r>
    </w:p>
    <w:p>
      <w:pPr>
        <w:pStyle w:val="Normal"/>
        <w:widowControl/>
        <w:numPr>
          <w:ilvl w:val="1"/>
          <w:numId w:val="2"/>
        </w:numPr>
        <w:tabs>
          <w:tab w:val="clear" w:pos="709"/>
          <w:tab w:val="left" w:pos="0" w:leader="none"/>
          <w:tab w:val="left" w:pos="1134" w:leader="none"/>
        </w:tabs>
        <w:ind w:left="0" w:firstLine="709"/>
        <w:jc w:val="both"/>
        <w:rPr>
          <w:bCs/>
          <w:sz w:val="24"/>
          <w:szCs w:val="24"/>
        </w:rPr>
      </w:pPr>
      <w:r>
        <w:rPr>
          <w:bCs/>
          <w:sz w:val="24"/>
          <w:szCs w:val="24"/>
        </w:rPr>
        <w:t>Банк-Гарант, выдавший Банковскую гарантию, должен соответствовать критериям, установленным в Приложении № 3 к Договору.</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Банковская гарантия возвращается Банку-Гаранту или Поставщику после прекращения ее действия в течение 10 (десяти) рабочих дней с даты получения Покупателем соответствующего письменного уведомления.</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Сумма Банковской гарантии возврата авансового платежа по согласованию </w:t>
        <w:br/>
        <w:t>с Покупателем может быть уменьшена пропорционально сумме выполненных Поставщиком обязательств по Договору при условии подтверждения их выполнения.</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В случае увеличения Цены Договора или продления срока выполнения Поставщиком обязательств, возникших из Договора или в связи с ним, Банковская гарантия должна быть заменена на новую или в нее должны быть внесены изменения, оформленные отдельным документом.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В случаях</w:t>
      </w:r>
      <w:r>
        <w:rPr>
          <w:bCs/>
          <w:sz w:val="24"/>
          <w:szCs w:val="24"/>
          <w:lang w:val="en-US"/>
        </w:rPr>
        <w:t>:</w:t>
      </w:r>
      <w:r>
        <w:rPr>
          <w:bCs/>
          <w:sz w:val="24"/>
          <w:szCs w:val="24"/>
        </w:rPr>
        <w:t xml:space="preserve"> </w:t>
      </w:r>
    </w:p>
    <w:p>
      <w:pPr>
        <w:pStyle w:val="ListParagraph"/>
        <w:widowControl/>
        <w:numPr>
          <w:ilvl w:val="1"/>
          <w:numId w:val="7"/>
        </w:numPr>
        <w:shd w:val="clear" w:color="auto" w:fill="FFFFFF"/>
        <w:tabs>
          <w:tab w:val="clear" w:pos="709"/>
          <w:tab w:val="left" w:pos="0" w:leader="none"/>
        </w:tabs>
        <w:ind w:left="0" w:firstLine="709"/>
        <w:jc w:val="both"/>
        <w:rPr>
          <w:bCs/>
          <w:sz w:val="24"/>
          <w:szCs w:val="24"/>
        </w:rPr>
      </w:pPr>
      <w:r>
        <w:rPr>
          <w:bCs/>
          <w:sz w:val="24"/>
          <w:szCs w:val="24"/>
        </w:rPr>
        <w:t>отзыва лицензии Банка-Гаранта по решению Центрального банка Российской Федерации либо наступления иных обстоятельств, в результате которых Банк-Гарант утрачивает соответствие требованиям, установленным Договором, или</w:t>
      </w:r>
    </w:p>
    <w:p>
      <w:pPr>
        <w:pStyle w:val="ListParagraph"/>
        <w:widowControl/>
        <w:numPr>
          <w:ilvl w:val="1"/>
          <w:numId w:val="7"/>
        </w:numPr>
        <w:shd w:val="clear" w:color="auto" w:fill="FFFFFF"/>
        <w:tabs>
          <w:tab w:val="clear" w:pos="709"/>
          <w:tab w:val="left" w:pos="0" w:leader="none"/>
        </w:tabs>
        <w:ind w:left="0" w:firstLine="709"/>
        <w:jc w:val="both"/>
        <w:rPr>
          <w:bCs/>
          <w:sz w:val="24"/>
          <w:szCs w:val="24"/>
        </w:rPr>
      </w:pPr>
      <w:r>
        <w:rPr>
          <w:bCs/>
          <w:sz w:val="24"/>
          <w:szCs w:val="24"/>
        </w:rPr>
        <w:t>наступления иных обстоятельств до срока окончания действия Банковской гарантии, в связи с которыми Банковская гарантия теряет свою силу или предъявление требований по Банковской гарантии не представляется возможным,</w:t>
      </w:r>
    </w:p>
    <w:p>
      <w:pPr>
        <w:pStyle w:val="ListParagraph"/>
        <w:shd w:val="clear" w:color="auto" w:fill="FFFFFF"/>
        <w:tabs>
          <w:tab w:val="clear" w:pos="709"/>
          <w:tab w:val="left" w:pos="0" w:leader="none"/>
        </w:tabs>
        <w:ind w:left="0" w:firstLine="709"/>
        <w:jc w:val="both"/>
        <w:rPr>
          <w:bCs/>
          <w:sz w:val="24"/>
          <w:szCs w:val="24"/>
        </w:rPr>
      </w:pPr>
      <w:r>
        <w:rPr>
          <w:bCs/>
          <w:sz w:val="24"/>
          <w:szCs w:val="24"/>
        </w:rPr>
        <w:t>Поставщик обязан предоставить Покупателю новую Банковскую гарантию</w:t>
      </w:r>
      <w:r>
        <w:rPr>
          <w:sz w:val="24"/>
          <w:szCs w:val="24"/>
        </w:rPr>
        <w:t xml:space="preserve"> </w:t>
      </w:r>
      <w:r>
        <w:rPr>
          <w:bCs/>
          <w:sz w:val="24"/>
          <w:szCs w:val="24"/>
        </w:rPr>
        <w:t>другого Банка-Гаранта, согласованного с Покупателем, соответствующую требованиям, установленным Договором, не позднее 10 (десяти) календарных дней с даты, когда ему стало известно либо должно стать известным об указанных обстоятельствах, либо с даты обращения Покупателя с требованием о замене Банковской гарантии.</w:t>
      </w:r>
    </w:p>
    <w:p>
      <w:pPr>
        <w:pStyle w:val="ListParagraph"/>
        <w:shd w:val="clear" w:color="auto" w:fill="FFFFFF"/>
        <w:tabs>
          <w:tab w:val="clear" w:pos="709"/>
          <w:tab w:val="left" w:pos="0" w:leader="none"/>
        </w:tabs>
        <w:ind w:left="0" w:firstLine="709"/>
        <w:jc w:val="both"/>
        <w:rPr>
          <w:bCs/>
          <w:sz w:val="24"/>
          <w:szCs w:val="24"/>
        </w:rPr>
      </w:pPr>
      <w:r>
        <w:rPr>
          <w:bCs/>
          <w:sz w:val="24"/>
          <w:szCs w:val="24"/>
        </w:rPr>
        <w:t>В случае непредставления Поставщиком в установленный срок новой Банковской гарантии Покупатель вправе удерживать сумму непогашенного (незачтенного) аванса</w:t>
      </w:r>
      <w:r>
        <w:rPr>
          <w:rStyle w:val="FootnoteReference"/>
          <w:sz w:val="24"/>
          <w:szCs w:val="24"/>
        </w:rPr>
        <w:footnoteReference w:id="11"/>
      </w:r>
      <w:r>
        <w:rPr>
          <w:bCs/>
          <w:sz w:val="24"/>
          <w:szCs w:val="24"/>
        </w:rPr>
        <w:t xml:space="preserve"> при выплате каждого платежа, причитающегося Поставщику, до полного зачета непогашенного (незачтенного) аванса, </w:t>
      </w:r>
      <w:r>
        <w:rPr>
          <w:sz w:val="24"/>
          <w:szCs w:val="24"/>
        </w:rPr>
        <w:t>при выплате каждого платежа, причитающегося Поставщику.</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Во всех случаях, предусмотренных Договором, Поставщик вправе представить Покупателю вместо новой Банковской гарантии изменения к действующей Банковской гарантии, приводящие ее в соответствие с требованиями Договора, при условии, что условиями действующей Банковской гарантии прямо предусмотрена возможность внесения в нее изменений. Любое изменение, внесенное Банком-Гарантом в условия Банковской гарантии, должно быть письменно согласовано с Покупателем.</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Положения пункта 2.5.1 Договора применяются, если совокупный размер авансовых платежей, уплаченных и подлежащих уплате по Договору в соответствии </w:t>
        <w:br/>
        <w:t xml:space="preserve">с выставленными счетами Поставщика составляет 5 000 000 (Пять миллионов) рублей </w:t>
        <w:br/>
        <w:t xml:space="preserve">и более без учета НДС. </w:t>
      </w:r>
    </w:p>
    <w:p>
      <w:pPr>
        <w:pStyle w:val="ListParagraph"/>
        <w:widowControl/>
        <w:numPr>
          <w:ilvl w:val="1"/>
          <w:numId w:val="2"/>
        </w:numPr>
        <w:shd w:val="clear" w:color="auto" w:fill="FFFFFF"/>
        <w:tabs>
          <w:tab w:val="clear" w:pos="709"/>
          <w:tab w:val="left" w:pos="1134" w:leader="none"/>
          <w:tab w:val="left" w:pos="1985" w:leader="none"/>
        </w:tabs>
        <w:ind w:left="0" w:firstLine="709"/>
        <w:jc w:val="both"/>
        <w:rPr>
          <w:bCs/>
          <w:sz w:val="24"/>
          <w:szCs w:val="24"/>
        </w:rPr>
      </w:pPr>
      <w:r>
        <w:rPr>
          <w:sz w:val="24"/>
          <w:szCs w:val="24"/>
          <w:highlight w:val="lightGray"/>
        </w:rPr>
        <w:t xml:space="preserve">Стороны вправе изменить способы и порядок обеспечения обязательств </w:t>
        <w:br/>
        <w:t>по Договору, указанные в настоящем разделе, путем подписания дополнительного соглашения к Договору</w:t>
      </w:r>
      <w:r>
        <w:rPr>
          <w:rStyle w:val="FootnoteReference"/>
          <w:sz w:val="24"/>
          <w:szCs w:val="24"/>
          <w:highlight w:val="lightGray"/>
        </w:rPr>
        <w:footnoteReference w:id="12"/>
      </w:r>
      <w:r>
        <w:rPr>
          <w:sz w:val="24"/>
          <w:szCs w:val="24"/>
          <w:highlight w:val="lightGray"/>
        </w:rPr>
        <w:t>.</w:t>
      </w:r>
    </w:p>
    <w:p>
      <w:pPr>
        <w:pStyle w:val="ListParagraph"/>
        <w:widowControl/>
        <w:numPr>
          <w:ilvl w:val="1"/>
          <w:numId w:val="2"/>
        </w:numPr>
        <w:shd w:val="clear" w:color="auto" w:fill="FFFFFF"/>
        <w:tabs>
          <w:tab w:val="clear" w:pos="709"/>
        </w:tabs>
        <w:ind w:left="0" w:firstLine="709"/>
        <w:jc w:val="both"/>
        <w:rPr>
          <w:bCs/>
          <w:sz w:val="24"/>
          <w:szCs w:val="24"/>
        </w:rPr>
      </w:pPr>
      <w:r>
        <w:rPr>
          <w:sz w:val="24"/>
        </w:rPr>
        <w:t xml:space="preserve">Принадлежащее Покупателю по Банковской гарантии право требования </w:t>
        <w:br/>
        <w:t>к Банку-Гаранту может быть передано новому бенефициару – компании, входящей в Группу РусГидро, с последующим письменным уведомлением Покупателем Банка-Гаранта о смене бенефициара по Банковской гарантии.</w:t>
      </w:r>
    </w:p>
    <w:p>
      <w:pPr>
        <w:pStyle w:val="Normal"/>
        <w:widowControl/>
        <w:shd w:val="clear" w:color="auto" w:fill="FFFFFF"/>
        <w:tabs>
          <w:tab w:val="clear" w:pos="709"/>
          <w:tab w:val="left" w:pos="0" w:leader="none"/>
          <w:tab w:val="left" w:pos="1134" w:leader="none"/>
        </w:tabs>
        <w:ind w:left="1419" w:hanging="0"/>
        <w:jc w:val="both"/>
        <w:rPr>
          <w:bCs/>
          <w:sz w:val="24"/>
          <w:szCs w:val="24"/>
        </w:rPr>
      </w:pPr>
      <w:r>
        <w:rPr>
          <w:bCs/>
          <w:sz w:val="24"/>
          <w:szCs w:val="24"/>
        </w:rPr>
      </w:r>
    </w:p>
    <w:p>
      <w:pPr>
        <w:pStyle w:val="Normal"/>
        <w:numPr>
          <w:ilvl w:val="0"/>
          <w:numId w:val="2"/>
        </w:numPr>
        <w:shd w:val="clear" w:color="auto" w:fill="FFFFFF"/>
        <w:tabs>
          <w:tab w:val="clear" w:pos="709"/>
          <w:tab w:val="left" w:pos="284" w:leader="none"/>
        </w:tabs>
        <w:ind w:left="0" w:hanging="0"/>
        <w:jc w:val="center"/>
        <w:rPr>
          <w:b/>
          <w:bCs/>
          <w:sz w:val="24"/>
          <w:szCs w:val="24"/>
        </w:rPr>
      </w:pPr>
      <w:r>
        <w:rPr>
          <w:b/>
          <w:bCs/>
          <w:sz w:val="24"/>
          <w:szCs w:val="24"/>
        </w:rPr>
        <w:t>Ответственность Сторон</w:t>
      </w:r>
    </w:p>
    <w:p>
      <w:pPr>
        <w:pStyle w:val="ListParagraph"/>
        <w:numPr>
          <w:ilvl w:val="1"/>
          <w:numId w:val="2"/>
        </w:numPr>
        <w:tabs>
          <w:tab w:val="clear" w:pos="709"/>
          <w:tab w:val="left" w:pos="1276" w:leader="none"/>
        </w:tabs>
        <w:ind w:left="0" w:firstLine="709"/>
        <w:jc w:val="both"/>
        <w:rPr>
          <w:sz w:val="24"/>
          <w:szCs w:val="24"/>
        </w:rPr>
      </w:pPr>
      <w:r>
        <w:rPr>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 и Договором. Меры ответственности, предусмотренные Договором, не освобождают Стороны от ответственности, установленной законодательством Российской Федерации </w:t>
        <w:br/>
        <w:t xml:space="preserve">и должны рассматриваться как дополнительные, если Договором прямо не предусмотрено иное. </w:t>
      </w:r>
    </w:p>
    <w:p>
      <w:pPr>
        <w:pStyle w:val="Normal"/>
        <w:widowControl/>
        <w:numPr>
          <w:ilvl w:val="1"/>
          <w:numId w:val="2"/>
        </w:numPr>
        <w:shd w:val="clear" w:color="auto" w:fill="FFFFFF"/>
        <w:tabs>
          <w:tab w:val="clear" w:pos="709"/>
          <w:tab w:val="left" w:pos="1276" w:leader="none"/>
        </w:tabs>
        <w:ind w:left="0" w:firstLine="709"/>
        <w:jc w:val="both"/>
        <w:rPr>
          <w:bCs/>
          <w:sz w:val="24"/>
          <w:szCs w:val="24"/>
        </w:rPr>
      </w:pPr>
      <w:r>
        <w:rPr>
          <w:bCs/>
          <w:sz w:val="24"/>
          <w:szCs w:val="24"/>
        </w:rPr>
        <w:t>Покупатель не несет ответственности за ненадлежащее исполнение обязательств 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pPr>
        <w:pStyle w:val="Normal"/>
        <w:widowControl/>
        <w:numPr>
          <w:ilvl w:val="1"/>
          <w:numId w:val="2"/>
        </w:numPr>
        <w:tabs>
          <w:tab w:val="clear" w:pos="709"/>
          <w:tab w:val="left" w:pos="1276" w:leader="none"/>
        </w:tabs>
        <w:ind w:left="0" w:firstLine="709"/>
        <w:jc w:val="both"/>
        <w:rPr>
          <w:bCs/>
          <w:sz w:val="24"/>
          <w:szCs w:val="24"/>
        </w:rPr>
      </w:pPr>
      <w:r>
        <w:rPr>
          <w:bCs/>
          <w:sz w:val="24"/>
          <w:szCs w:val="24"/>
        </w:rPr>
        <w:t xml:space="preserve">В случае нарушения Покупателем сроков оплаты, установленных разделом 2 Договора (за исключением срока оплаты авансовых платежей), Поставщик вправе требовать уплаты Покупателем исключительной неустойки в размере 0,1 (ноль целых и одной десятой) процента от несвоевременно оплаченной суммы за каждый день просрочки, начиная </w:t>
        <w:br/>
        <w:t xml:space="preserve">с 31 (тридцать первого) календарного дня просрочки (неустойка с 1 по 30 день просрочки </w:t>
        <w:br/>
        <w:t>не начисляется), но не более 5%  от несвоевременно оплаченной суммы.</w:t>
      </w:r>
    </w:p>
    <w:p>
      <w:pPr>
        <w:pStyle w:val="Normal"/>
        <w:widowControl/>
        <w:numPr>
          <w:ilvl w:val="1"/>
          <w:numId w:val="2"/>
        </w:numPr>
        <w:tabs>
          <w:tab w:val="clear" w:pos="709"/>
          <w:tab w:val="left" w:pos="1276" w:leader="none"/>
        </w:tabs>
        <w:ind w:left="0" w:firstLine="709"/>
        <w:jc w:val="both"/>
        <w:rPr>
          <w:sz w:val="24"/>
          <w:szCs w:val="24"/>
        </w:rPr>
      </w:pPr>
      <w:r>
        <w:rPr>
          <w:bCs/>
          <w:sz w:val="24"/>
          <w:szCs w:val="24"/>
        </w:rPr>
        <w:t xml:space="preserve">В случае </w:t>
      </w:r>
      <w:r>
        <w:rPr>
          <w:sz w:val="24"/>
          <w:szCs w:val="24"/>
        </w:rPr>
        <w:t>нарушения Поставщиком обязательств по поставке Товара (</w:t>
      </w:r>
      <w:r>
        <w:rPr>
          <w:rFonts w:eastAsia="Calibri"/>
          <w:bCs/>
          <w:sz w:val="24"/>
          <w:szCs w:val="24"/>
        </w:rPr>
        <w:t>нарушение срока поставки, недопоставка)</w:t>
      </w:r>
      <w:r>
        <w:rPr>
          <w:sz w:val="24"/>
          <w:szCs w:val="24"/>
        </w:rPr>
        <w:t>, Покупатель вправе требовать уплаты Поставщиком неустойки в размере 0,1 (ноль целых и одной десятой) процента от Цены Договора за каждый день просрочки.</w:t>
      </w:r>
    </w:p>
    <w:p>
      <w:pPr>
        <w:pStyle w:val="ListParagraph"/>
        <w:widowControl/>
        <w:numPr>
          <w:ilvl w:val="1"/>
          <w:numId w:val="16"/>
        </w:numPr>
        <w:tabs>
          <w:tab w:val="clear" w:pos="709"/>
          <w:tab w:val="left" w:pos="1276" w:leader="none"/>
        </w:tabs>
        <w:ind w:left="0" w:firstLine="709"/>
        <w:jc w:val="both"/>
        <w:rPr>
          <w:sz w:val="24"/>
          <w:szCs w:val="24"/>
        </w:rPr>
      </w:pPr>
      <w:r>
        <w:rPr>
          <w:sz w:val="24"/>
          <w:szCs w:val="24"/>
        </w:rPr>
        <w:t>В случае несвоевременного устранения Поставщиком выявленных недостатков Товара, Покупатель вправе требовать уплаты Поставщиком:</w:t>
      </w:r>
    </w:p>
    <w:p>
      <w:pPr>
        <w:pStyle w:val="ListParagraph"/>
        <w:widowControl/>
        <w:numPr>
          <w:ilvl w:val="2"/>
          <w:numId w:val="16"/>
        </w:numPr>
        <w:ind w:left="0" w:firstLine="709"/>
        <w:jc w:val="both"/>
        <w:rPr>
          <w:sz w:val="24"/>
          <w:szCs w:val="24"/>
        </w:rPr>
      </w:pPr>
      <w:r>
        <w:rPr>
          <w:sz w:val="24"/>
          <w:szCs w:val="24"/>
        </w:rPr>
        <w:t xml:space="preserve">Неустойки в размере 0,1 (ноль целых и одной десятой) процента от Цены Договора за каждый день просрочки – в случае несвоевременного устранения выявленных недостатков Товара, влияющих на возможность эксплуатации (использования) Товара </w:t>
        <w:br/>
        <w:t>в целом.</w:t>
      </w:r>
    </w:p>
    <w:p>
      <w:pPr>
        <w:pStyle w:val="ListParagraph"/>
        <w:widowControl/>
        <w:numPr>
          <w:ilvl w:val="2"/>
          <w:numId w:val="16"/>
        </w:numPr>
        <w:ind w:left="0" w:firstLine="709"/>
        <w:jc w:val="both"/>
        <w:rPr>
          <w:sz w:val="24"/>
          <w:szCs w:val="24"/>
        </w:rPr>
      </w:pPr>
      <w:r>
        <w:rPr>
          <w:sz w:val="24"/>
          <w:szCs w:val="24"/>
        </w:rPr>
        <w:t>Неустойки в размере 0,1 (ноль целых и одной десятой) процента от стоимости некачественного Товара за каждый день просрочки – в случае несвоевременного устранения выявленных недостатков товара, не влияющих на возможность эксплуатации (использования) Товара в целом.</w:t>
      </w:r>
    </w:p>
    <w:p>
      <w:pPr>
        <w:pStyle w:val="ListParagraph"/>
        <w:widowControl/>
        <w:numPr>
          <w:ilvl w:val="1"/>
          <w:numId w:val="16"/>
        </w:numPr>
        <w:tabs>
          <w:tab w:val="clear" w:pos="709"/>
          <w:tab w:val="left" w:pos="1276" w:leader="none"/>
          <w:tab w:val="left" w:pos="1701" w:leader="none"/>
        </w:tabs>
        <w:ind w:left="0" w:firstLine="709"/>
        <w:jc w:val="both"/>
        <w:rPr>
          <w:sz w:val="24"/>
          <w:szCs w:val="24"/>
        </w:rPr>
      </w:pPr>
      <w:r>
        <w:rPr>
          <w:rFonts w:eastAsia="Calibri"/>
          <w:bCs/>
          <w:sz w:val="24"/>
          <w:szCs w:val="24"/>
        </w:rPr>
        <w:t xml:space="preserve">На сумму подлежащего возврату аванса начисляется неустойка в размере </w:t>
        <w:br/>
        <w:t>0,1 (ноль целых и одной десятой) процента с даты, установленной для возврата аванса</w:t>
      </w:r>
      <w:r>
        <w:rPr>
          <w:sz w:val="24"/>
          <w:szCs w:val="24"/>
        </w:rPr>
        <w:t>.</w:t>
      </w:r>
    </w:p>
    <w:p>
      <w:pPr>
        <w:pStyle w:val="ListParagraph"/>
        <w:widowControl/>
        <w:numPr>
          <w:ilvl w:val="1"/>
          <w:numId w:val="16"/>
        </w:numPr>
        <w:shd w:val="clear" w:color="auto" w:fill="FFFFFF"/>
        <w:tabs>
          <w:tab w:val="clear" w:pos="709"/>
          <w:tab w:val="left" w:pos="1276" w:leader="none"/>
        </w:tabs>
        <w:ind w:left="0" w:firstLine="709"/>
        <w:jc w:val="both"/>
        <w:rPr>
          <w:bCs/>
          <w:sz w:val="24"/>
          <w:szCs w:val="24"/>
        </w:rPr>
      </w:pPr>
      <w:r>
        <w:rPr>
          <w:bCs/>
          <w:sz w:val="24"/>
          <w:szCs w:val="24"/>
        </w:rPr>
        <w:t xml:space="preserve">В случае нарушения Поставщиком требований пропускного </w:t>
        <w:br/>
        <w:t xml:space="preserve">и внутриобъектового режима, требований охраны труда, пожарной и промышленной безопасности, если они зафиксированы Покупателем или уполномоченным государственным органом, Покупатель, помимо возмещения убытков, вправе требовать уплаты Поставщиком штрафа в размерах, установленных Приложением № 4 к Договору. </w:t>
      </w:r>
    </w:p>
    <w:p>
      <w:pPr>
        <w:pStyle w:val="ListParagraph"/>
        <w:widowControl/>
        <w:numPr>
          <w:ilvl w:val="1"/>
          <w:numId w:val="16"/>
        </w:numPr>
        <w:shd w:val="clear" w:color="auto" w:fill="FFFFFF"/>
        <w:tabs>
          <w:tab w:val="clear" w:pos="709"/>
          <w:tab w:val="left" w:pos="1276" w:leader="none"/>
        </w:tabs>
        <w:ind w:left="0" w:firstLine="709"/>
        <w:jc w:val="both"/>
        <w:rPr>
          <w:bCs/>
          <w:sz w:val="24"/>
          <w:szCs w:val="24"/>
        </w:rPr>
      </w:pPr>
      <w:r>
        <w:rPr>
          <w:bCs/>
          <w:sz w:val="24"/>
          <w:szCs w:val="24"/>
        </w:rPr>
        <w:t xml:space="preserve">Если в результате составления и выставления Поставщиком счетов-фактур </w:t>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p>
    <w:p>
      <w:pPr>
        <w:pStyle w:val="ListParagraph"/>
        <w:widowControl/>
        <w:shd w:val="clear" w:color="auto" w:fill="FFFFFF"/>
        <w:ind w:left="0" w:firstLine="709"/>
        <w:jc w:val="both"/>
        <w:rPr>
          <w:bCs/>
          <w:sz w:val="24"/>
          <w:szCs w:val="24"/>
        </w:rPr>
      </w:pPr>
      <w:r>
        <w:rPr>
          <w:bCs/>
          <w:sz w:val="24"/>
          <w:szCs w:val="24"/>
        </w:rPr>
        <w:t>В случае нарушения Поставщиком сроков предоставления счетов-фактур, установленных пунктом 2.8 Договора, Покупатель вправе требовать уплаты Поставщиком штрафа в размере 50 000 (пятидесяти тысяч) рублей за каждый случай нарушения.</w:t>
      </w:r>
    </w:p>
    <w:p>
      <w:pPr>
        <w:pStyle w:val="ListParagraph"/>
        <w:widowControl/>
        <w:numPr>
          <w:ilvl w:val="1"/>
          <w:numId w:val="16"/>
        </w:numPr>
        <w:shd w:val="clear" w:color="auto" w:fill="FFFFFF"/>
        <w:ind w:left="0" w:firstLine="709"/>
        <w:jc w:val="both"/>
        <w:rPr>
          <w:bCs/>
          <w:sz w:val="24"/>
          <w:szCs w:val="24"/>
        </w:rPr>
      </w:pPr>
      <w:r>
        <w:rPr>
          <w:bCs/>
          <w:sz w:val="24"/>
          <w:szCs w:val="24"/>
        </w:rPr>
        <w:t>За непредоставление либо несвоевременное предоставление / переоформление Поставщиком банковских гарантий, предусмотренных Договором, в порядке и сроки, установленные разделом 5 Договора, Покупатель вправе требовать уплаты Поставщиком неустойки в размере 0,03 (ноль целых и трех сотых) процента от Цены Договора за каждый день просрочки.</w:t>
      </w:r>
    </w:p>
    <w:p>
      <w:pPr>
        <w:pStyle w:val="ListParagraph"/>
        <w:widowControl/>
        <w:numPr>
          <w:ilvl w:val="1"/>
          <w:numId w:val="16"/>
        </w:numPr>
        <w:shd w:val="clear" w:color="auto" w:fill="FFFFFF"/>
        <w:ind w:left="0" w:firstLine="709"/>
        <w:jc w:val="both"/>
        <w:rPr>
          <w:bCs/>
          <w:sz w:val="24"/>
          <w:szCs w:val="24"/>
        </w:rPr>
      </w:pPr>
      <w:r>
        <w:rPr>
          <w:bCs/>
          <w:sz w:val="24"/>
          <w:szCs w:val="24"/>
        </w:rPr>
        <w:t xml:space="preserve">Поставщик несет ответственность перед Покупателем за причиненный ущерб </w:t>
        <w:br/>
        <w:t xml:space="preserve">в размере фактически понесенных и документально подтвержденных расходов, возникших </w:t>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pPr>
        <w:pStyle w:val="ListParagraph"/>
        <w:widowControl/>
        <w:numPr>
          <w:ilvl w:val="1"/>
          <w:numId w:val="16"/>
        </w:numPr>
        <w:shd w:val="clear" w:color="auto" w:fill="FFFFFF"/>
        <w:ind w:left="0" w:firstLine="709"/>
        <w:jc w:val="both"/>
        <w:rPr>
          <w:bCs/>
          <w:sz w:val="24"/>
          <w:szCs w:val="24"/>
        </w:rPr>
      </w:pPr>
      <w:r>
        <w:rPr>
          <w:bCs/>
          <w:sz w:val="24"/>
          <w:szCs w:val="24"/>
        </w:rPr>
        <w:t xml:space="preserve">Обязанность по уплате неустойки и / или штрафов, возмещения убытков, предусмотренных Договором, возникает у любой из Сторон только при условии получения письменного требования другой Стороны. </w:t>
      </w:r>
    </w:p>
    <w:p>
      <w:pPr>
        <w:pStyle w:val="ListParagraph"/>
        <w:widowControl/>
        <w:numPr>
          <w:ilvl w:val="1"/>
          <w:numId w:val="16"/>
        </w:numPr>
        <w:shd w:val="clear" w:color="auto" w:fill="FFFFFF"/>
        <w:ind w:left="0" w:firstLine="709"/>
        <w:jc w:val="both"/>
        <w:rPr>
          <w:bCs/>
          <w:sz w:val="24"/>
          <w:szCs w:val="24"/>
        </w:rPr>
      </w:pPr>
      <w:r>
        <w:rPr>
          <w:bCs/>
          <w:sz w:val="24"/>
          <w:szCs w:val="24"/>
        </w:rPr>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pPr>
        <w:pStyle w:val="ListParagraph"/>
        <w:widowControl/>
        <w:numPr>
          <w:ilvl w:val="1"/>
          <w:numId w:val="16"/>
        </w:numPr>
        <w:shd w:val="clear" w:color="auto" w:fill="FFFFFF"/>
        <w:ind w:left="0" w:firstLine="709"/>
        <w:jc w:val="both"/>
        <w:rPr>
          <w:bCs/>
          <w:sz w:val="24"/>
          <w:szCs w:val="24"/>
        </w:rPr>
      </w:pPr>
      <w:r>
        <w:rPr>
          <w:bCs/>
          <w:sz w:val="24"/>
          <w:szCs w:val="24"/>
        </w:rPr>
        <w:t>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pPr>
        <w:pStyle w:val="ListParagraph"/>
        <w:widowControl/>
        <w:numPr>
          <w:ilvl w:val="1"/>
          <w:numId w:val="16"/>
        </w:numPr>
        <w:shd w:val="clear" w:color="auto" w:fill="FFFFFF"/>
        <w:ind w:left="0" w:firstLine="709"/>
        <w:jc w:val="both"/>
        <w:rPr>
          <w:bCs/>
          <w:sz w:val="24"/>
          <w:szCs w:val="24"/>
        </w:rPr>
      </w:pPr>
      <w:r>
        <w:rPr>
          <w:bCs/>
          <w:sz w:val="24"/>
          <w:szCs w:val="24"/>
        </w:rPr>
        <w:t xml:space="preserve">Определение суммы неустойки, подлежащей уплате, возможно в досудебном порядке при признании суммы неустойки Стороной, нарушившей обязательства </w:t>
        <w:br/>
        <w:t xml:space="preserve">по Договору, и письменном уведомлении об этом другой Стороны. В случае непризнания Стороной, нарушившей обязательства по Договору, суммы неустойки, указанной </w:t>
        <w:br/>
        <w:t>в письменном требовании,</w:t>
      </w:r>
      <w:r>
        <w:rPr>
          <w:sz w:val="24"/>
          <w:szCs w:val="24"/>
        </w:rPr>
        <w:t xml:space="preserve"> </w:t>
      </w:r>
      <w:r>
        <w:rPr>
          <w:bCs/>
          <w:sz w:val="24"/>
          <w:szCs w:val="24"/>
        </w:rPr>
        <w:t>сумма неустойки, подлежащая уплате виновной Стороной, определяется на основании решения суда.</w:t>
      </w:r>
    </w:p>
    <w:p>
      <w:pPr>
        <w:pStyle w:val="ListParagraph"/>
        <w:widowControl/>
        <w:numPr>
          <w:ilvl w:val="1"/>
          <w:numId w:val="16"/>
        </w:numPr>
        <w:shd w:val="clear" w:color="auto" w:fill="FFFFFF"/>
        <w:ind w:left="0" w:firstLine="709"/>
        <w:jc w:val="both"/>
        <w:rPr>
          <w:bCs/>
          <w:sz w:val="24"/>
          <w:szCs w:val="24"/>
        </w:rPr>
      </w:pPr>
      <w:r>
        <w:rPr>
          <w:bCs/>
          <w:sz w:val="24"/>
          <w:szCs w:val="24"/>
        </w:rPr>
        <w:t xml:space="preserve">В случае нарушения Поставщиком срока предоставления документов, установленного пунктом 4.8 Договора (если такое нарушение привело к невыполнению Покупателем требований по локализации оборудования, установленных законодательством Российской Федерации к оборудованию, эксплуатируемому по итогам модернизации (реконструкции) или строительства генерирующих объектов тепловых электростанций </w:t>
        <w:br/>
        <w:t>в неценовых зонах оптового рынка), Покупатель вправе требовать уплаты Поставщиком  штрафа в размере 10 (десяти) процентов от стоимости Товара. Покупатель вправе удержать сумму такого штрафа из любого платежа, причитающегося Поставщику по Договору</w:t>
      </w:r>
      <w:r>
        <w:rPr>
          <w:rStyle w:val="FootnoteReference"/>
          <w:bCs/>
          <w:sz w:val="24"/>
          <w:szCs w:val="24"/>
        </w:rPr>
        <w:footnoteReference w:id="13"/>
      </w:r>
      <w:r>
        <w:rPr>
          <w:bCs/>
          <w:sz w:val="24"/>
          <w:szCs w:val="24"/>
        </w:rPr>
        <w:t>.</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0" w:leader="none"/>
        </w:tabs>
        <w:ind w:left="0" w:hanging="360"/>
        <w:jc w:val="center"/>
        <w:rPr>
          <w:b/>
          <w:bCs/>
          <w:sz w:val="24"/>
          <w:szCs w:val="24"/>
        </w:rPr>
      </w:pPr>
      <w:r>
        <w:rPr>
          <w:b/>
          <w:bCs/>
          <w:sz w:val="24"/>
          <w:szCs w:val="24"/>
        </w:rPr>
        <w:t>Конфиденциальность</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Под конфиденциальной информацией (далее – «Информация») для целей Договора понимается любая информация, передаваемая Покупателем Поставщику в устной либо документарной форме, в виде электронного файла, в любом другом виде, а также полученная Поставщиком самостоятельно в ходе визитов на территорию Покупателя </w:t>
        <w:br/>
        <w:t>в процессе проведения переговоров, заключения и исполнения Договора, в отношении которой соблюдаются следующие условия:</w:t>
      </w:r>
    </w:p>
    <w:p>
      <w:pPr>
        <w:pStyle w:val="Normal"/>
        <w:widowControl/>
        <w:numPr>
          <w:ilvl w:val="0"/>
          <w:numId w:val="6"/>
        </w:numPr>
        <w:tabs>
          <w:tab w:val="left" w:pos="0" w:leader="none"/>
          <w:tab w:val="left" w:pos="709" w:leader="none"/>
          <w:tab w:val="left" w:pos="1418" w:leader="none"/>
        </w:tabs>
        <w:ind w:left="0" w:firstLine="709"/>
        <w:jc w:val="both"/>
        <w:rPr>
          <w:bCs/>
          <w:sz w:val="24"/>
          <w:szCs w:val="24"/>
        </w:rPr>
      </w:pPr>
      <w:r>
        <w:rPr>
          <w:bCs/>
          <w:sz w:val="24"/>
          <w:szCs w:val="24"/>
        </w:rPr>
        <w:t>данная Информация имеет действительную или потенциальную коммерческую ценность для Покупателя в силу неизвестности ее третьим лица</w:t>
      </w:r>
      <w:r>
        <w:rPr>
          <w:sz w:val="24"/>
          <w:szCs w:val="24"/>
        </w:rPr>
        <w:t xml:space="preserve">м, в том числе по причине </w:t>
      </w:r>
      <w:r>
        <w:rPr>
          <w:bCs/>
          <w:sz w:val="24"/>
          <w:szCs w:val="24"/>
        </w:rPr>
        <w:t>введения в отношении нее режима Коммерческой тайны;</w:t>
      </w:r>
    </w:p>
    <w:p>
      <w:pPr>
        <w:pStyle w:val="Normal"/>
        <w:widowControl/>
        <w:numPr>
          <w:ilvl w:val="0"/>
          <w:numId w:val="6"/>
        </w:numPr>
        <w:tabs>
          <w:tab w:val="left" w:pos="0" w:leader="none"/>
          <w:tab w:val="left" w:pos="709" w:leader="none"/>
          <w:tab w:val="left" w:pos="1418" w:leader="none"/>
        </w:tabs>
        <w:ind w:left="0" w:firstLine="709"/>
        <w:jc w:val="both"/>
        <w:rPr>
          <w:bCs/>
          <w:sz w:val="24"/>
          <w:szCs w:val="24"/>
        </w:rPr>
      </w:pPr>
      <w:r>
        <w:rPr>
          <w:bCs/>
          <w:sz w:val="24"/>
          <w:szCs w:val="24"/>
        </w:rPr>
        <w:t xml:space="preserve">данная Информация не относится к категории общедоступной </w:t>
        <w:br/>
        <w:t>или обязательной к раскрытию Покупателем в соответствии с законодательством Российской Федерации.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 xml:space="preserve">Условия Договора и сам факт его заключения составляют Информацию </w:t>
        <w:br/>
        <w:t xml:space="preserve">в той части, в которой такие обстоятельства не были известны третьим лицам на момент заключения Договора в рамках проводимых Покупателем закупочных процедур. </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На документ, содержащий Информацию, Покупателем может быть нанесен гриф «Коммерческая тайна» с указанием обладателя этой информации.</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r>
        <w:rPr>
          <w:bCs/>
          <w:sz w:val="24"/>
          <w:szCs w:val="24"/>
        </w:rPr>
        <w:t>Информация может включать в себя, в том числе, но не ограничиваясь:</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 xml:space="preserve">финансовую </w:t>
      </w:r>
      <w:r>
        <w:rPr>
          <w:bCs/>
          <w:sz w:val="24"/>
          <w:szCs w:val="24"/>
          <w:lang w:val="en-US"/>
        </w:rPr>
        <w:t>(</w:t>
      </w:r>
      <w:r>
        <w:rPr>
          <w:bCs/>
          <w:sz w:val="24"/>
          <w:szCs w:val="24"/>
        </w:rPr>
        <w:t>бухгалтерскую) отчетность;</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учетные регистры бухгалтерского учета;</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бизнес-планы;</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договоры (соглашения), заключаемые или заключенные непосредственно Покупателем либо в его пользу, а также информацию и сведения, содержащиеся в данных договорах (соглашениях);</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сведения о финансовых, правовых, организационных и других взаимоотношениях между Покупателем и третьими лицами;</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 xml:space="preserve">сведения о находящихся на регистрации товарных знаках Покупателя, а также </w:t>
        <w:br/>
        <w:t>об объектах интеллектуальной собственности Покупателя, сведения о которых не являются опубликованными;</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 xml:space="preserve">сведения о Поставщиках, поставщиках оборудования и материалов, а также </w:t>
        <w:br/>
        <w:t>о покупателях продукции Покупателя и их аффилированных лицах;</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сведения об объемах производства и / или реализации продукции и услуг Покупателя или его аффилированных лиц;</w:t>
      </w:r>
    </w:p>
    <w:p>
      <w:pPr>
        <w:pStyle w:val="Normal"/>
        <w:widowControl/>
        <w:numPr>
          <w:ilvl w:val="0"/>
          <w:numId w:val="6"/>
        </w:numPr>
        <w:tabs>
          <w:tab w:val="clear" w:pos="709"/>
          <w:tab w:val="left" w:pos="0" w:leader="none"/>
          <w:tab w:val="left" w:pos="1418" w:leader="none"/>
        </w:tabs>
        <w:ind w:left="0" w:firstLine="709"/>
        <w:jc w:val="both"/>
        <w:rPr>
          <w:bCs/>
          <w:sz w:val="24"/>
          <w:szCs w:val="24"/>
        </w:rPr>
      </w:pPr>
      <w:r>
        <w:rPr>
          <w:bCs/>
          <w:sz w:val="24"/>
          <w:szCs w:val="24"/>
        </w:rPr>
        <w:t>материалы обобщения, анализа, оценки, иных действий по обработке вышеуказанной Информации и документов.</w:t>
      </w:r>
    </w:p>
    <w:p>
      <w:pPr>
        <w:pStyle w:val="ListParagraph"/>
        <w:widowControl/>
        <w:numPr>
          <w:ilvl w:val="1"/>
          <w:numId w:val="2"/>
        </w:numPr>
        <w:shd w:val="clear" w:color="auto" w:fill="FFFFFF"/>
        <w:tabs>
          <w:tab w:val="clear" w:pos="709"/>
          <w:tab w:val="left" w:pos="0" w:leader="none"/>
          <w:tab w:val="left" w:pos="1134" w:leader="none"/>
        </w:tabs>
        <w:ind w:left="0" w:firstLine="709"/>
        <w:jc w:val="both"/>
        <w:rPr>
          <w:bCs/>
          <w:sz w:val="24"/>
          <w:szCs w:val="24"/>
        </w:rPr>
      </w:pPr>
      <w:bookmarkStart w:id="9" w:name="_Ref361337849"/>
      <w:r>
        <w:rPr>
          <w:bCs/>
          <w:sz w:val="24"/>
          <w:szCs w:val="24"/>
        </w:rPr>
        <w:t>Поставщик 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Pr>
          <w:sz w:val="24"/>
          <w:szCs w:val="24"/>
        </w:rPr>
        <w:t xml:space="preserve"> </w:t>
      </w:r>
      <w:r>
        <w:rPr>
          <w:bCs/>
          <w:sz w:val="24"/>
          <w:szCs w:val="24"/>
        </w:rPr>
        <w:t>(расторжения) или исполнения, в том числе:</w:t>
      </w:r>
      <w:bookmarkEnd w:id="9"/>
      <w:r>
        <w:rPr>
          <w:bCs/>
          <w:sz w:val="24"/>
          <w:szCs w:val="24"/>
        </w:rPr>
        <w:t xml:space="preserve">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разглашать, не обсуждать содержание, не предоставлять копий, </w:t>
        <w:br/>
        <w:t xml:space="preserve">не публиковать и не </w:t>
      </w:r>
      <w:r>
        <w:rPr>
          <w:sz w:val="24"/>
          <w:szCs w:val="24"/>
        </w:rPr>
        <w:t>раскрывать</w:t>
      </w:r>
      <w:r>
        <w:rPr>
          <w:bCs/>
          <w:sz w:val="24"/>
          <w:szCs w:val="24"/>
        </w:rPr>
        <w:t xml:space="preserve"> в какой-либо иной форме третьим лицам Информацию </w:t>
        <w:br/>
        <w:t>без получения предварительного письменного согласия Покупателя, за исключением случаев, предусмотренных законодательством Российской Федерации и п. 7.6.7 Договора.</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Принимать меры предосторожности, обычно используемые для защиты такого рода информации в деловом обороте, при этом если Поставщиком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Поставщик обязан использовать </w:t>
        <w:br/>
        <w:t>в отношении защиты Информации обычно используемые им меры защиты.</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Использовать Информацию исключительно для целей, для которых она была предоставлена.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Покупателя, а также обеспечить содействие, которое потребует Покупатель для предотвращения такого несанкционированного раскрытия.</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 xml:space="preserve">По требованию Покупателя уничтожить всю Информацию, которую будет невозможно передать Покупателю по его запросу или которая будет находиться </w:t>
        <w:br/>
        <w:t xml:space="preserve">на технических средствах Поставщика. При этом Покупатель признает, что обязательства </w:t>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br/>
        <w:t xml:space="preserve">или методики создания резервных копий. </w:t>
      </w:r>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bookmarkStart w:id="10" w:name="_Ref361337832"/>
      <w:r>
        <w:rPr>
          <w:bCs/>
          <w:sz w:val="24"/>
          <w:szCs w:val="24"/>
        </w:rPr>
        <w:t xml:space="preserve">Раскрывать Информацию своим работникам, членам органов управления </w:t>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br/>
        <w:t>за свои собственные.</w:t>
      </w:r>
      <w:bookmarkEnd w:id="10"/>
    </w:p>
    <w:p>
      <w:pPr>
        <w:pStyle w:val="ListParagraph"/>
        <w:widowControl/>
        <w:numPr>
          <w:ilvl w:val="2"/>
          <w:numId w:val="2"/>
        </w:numPr>
        <w:shd w:val="clear" w:color="auto" w:fill="FFFFFF"/>
        <w:tabs>
          <w:tab w:val="clear" w:pos="709"/>
          <w:tab w:val="left" w:pos="1418" w:leader="none"/>
        </w:tabs>
        <w:ind w:left="0" w:firstLine="709"/>
        <w:jc w:val="both"/>
        <w:rPr>
          <w:bCs/>
          <w:sz w:val="24"/>
          <w:szCs w:val="24"/>
        </w:rPr>
      </w:pPr>
      <w:r>
        <w:rPr>
          <w:bCs/>
          <w:sz w:val="24"/>
          <w:szCs w:val="24"/>
        </w:rPr>
        <w:t>Не разглашать третьим лицам факты передачи или получения Информации.</w:t>
      </w:r>
    </w:p>
    <w:p>
      <w:pPr>
        <w:pStyle w:val="ListParagraph"/>
        <w:widowControl/>
        <w:numPr>
          <w:ilvl w:val="1"/>
          <w:numId w:val="2"/>
        </w:numPr>
        <w:shd w:val="clear" w:color="auto" w:fill="FFFFFF"/>
        <w:tabs>
          <w:tab w:val="clear" w:pos="709"/>
          <w:tab w:val="left" w:pos="1134" w:leader="none"/>
        </w:tabs>
        <w:ind w:left="0" w:firstLine="709"/>
        <w:jc w:val="both"/>
        <w:rPr>
          <w:bCs/>
          <w:sz w:val="24"/>
          <w:szCs w:val="24"/>
        </w:rPr>
      </w:pPr>
      <w:bookmarkStart w:id="11" w:name="_Ref361337863"/>
      <w:r>
        <w:rPr>
          <w:bCs/>
          <w:sz w:val="24"/>
          <w:szCs w:val="24"/>
        </w:rPr>
        <w:t xml:space="preserve">Поставщик, нарушивший условия настоящего раздела Договора, возмещает Покупателю убытки, вызванные таким нарушением, в течение 10 (десяти) календарных дней </w:t>
        <w:br/>
        <w:t>с даты получения соответствующего письменного требования Покупателя.</w:t>
      </w:r>
      <w:bookmarkEnd w:id="11"/>
    </w:p>
    <w:p>
      <w:pPr>
        <w:pStyle w:val="Normal"/>
        <w:numPr>
          <w:ilvl w:val="1"/>
          <w:numId w:val="2"/>
        </w:numPr>
        <w:shd w:val="clear" w:color="auto" w:fill="FFFFFF"/>
        <w:tabs>
          <w:tab w:val="clear" w:pos="709"/>
        </w:tabs>
        <w:ind w:left="0" w:firstLine="709"/>
        <w:jc w:val="both"/>
        <w:rPr>
          <w:bCs/>
          <w:sz w:val="24"/>
          <w:szCs w:val="24"/>
        </w:rPr>
      </w:pPr>
      <w:r>
        <w:rPr>
          <w:bCs/>
          <w:sz w:val="24"/>
          <w:szCs w:val="24"/>
        </w:rPr>
        <w:t xml:space="preserve">Условия защиты Информации, представляемой Поставщиком Покупателю, могут быть дополнительно урегулированы отдельно заключаемым Сторонами соглашением. </w:t>
      </w:r>
    </w:p>
    <w:p>
      <w:pPr>
        <w:pStyle w:val="ListParagraph"/>
        <w:widowControl/>
        <w:shd w:val="clear" w:color="auto" w:fill="FFFFFF"/>
        <w:tabs>
          <w:tab w:val="clear" w:pos="709"/>
          <w:tab w:val="left" w:pos="1134" w:leader="none"/>
        </w:tabs>
        <w:ind w:left="709" w:hanging="0"/>
        <w:jc w:val="both"/>
        <w:rPr>
          <w:sz w:val="24"/>
          <w:szCs w:val="24"/>
        </w:rPr>
      </w:pPr>
      <w:r>
        <w:rPr>
          <w:sz w:val="24"/>
          <w:szCs w:val="24"/>
        </w:rPr>
      </w:r>
    </w:p>
    <w:p>
      <w:pPr>
        <w:pStyle w:val="ListParagraph"/>
        <w:widowControl/>
        <w:numPr>
          <w:ilvl w:val="0"/>
          <w:numId w:val="2"/>
        </w:numPr>
        <w:shd w:val="clear" w:color="auto" w:fill="FFFFFF"/>
        <w:ind w:left="0" w:hanging="360"/>
        <w:jc w:val="center"/>
        <w:rPr>
          <w:b/>
          <w:bCs/>
          <w:sz w:val="24"/>
          <w:szCs w:val="24"/>
        </w:rPr>
      </w:pPr>
      <w:r>
        <w:rPr>
          <w:b/>
          <w:bCs/>
          <w:sz w:val="24"/>
          <w:szCs w:val="24"/>
        </w:rPr>
        <w:t>Разрешение споров</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Все споры, разногласия и требования, возникающие между Сторонами </w:t>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pPr>
        <w:pStyle w:val="ListParagraph"/>
        <w:widowControl/>
        <w:numPr>
          <w:ilvl w:val="1"/>
          <w:numId w:val="2"/>
        </w:numPr>
        <w:shd w:val="clear" w:color="auto" w:fill="FFFFFF"/>
        <w:tabs>
          <w:tab w:val="clear" w:pos="709"/>
          <w:tab w:val="left" w:pos="0" w:leader="none"/>
        </w:tabs>
        <w:ind w:left="0" w:firstLine="709"/>
        <w:jc w:val="both"/>
        <w:rPr>
          <w:bCs/>
          <w:sz w:val="24"/>
          <w:szCs w:val="24"/>
        </w:rPr>
      </w:pPr>
      <w:r>
        <w:rPr>
          <w:bCs/>
          <w:sz w:val="24"/>
          <w:szCs w:val="24"/>
        </w:rPr>
        <w:t xml:space="preserve">Споры, указанные в пункте 8.1 Договора, которые не были урегулированы Сторонами путем переговоров, подлежат разрешению в Арбитражном суде Республики Хакасия в соответствии с законодательством Российской Федерации, </w:t>
        <w:br/>
        <w:t>за исключением споров из Банковской гарантии, подсудность которых предусмотрена пунктом 5.1.9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w:t>
      </w:r>
      <w:r>
        <w:rPr>
          <w:bCs/>
          <w:sz w:val="24"/>
          <w:szCs w:val="24"/>
          <w:highlight w:val="lightGray"/>
        </w:rPr>
        <w:t>14.8</w:t>
      </w:r>
      <w:r>
        <w:rPr>
          <w:bCs/>
          <w:sz w:val="24"/>
          <w:szCs w:val="24"/>
        </w:rPr>
        <w:t xml:space="preserve">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Срок для рассмотрения претензии – 15 (пятнадцать) рабочих дней со дня </w:t>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br/>
        <w:t>с иском в суд.</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Условия настоящего раздела сохраняют свою силу в случае признания Договора незаключенным и / или недействительным.</w:t>
      </w:r>
    </w:p>
    <w:p>
      <w:pPr>
        <w:pStyle w:val="Normal"/>
        <w:shd w:val="clear" w:color="auto" w:fill="FFFFFF"/>
        <w:jc w:val="both"/>
        <w:rPr>
          <w:bCs/>
          <w:sz w:val="24"/>
          <w:szCs w:val="24"/>
        </w:rPr>
      </w:pPr>
      <w:r>
        <w:rPr>
          <w:bCs/>
          <w:sz w:val="24"/>
          <w:szCs w:val="24"/>
        </w:rPr>
      </w:r>
    </w:p>
    <w:p>
      <w:pPr>
        <w:pStyle w:val="ListParagraph"/>
        <w:widowControl/>
        <w:numPr>
          <w:ilvl w:val="0"/>
          <w:numId w:val="2"/>
        </w:numPr>
        <w:shd w:val="clear" w:color="auto" w:fill="FFFFFF"/>
        <w:ind w:left="0" w:hanging="360"/>
        <w:jc w:val="center"/>
        <w:rPr>
          <w:b/>
          <w:bCs/>
          <w:sz w:val="24"/>
          <w:szCs w:val="24"/>
        </w:rPr>
      </w:pPr>
      <w:r>
        <w:rPr>
          <w:b/>
          <w:bCs/>
          <w:sz w:val="24"/>
          <w:szCs w:val="24"/>
        </w:rPr>
        <w:t>Антикоррупционная оговорка</w:t>
      </w:r>
    </w:p>
    <w:p>
      <w:pPr>
        <w:pStyle w:val="ListParagraph"/>
        <w:numPr>
          <w:ilvl w:val="1"/>
          <w:numId w:val="2"/>
        </w:numPr>
        <w:shd w:val="clear" w:color="auto" w:fill="FFFFFF"/>
        <w:tabs>
          <w:tab w:val="clear" w:pos="709"/>
          <w:tab w:val="left" w:pos="1134" w:leader="none"/>
        </w:tabs>
        <w:ind w:left="0" w:firstLine="709"/>
        <w:jc w:val="both"/>
        <w:rPr>
          <w:bCs/>
          <w:color w:val="000000"/>
          <w:sz w:val="24"/>
          <w:szCs w:val="24"/>
        </w:rPr>
      </w:pPr>
      <w:r>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Pr>
          <w:bCs/>
          <w:color w:val="000000"/>
          <w:sz w:val="24"/>
          <w:szCs w:val="24"/>
        </w:rPr>
        <w:t xml:space="preserve">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w:t>
        <w:br/>
        <w:t>с целью получения каких-либо неправомерных преимуществ или для достижения иных неправомерных целей.</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9.2. 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w:t>
        <w:br/>
        <w:t>и международных актов о противодействии коррупции, легализации (отмыванию) доходов, полученных преступным путем.</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9.3. В случае возникновения у любой Стороны обоснованных предположений, что </w:t>
        <w:br/>
        <w:t xml:space="preserve">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w:t>
        <w:br/>
        <w:t>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9.4. 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не позднее </w:t>
        <w:br/>
        <w:t>5 (пяти) рабочих дней с даты получения письменного уведомления.</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9.5.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w:t>
        <w:br/>
        <w:t xml:space="preserve">для уведомившей Стороны в целом, так и для конкретных работников уведомившей Стороны, сообщивших о факте нарушений. </w:t>
      </w:r>
    </w:p>
    <w:p>
      <w:pPr>
        <w:pStyle w:val="Normal"/>
        <w:shd w:val="clear" w:color="auto" w:fill="FFFFFF"/>
        <w:tabs>
          <w:tab w:val="clear" w:pos="709"/>
          <w:tab w:val="left" w:pos="1134" w:leader="none"/>
        </w:tabs>
        <w:ind w:firstLine="709"/>
        <w:jc w:val="both"/>
        <w:rPr>
          <w:bCs/>
          <w:color w:val="000000"/>
          <w:sz w:val="24"/>
          <w:szCs w:val="24"/>
        </w:rPr>
      </w:pPr>
      <w:r>
        <w:rPr>
          <w:bCs/>
          <w:color w:val="000000"/>
          <w:sz w:val="24"/>
          <w:szCs w:val="24"/>
        </w:rPr>
        <w:t xml:space="preserve">9.6. 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w:t>
        <w:br/>
        <w:t xml:space="preserve">не позднее 5 (пяти) календарных дней до даты прекращения действия Договора. </w:t>
      </w:r>
    </w:p>
    <w:p>
      <w:pPr>
        <w:pStyle w:val="Normal"/>
        <w:shd w:val="clear" w:color="auto" w:fill="FFFFFF"/>
        <w:tabs>
          <w:tab w:val="clear" w:pos="709"/>
          <w:tab w:val="left" w:pos="567" w:leader="none"/>
          <w:tab w:val="left" w:pos="1134" w:leader="none"/>
        </w:tabs>
        <w:ind w:firstLine="709"/>
        <w:jc w:val="both"/>
        <w:rPr>
          <w:color w:val="000000"/>
          <w:sz w:val="24"/>
          <w:szCs w:val="24"/>
        </w:rPr>
      </w:pPr>
      <w:r>
        <w:rPr>
          <w:color w:val="000000"/>
          <w:sz w:val="24"/>
          <w:szCs w:val="24"/>
        </w:rPr>
        <w:t xml:space="preserve">9.7. Каналы связи Линии доверия Группы РусГидро: </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9.7.1. Электронная почта: ld@rushydro.ru.</w:t>
      </w:r>
    </w:p>
    <w:p>
      <w:pPr>
        <w:pStyle w:val="Normal"/>
        <w:shd w:val="clear" w:color="auto" w:fill="FFFFFF"/>
        <w:tabs>
          <w:tab w:val="clear" w:pos="709"/>
          <w:tab w:val="left" w:pos="567" w:leader="none"/>
          <w:tab w:val="left" w:pos="1134" w:leader="none"/>
        </w:tabs>
        <w:ind w:firstLine="709"/>
        <w:jc w:val="both"/>
        <w:rPr>
          <w:sz w:val="24"/>
          <w:szCs w:val="24"/>
        </w:rPr>
      </w:pPr>
      <w:r>
        <w:rPr>
          <w:sz w:val="24"/>
          <w:szCs w:val="24"/>
        </w:rPr>
        <w:t xml:space="preserve">9.7.2. Специальная форма «обратной связи», размещенная на официальном сайте </w:t>
        <w:br/>
        <w:t>ПАО «РусГидро» в сети интернет: http://www.rushydro.ru/ (далее перейти по ссылке «Линия доверия» и заполнить поля специальной формы «обратной связи»).</w:t>
      </w:r>
    </w:p>
    <w:p>
      <w:pPr>
        <w:pStyle w:val="Normal"/>
        <w:ind w:firstLine="709"/>
        <w:jc w:val="both"/>
        <w:rPr>
          <w:sz w:val="24"/>
          <w:szCs w:val="24"/>
        </w:rPr>
      </w:pPr>
      <w:r>
        <w:rPr>
          <w:sz w:val="24"/>
          <w:szCs w:val="24"/>
        </w:rPr>
        <w:t>9.7.3. 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ListParagraph"/>
        <w:shd w:val="clear" w:color="auto" w:fill="FFFFFF"/>
        <w:tabs>
          <w:tab w:val="clear" w:pos="709"/>
          <w:tab w:val="left" w:pos="0" w:leader="none"/>
          <w:tab w:val="left" w:pos="284" w:leader="none"/>
          <w:tab w:val="left" w:pos="567" w:leader="none"/>
        </w:tabs>
        <w:ind w:left="0" w:firstLine="709"/>
        <w:jc w:val="both"/>
        <w:rPr>
          <w:b/>
          <w:bCs/>
          <w:sz w:val="24"/>
          <w:szCs w:val="24"/>
        </w:rPr>
      </w:pPr>
      <w:r>
        <w:rPr>
          <w:b/>
          <w:bCs/>
          <w:sz w:val="24"/>
          <w:szCs w:val="24"/>
        </w:rPr>
      </w:r>
    </w:p>
    <w:p>
      <w:pPr>
        <w:pStyle w:val="ListParagraph"/>
        <w:widowControl/>
        <w:numPr>
          <w:ilvl w:val="0"/>
          <w:numId w:val="2"/>
        </w:numPr>
        <w:shd w:val="clear" w:color="auto" w:fill="FFFFFF"/>
        <w:ind w:left="0" w:hanging="360"/>
        <w:jc w:val="center"/>
        <w:rPr>
          <w:b/>
          <w:bCs/>
          <w:sz w:val="24"/>
          <w:szCs w:val="24"/>
        </w:rPr>
      </w:pPr>
      <w:r>
        <w:rPr>
          <w:b/>
          <w:bCs/>
          <w:sz w:val="24"/>
          <w:szCs w:val="24"/>
        </w:rPr>
        <w:t>Обстоятельства непреодолимой силы (форс-мажор)</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 имеет право ссылаться на обстоятельства непреодолимой силы только </w:t>
        <w:br/>
        <w:t>в случае, если такие обстоятельства непосредственно повлияли на возможность исполнения этой Стороной условий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br/>
        <w:t>и предполагаемом сроке действия обстоятельств непреодолимой силы, и в разумный срок представить необходимые документальные подтверждения.</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sz w:val="24"/>
          <w:szCs w:val="24"/>
        </w:rPr>
        <w:t xml:space="preserve">Надлежащим (достаточным) доказательством наличия / возникновения </w:t>
        <w:br/>
        <w:t xml:space="preserve">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w:t>
        <w:br/>
        <w:t>на которые заинтересованная Сторона ссылается в качестве обстоятельств непреодолимой силы (форс-мажора).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bCs/>
          <w:sz w:val="24"/>
          <w:szCs w:val="24"/>
        </w:rPr>
      </w:pPr>
      <w:r>
        <w:rPr>
          <w:bCs/>
          <w:sz w:val="24"/>
          <w:szCs w:val="24"/>
        </w:rPr>
        <w:t xml:space="preserve">Отсутствие уведомления или несвоевременное уведомление </w:t>
        <w:br/>
        <w:t xml:space="preserve">об обстоятельствах непреодолимой силы лишает соответствующую Сторону права </w:t>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pPr>
        <w:pStyle w:val="ListParagraph"/>
        <w:widowControl/>
        <w:numPr>
          <w:ilvl w:val="1"/>
          <w:numId w:val="2"/>
        </w:numPr>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pPr>
        <w:pStyle w:val="ListParagraph"/>
        <w:shd w:val="clear" w:color="auto" w:fill="FFFFFF"/>
        <w:tabs>
          <w:tab w:val="clear" w:pos="709"/>
          <w:tab w:val="left" w:pos="0" w:leader="none"/>
          <w:tab w:val="left" w:pos="568" w:leader="none"/>
          <w:tab w:val="left" w:pos="1418" w:leader="none"/>
        </w:tabs>
        <w:ind w:left="0" w:firstLine="709"/>
        <w:jc w:val="both"/>
        <w:rPr>
          <w:bCs/>
          <w:sz w:val="24"/>
          <w:szCs w:val="24"/>
        </w:rPr>
      </w:pPr>
      <w:r>
        <w:rPr>
          <w:bCs/>
          <w:sz w:val="24"/>
          <w:szCs w:val="24"/>
        </w:rPr>
        <w:t xml:space="preserve">При этом любая из Сторон вправе отказаться от исполнения Договора </w:t>
        <w:br/>
        <w:t>в одностороннем внесудебном порядке.</w:t>
      </w:r>
    </w:p>
    <w:p>
      <w:pPr>
        <w:pStyle w:val="Normal"/>
        <w:shd w:val="clear" w:color="auto" w:fill="FFFFFF"/>
        <w:jc w:val="both"/>
        <w:rPr>
          <w:sz w:val="24"/>
          <w:szCs w:val="24"/>
        </w:rPr>
      </w:pPr>
      <w:r>
        <w:rPr>
          <w:sz w:val="24"/>
          <w:szCs w:val="24"/>
        </w:rPr>
      </w:r>
    </w:p>
    <w:p>
      <w:pPr>
        <w:pStyle w:val="Normal"/>
        <w:widowControl/>
        <w:numPr>
          <w:ilvl w:val="0"/>
          <w:numId w:val="2"/>
        </w:numPr>
        <w:shd w:val="clear" w:color="auto" w:fill="FFFFFF"/>
        <w:spacing w:lineRule="auto" w:line="259" w:before="0" w:after="0"/>
        <w:contextualSpacing/>
        <w:jc w:val="center"/>
        <w:rPr>
          <w:b/>
          <w:bCs/>
          <w:sz w:val="24"/>
          <w:szCs w:val="24"/>
        </w:rPr>
      </w:pPr>
      <w:r>
        <w:rPr>
          <w:b/>
          <w:bCs/>
          <w:sz w:val="24"/>
          <w:szCs w:val="24"/>
        </w:rPr>
        <w:t>Особые положения</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2">
        <w:r>
          <w:rPr>
            <w:bCs/>
            <w:sz w:val="24"/>
            <w:szCs w:val="24"/>
          </w:rPr>
          <w:t>№ 18162/09</w:t>
        </w:r>
      </w:hyperlink>
      <w:r>
        <w:rPr>
          <w:bCs/>
          <w:sz w:val="24"/>
          <w:szCs w:val="24"/>
        </w:rPr>
        <w:t xml:space="preserve"> и от 25.05.2010 </w:t>
      </w:r>
      <w:hyperlink r:id="rId3">
        <w:r>
          <w:rPr>
            <w:bCs/>
            <w:sz w:val="24"/>
            <w:szCs w:val="24"/>
          </w:rPr>
          <w:t>№ 15658/09</w:t>
        </w:r>
      </w:hyperlink>
      <w:r>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w:t>
        <w:br/>
        <w:t xml:space="preserve">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4">
        <w:r>
          <w:rPr>
            <w:bCs/>
            <w:sz w:val="24"/>
            <w:szCs w:val="24"/>
          </w:rPr>
          <w:t>Критери</w:t>
        </w:r>
      </w:hyperlink>
      <w:r>
        <w:rPr>
          <w:bCs/>
          <w:sz w:val="24"/>
          <w:szCs w:val="24"/>
        </w:rPr>
        <w:t>ям самостоятельной оценки рисков налогоплательщиков, используемым налоговыми органами в процессе отбора объектов для проведения выездных налоговых проверок (утв. приказом ФНС России от 30.05.2007 № ММ-3-06/333).</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 xml:space="preserve">Поставщик обязуется незамедлительно уведомить Покупателя о появлении </w:t>
        <w:br/>
        <w:t>в ходе исполнения Договора у привлеченных организаций признаков недобросовестности, указанных в пункте 11.1 Договора, а также обеспечить прекращение участия таких организаций в исполнении Договора.</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 xml:space="preserve">В случае нарушения Поставщиком обязательств, установленных пунктами 11.1, 11.2 Договора, Покупатель в дополнение к основаниям, предусмотренным Договором, вправе в одностороннем внесудебном порядке отказаться от Договора путем направления уведомления об отказе от Договора (исполнения Договора) с указанием даты прекращения (расторжения) Договора, которая должна наступать ранее 10 (десяти) рабочих дней с даты получения Поставщиком такого уведомления. Договор считается прекращенным (расторгнутым) с даты, указанной в уведомлении об отказе от Договора (исполнения Договора) при условии, что Покупатель не отзовет указанное Уведомление по итогам рассмотрения мотивированных письменных возражений Поставщика, представленных </w:t>
        <w:br/>
        <w:t>до наступления указанной Покупателем даты расторжения.</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Поставщик обязан уплатить Покупателю штраф в размере суммы денежных средств, перечисленной организации, отвечающей признакам недобросовестности, а также дополнительно компенсировать Покупателю убытки, причиненные в результате нарушения обязательств, установленных пунктами 11.1, 11.2 Договора.</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Штраф, предусмотренный пунктом 11.4 Договора, оплачивается Поставщиком в течение 10 (десяти) рабочих дней с даты получения соответствующего письменного требования Покупателя. Покупатель вправе предъявить требование об уплате штрафа вне зависимости от направления уведомления об отказе от Договора (исполнения Договора), предусмотренного пунктом 11.3 Договора.</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 xml:space="preserve">Покупатель вправе приостановить осуществление любых платежей </w:t>
        <w:br/>
        <w:t>по Договору, причитающихся Поставщику, независимо от наличия оснований и наступления сроков таких платежей, до уплаты Поставщиком штрафа, предусмотренного пунктом 11.4 Договора. При этом Покупатель не будет считаться просрочившим и / или нарушившим свои обязательства по Договору.</w:t>
      </w:r>
    </w:p>
    <w:p>
      <w:pPr>
        <w:pStyle w:val="ListParagraph"/>
        <w:widowControl/>
        <w:numPr>
          <w:ilvl w:val="1"/>
          <w:numId w:val="2"/>
        </w:numPr>
        <w:shd w:val="clear" w:color="auto" w:fill="FFFFFF"/>
        <w:tabs>
          <w:tab w:val="clear" w:pos="709"/>
          <w:tab w:val="left" w:pos="1418" w:leader="none"/>
        </w:tabs>
        <w:ind w:left="0" w:firstLine="709"/>
        <w:jc w:val="both"/>
        <w:rPr>
          <w:bCs/>
          <w:sz w:val="24"/>
          <w:szCs w:val="24"/>
        </w:rPr>
      </w:pPr>
      <w:r>
        <w:rPr>
          <w:bCs/>
          <w:sz w:val="24"/>
          <w:szCs w:val="24"/>
        </w:rPr>
        <w:t>Независимо от других положений Договора, положения пунктов 11.4, 11.5 Договора продолжают действовать в течение 4 (четырех) лет после его прекращения (расторжения) или исполнения.</w:t>
      </w:r>
    </w:p>
    <w:p>
      <w:pPr>
        <w:pStyle w:val="Normal"/>
        <w:shd w:val="clear" w:color="auto" w:fill="FFFFFF"/>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360"/>
        <w:jc w:val="center"/>
        <w:rPr>
          <w:b/>
          <w:sz w:val="24"/>
          <w:szCs w:val="24"/>
        </w:rPr>
      </w:pPr>
      <w:r>
        <w:rPr>
          <w:b/>
          <w:bCs/>
          <w:sz w:val="24"/>
          <w:szCs w:val="24"/>
        </w:rPr>
        <w:t>Заверения</w:t>
      </w:r>
      <w:r>
        <w:rPr>
          <w:b/>
          <w:sz w:val="24"/>
          <w:szCs w:val="24"/>
        </w:rPr>
        <w:t xml:space="preserve"> Сторон</w:t>
      </w:r>
    </w:p>
    <w:p>
      <w:pPr>
        <w:pStyle w:val="ListParagraph"/>
        <w:widowControl/>
        <w:numPr>
          <w:ilvl w:val="1"/>
          <w:numId w:val="2"/>
        </w:numPr>
        <w:shd w:val="clear" w:color="auto" w:fill="FFFFFF"/>
        <w:tabs>
          <w:tab w:val="clear" w:pos="709"/>
          <w:tab w:val="left" w:pos="1134" w:leader="none"/>
          <w:tab w:val="left" w:pos="1418" w:leader="none"/>
        </w:tabs>
        <w:ind w:left="0" w:firstLine="709"/>
        <w:jc w:val="both"/>
        <w:rPr>
          <w:sz w:val="24"/>
          <w:szCs w:val="24"/>
        </w:rPr>
      </w:pPr>
      <w:r>
        <w:rPr>
          <w:bCs/>
          <w:sz w:val="24"/>
          <w:szCs w:val="24"/>
        </w:rPr>
        <w:t>Каждая</w:t>
      </w:r>
      <w:r>
        <w:rPr>
          <w:sz w:val="24"/>
          <w:szCs w:val="24"/>
        </w:rPr>
        <w:t xml:space="preserve"> из Сторон заявляет и подтверждает другой Стороне, что: </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является юридическим лицом, надлежащим образом учрежденным </w:t>
        <w:br/>
        <w:t>и правомерно осуществляющим свою деятельность в соответствии с законодательством Российской Федерации;</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обладает полной правоспособностью на заключение Договора </w:t>
        <w:br/>
        <w:t>и исполнение всех своих обязательств, возникающих из Договора или в связи с ним;</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получила все корпоративные одобрения Договора органами управления </w:t>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br/>
        <w:t>и иных лиц, необходимые для заключения и исполнения Договора;</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лица, подписывающие от имени Сторон Договор, надлежащим образом уполномочены на его подписание;</w:t>
      </w:r>
    </w:p>
    <w:p>
      <w:pPr>
        <w:pStyle w:val="ListParagraph"/>
        <w:widowControl/>
        <w:numPr>
          <w:ilvl w:val="0"/>
          <w:numId w:val="9"/>
        </w:numPr>
        <w:shd w:val="clear" w:color="auto" w:fill="FFFFFF"/>
        <w:tabs>
          <w:tab w:val="left" w:pos="0" w:leader="none"/>
          <w:tab w:val="left" w:pos="709" w:leader="none"/>
          <w:tab w:val="left" w:pos="1418" w:leader="none"/>
        </w:tabs>
        <w:ind w:left="0" w:firstLine="709"/>
        <w:jc w:val="both"/>
        <w:rPr>
          <w:sz w:val="24"/>
          <w:szCs w:val="24"/>
        </w:rPr>
      </w:pPr>
      <w:r>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br/>
        <w:t xml:space="preserve">или в связи с ним.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Поставщик заявляет и заверяет Покупателя в том, что на момент заключения Договора:</w:t>
      </w:r>
    </w:p>
    <w:p>
      <w:pPr>
        <w:pStyle w:val="ListParagraph"/>
        <w:widowControl/>
        <w:numPr>
          <w:ilvl w:val="0"/>
          <w:numId w:val="11"/>
        </w:numPr>
        <w:shd w:val="clear" w:color="auto" w:fill="FFFFFF"/>
        <w:tabs>
          <w:tab w:val="left" w:pos="0" w:leader="none"/>
          <w:tab w:val="left" w:pos="709" w:leader="none"/>
        </w:tabs>
        <w:ind w:left="0" w:firstLine="709"/>
        <w:jc w:val="both"/>
        <w:rPr>
          <w:sz w:val="24"/>
          <w:szCs w:val="24"/>
        </w:rPr>
      </w:pPr>
      <w:r>
        <w:rPr>
          <w:sz w:val="24"/>
          <w:szCs w:val="24"/>
        </w:rPr>
        <w:t>учредителем / учредителями Поставщика являются лица, не являющиеся массовыми учредителем / учредителями;</w:t>
      </w:r>
    </w:p>
    <w:p>
      <w:pPr>
        <w:pStyle w:val="ListParagraph"/>
        <w:widowControl/>
        <w:numPr>
          <w:ilvl w:val="0"/>
          <w:numId w:val="11"/>
        </w:numPr>
        <w:shd w:val="clear" w:color="auto" w:fill="FFFFFF"/>
        <w:tabs>
          <w:tab w:val="left" w:pos="0" w:leader="none"/>
          <w:tab w:val="left" w:pos="709" w:leader="none"/>
        </w:tabs>
        <w:ind w:left="0" w:firstLine="709"/>
        <w:jc w:val="both"/>
        <w:rPr>
          <w:sz w:val="24"/>
          <w:szCs w:val="24"/>
        </w:rPr>
      </w:pPr>
      <w:r>
        <w:rPr>
          <w:sz w:val="24"/>
          <w:szCs w:val="24"/>
        </w:rPr>
        <w:t>руководителем Поставщика является лицо, не являющееся массовым руководителем;</w:t>
      </w:r>
    </w:p>
    <w:p>
      <w:pPr>
        <w:pStyle w:val="ListParagraph"/>
        <w:widowControl/>
        <w:numPr>
          <w:ilvl w:val="0"/>
          <w:numId w:val="11"/>
        </w:numPr>
        <w:shd w:val="clear" w:color="auto" w:fill="FFFFFF"/>
        <w:tabs>
          <w:tab w:val="left" w:pos="0" w:leader="none"/>
          <w:tab w:val="left" w:pos="709" w:leader="none"/>
        </w:tabs>
        <w:ind w:left="0" w:firstLine="709"/>
        <w:jc w:val="both"/>
        <w:rPr>
          <w:sz w:val="24"/>
          <w:szCs w:val="24"/>
        </w:rPr>
      </w:pPr>
      <w:r>
        <w:rPr>
          <w:sz w:val="24"/>
          <w:szCs w:val="24"/>
        </w:rPr>
        <w:t xml:space="preserve">Поставщик фактически находится по адресу, указанному в Едином государственном реестре юридических лиц; </w:t>
      </w:r>
    </w:p>
    <w:p>
      <w:pPr>
        <w:pStyle w:val="ListParagraph"/>
        <w:widowControl/>
        <w:numPr>
          <w:ilvl w:val="0"/>
          <w:numId w:val="11"/>
        </w:numPr>
        <w:shd w:val="clear" w:color="auto" w:fill="FFFFFF"/>
        <w:tabs>
          <w:tab w:val="left" w:pos="0" w:leader="none"/>
          <w:tab w:val="left" w:pos="709" w:leader="none"/>
        </w:tabs>
        <w:ind w:left="0" w:firstLine="709"/>
        <w:jc w:val="both"/>
        <w:rPr>
          <w:sz w:val="24"/>
          <w:szCs w:val="24"/>
        </w:rPr>
      </w:pPr>
      <w:r>
        <w:rPr>
          <w:sz w:val="24"/>
          <w:szCs w:val="24"/>
        </w:rPr>
        <w:t xml:space="preserve">Поставщик своевременно и в полном объеме уплачивает налоги и сборы </w:t>
        <w:br/>
        <w:t>в соответствии с законодательством Российской Федерации;</w:t>
      </w:r>
    </w:p>
    <w:p>
      <w:pPr>
        <w:pStyle w:val="ListParagraph"/>
        <w:widowControl/>
        <w:numPr>
          <w:ilvl w:val="0"/>
          <w:numId w:val="10"/>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не находится в процедуре несостоятельности (банкротства) </w:t>
        <w:br/>
        <w:t>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Поставщика должным образом исполнять обязательства, возникающие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тщательно изучил всю информацию, связанную с Договором, </w:t>
        <w:br/>
        <w:t xml:space="preserve">в том числе по вопросам, влияющим на сроки, стоимость и качество Товара, полностью ознакомлен со всеми условиями поставки Товара, и принимает на себя все расходы, риски </w:t>
        <w:br/>
        <w:t>и трудности исполнения обязательств, возникающих из Договора или в связи с ним;</w:t>
      </w:r>
    </w:p>
    <w:p>
      <w:pPr>
        <w:pStyle w:val="ListParagraph"/>
        <w:widowControl/>
        <w:numPr>
          <w:ilvl w:val="0"/>
          <w:numId w:val="10"/>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Поставщик своевременно и в полном объеме в соответствии </w:t>
        <w:br/>
        <w:t>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widowControl/>
        <w:numPr>
          <w:ilvl w:val="0"/>
          <w:numId w:val="10"/>
        </w:numPr>
        <w:shd w:val="clear" w:color="auto" w:fill="FFFFFF"/>
        <w:tabs>
          <w:tab w:val="clear" w:pos="709"/>
          <w:tab w:val="left" w:pos="0" w:leader="none"/>
          <w:tab w:val="left" w:pos="567" w:leader="none"/>
        </w:tabs>
        <w:ind w:left="0" w:firstLine="709"/>
        <w:jc w:val="both"/>
        <w:rPr>
          <w:sz w:val="24"/>
          <w:szCs w:val="24"/>
        </w:rPr>
      </w:pPr>
      <w:r>
        <w:rPr>
          <w:sz w:val="24"/>
          <w:szCs w:val="24"/>
        </w:rPr>
        <w:t xml:space="preserve">вся информация, предоставленная Покупателю, является достоверной, полной </w:t>
        <w:br/>
        <w:t xml:space="preserve">и точной, и Поставщик не скрыл никаких обстоятельств, которые при их обнаружении могли </w:t>
        <w:br/>
        <w:t>бы негативно повлиять на решение Покупателя заключить Договор на указанных в нем условиях.</w:t>
      </w:r>
    </w:p>
    <w:p>
      <w:pPr>
        <w:pStyle w:val="Normal"/>
        <w:widowControl/>
        <w:numPr>
          <w:ilvl w:val="1"/>
          <w:numId w:val="2"/>
        </w:numPr>
        <w:tabs>
          <w:tab w:val="clear" w:pos="709"/>
          <w:tab w:val="left" w:pos="1418" w:leader="none"/>
        </w:tabs>
        <w:ind w:left="0" w:firstLine="709"/>
        <w:jc w:val="both"/>
        <w:rPr>
          <w:sz w:val="24"/>
          <w:szCs w:val="24"/>
        </w:rPr>
      </w:pPr>
      <w:r>
        <w:rPr>
          <w:sz w:val="24"/>
          <w:szCs w:val="24"/>
        </w:rPr>
        <w:t xml:space="preserve">При заключении и исполнении Договора каждая Сторона полагается </w:t>
        <w:br/>
        <w:t xml:space="preserve">на достоверность, точность и полноту заверений другой Стороны, изложенных в настоящем разделе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если </w:t>
      </w:r>
      <w:r>
        <w:rPr>
          <w:bCs/>
          <w:sz w:val="24"/>
          <w:szCs w:val="24"/>
        </w:rPr>
        <w:t xml:space="preserve">Поставщик </w:t>
      </w:r>
      <w:r>
        <w:rPr>
          <w:sz w:val="24"/>
          <w:szCs w:val="24"/>
        </w:rPr>
        <w:t xml:space="preserve">при заключении Договора предоставил Покупателю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w:t>
      </w:r>
      <w:r>
        <w:rPr>
          <w:bCs/>
          <w:sz w:val="24"/>
          <w:szCs w:val="24"/>
        </w:rPr>
        <w:t xml:space="preserve">Поставщик </w:t>
      </w:r>
      <w:r>
        <w:rPr>
          <w:sz w:val="24"/>
          <w:szCs w:val="24"/>
        </w:rPr>
        <w:t xml:space="preserve">обязан по письменному требованию Покупателя уплатить последнему штраф </w:t>
        <w:br/>
        <w:t>в размере 5 (пяти) процентов от Цены Договора, указанной в пункте 2.1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w:t>
        <w:br/>
        <w:t>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ListParagraph"/>
        <w:widowControl/>
        <w:shd w:val="clear" w:color="auto" w:fill="FFFFFF"/>
        <w:tabs>
          <w:tab w:val="clear" w:pos="709"/>
          <w:tab w:val="left" w:pos="1134" w:leader="none"/>
          <w:tab w:val="left" w:pos="1418" w:leader="none"/>
        </w:tabs>
        <w:ind w:left="709" w:hanging="0"/>
        <w:jc w:val="both"/>
        <w:rPr>
          <w:sz w:val="24"/>
          <w:szCs w:val="24"/>
        </w:rPr>
      </w:pPr>
      <w:r>
        <w:rPr>
          <w:sz w:val="24"/>
          <w:szCs w:val="24"/>
        </w:rPr>
      </w:r>
    </w:p>
    <w:p>
      <w:pPr>
        <w:pStyle w:val="ListParagraph"/>
        <w:widowControl/>
        <w:numPr>
          <w:ilvl w:val="0"/>
          <w:numId w:val="2"/>
        </w:numPr>
        <w:shd w:val="clear" w:color="auto" w:fill="FFFFFF"/>
        <w:ind w:left="0" w:hanging="360"/>
        <w:jc w:val="center"/>
        <w:rPr>
          <w:b/>
          <w:sz w:val="24"/>
          <w:szCs w:val="24"/>
        </w:rPr>
      </w:pPr>
      <w:r>
        <w:rPr>
          <w:b/>
          <w:bCs/>
          <w:sz w:val="24"/>
          <w:szCs w:val="24"/>
        </w:rPr>
        <w:t>П</w:t>
      </w:r>
      <w:r>
        <w:rPr>
          <w:b/>
          <w:sz w:val="24"/>
          <w:szCs w:val="24"/>
        </w:rPr>
        <w:t>рекращение (расторжение) Договора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пунктом </w:t>
      </w:r>
      <w:r>
        <w:rPr>
          <w:sz w:val="24"/>
          <w:szCs w:val="24"/>
          <w:highlight w:val="lightGray"/>
        </w:rPr>
        <w:t>14.8</w:t>
      </w:r>
      <w:r>
        <w:rPr>
          <w:sz w:val="24"/>
          <w:szCs w:val="24"/>
        </w:rPr>
        <w:t xml:space="preserve"> Договора, с приложением подписанного соглашения о расторжении Договора. Уведомление должно быть рассмотрено Стороной-получателем в течение 30 (тридцати) календарных дней со дня его получения.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существенного нарушения Договора Поставщиком Покупатель вправе </w:t>
        <w:br/>
        <w:t>в одностороннем внесудебном порядке отказаться от Договора и потребовать полного возмещения Поставщиком убытков, причиненных отказом от Договора (исполнения Договора).</w:t>
      </w:r>
    </w:p>
    <w:p>
      <w:pPr>
        <w:pStyle w:val="ListParagraph"/>
        <w:shd w:val="clear" w:color="auto" w:fill="FFFFFF"/>
        <w:tabs>
          <w:tab w:val="clear" w:pos="709"/>
          <w:tab w:val="left" w:pos="0" w:leader="none"/>
          <w:tab w:val="left" w:pos="1418" w:leader="none"/>
        </w:tabs>
        <w:ind w:left="0" w:firstLine="709"/>
        <w:jc w:val="both"/>
        <w:rPr>
          <w:sz w:val="24"/>
          <w:szCs w:val="24"/>
        </w:rPr>
      </w:pPr>
      <w:r>
        <w:rPr>
          <w:sz w:val="24"/>
          <w:szCs w:val="24"/>
        </w:rPr>
        <w:t xml:space="preserve">Покупатель одновременно с уведомлением об отказе от Договора (исполнения Договора) направляет Поставщику письменное требование о возмещении убытков </w:t>
        <w:br/>
        <w:t xml:space="preserve">с приложением расчета суммы убытков. Поставщик обязан возместить Покупателю убытки не позднее 15 (пятнадцати) календарных дней с момента получения расчета суммы убытков </w:t>
        <w:br/>
        <w:t>от Покупателя.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Стороны установили, что существенным нарушением Договора Поставщиком является:</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 xml:space="preserve">нарушение Поставщиком общего срока поставки Товара по Договору, а также промежуточных сроков поставки Товара, установленных Договором, более чем </w:t>
        <w:br/>
        <w:t>на 60 (шестьдесят) календарных дней по причинам, не зависящим от Покупателя;</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более чем на 60 (шестьдесят) календарных дней либо такие недостатки (дефекты) являются неустранимыми;</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наложение ареста на имущество Поставщика, введение арбитражным судом процедуры несостоятельности (банкротства) в отношении Поставщика;</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нарушение более чем на 30 (тридцать) календарных дней 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pPr>
        <w:pStyle w:val="ListParagraph"/>
        <w:widowControl/>
        <w:numPr>
          <w:ilvl w:val="0"/>
          <w:numId w:val="8"/>
        </w:numPr>
        <w:tabs>
          <w:tab w:val="clear" w:pos="709"/>
          <w:tab w:val="left" w:pos="0" w:leader="none"/>
          <w:tab w:val="left" w:pos="1418" w:leader="none"/>
        </w:tabs>
        <w:ind w:left="0" w:right="23" w:firstLine="709"/>
        <w:jc w:val="both"/>
        <w:rPr>
          <w:sz w:val="24"/>
          <w:szCs w:val="24"/>
        </w:rPr>
      </w:pPr>
      <w:r>
        <w:rPr>
          <w:sz w:val="24"/>
          <w:szCs w:val="24"/>
        </w:rPr>
        <w:t xml:space="preserve">установление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w:t>
        <w:br/>
        <w:t xml:space="preserve">а также недостоверности, неточности или неполноты заверений Поставщика </w:t>
        <w:br/>
        <w:t>об обстоятельствах, указанных в разделе 12 Договора, и имеющих существенное значение для его заключения и исполнения.</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В случае отказа Покупателя от Договора в случаях, предусмотренных пунктами 13.2, 13.3 Договора, последний считается прекращенным (расторгнутым) со дня, следующего за днем получения Поставщиком уведомления Покупателя об отказе </w:t>
        <w:br/>
        <w:t xml:space="preserve">от Договора (исполнения Договора). </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С даты прекращения (расторжения) Договора Поставщик обязан прекратить поставку Товара.</w:t>
      </w:r>
    </w:p>
    <w:p>
      <w:pPr>
        <w:pStyle w:val="ListParagraph"/>
        <w:widowControl/>
        <w:numPr>
          <w:ilvl w:val="1"/>
          <w:numId w:val="2"/>
        </w:numPr>
        <w:shd w:val="clear" w:color="auto" w:fill="FFFFFF"/>
        <w:tabs>
          <w:tab w:val="clear" w:pos="709"/>
          <w:tab w:val="left" w:pos="1418" w:leader="none"/>
        </w:tabs>
        <w:ind w:left="0" w:firstLine="709"/>
        <w:jc w:val="both"/>
        <w:rPr>
          <w:sz w:val="24"/>
          <w:szCs w:val="24"/>
        </w:rPr>
      </w:pPr>
      <w:r>
        <w:rPr>
          <w:sz w:val="24"/>
          <w:szCs w:val="24"/>
        </w:rPr>
        <w:t xml:space="preserve">При прекращении (расторжении) Договора по основаниям, указанным </w:t>
        <w:br/>
        <w:t>в настоящем разделе Договора, все обязательства Сторон по Договору считаются прекратившимися, за исключением обязательств по незавершенным расчетам, гарантийных обязательств Поставщика в соответствии с разделом 4 Договора, а также обязательств Поставщика по оплате неустойки, штрафов, возмещению убытков в случаях и размерах, предусмотренных Договором.</w:t>
      </w:r>
    </w:p>
    <w:p>
      <w:pPr>
        <w:pStyle w:val="ListParagraph"/>
        <w:widowControl/>
        <w:shd w:val="clear" w:color="auto" w:fill="FFFFFF"/>
        <w:tabs>
          <w:tab w:val="clear" w:pos="709"/>
          <w:tab w:val="left" w:pos="0" w:leader="none"/>
        </w:tabs>
        <w:ind w:left="709" w:hanging="0"/>
        <w:jc w:val="both"/>
        <w:rPr>
          <w:bCs/>
          <w:sz w:val="24"/>
          <w:szCs w:val="24"/>
        </w:rPr>
      </w:pPr>
      <w:r>
        <w:rPr>
          <w:bCs/>
          <w:sz w:val="24"/>
          <w:szCs w:val="24"/>
        </w:rPr>
      </w:r>
    </w:p>
    <w:p>
      <w:pPr>
        <w:pStyle w:val="ListParagraph"/>
        <w:widowControl/>
        <w:numPr>
          <w:ilvl w:val="0"/>
          <w:numId w:val="2"/>
        </w:numPr>
        <w:shd w:val="clear" w:color="auto" w:fill="FFFFFF"/>
        <w:ind w:left="0" w:hanging="360"/>
        <w:jc w:val="center"/>
        <w:rPr>
          <w:b/>
          <w:bCs/>
          <w:sz w:val="24"/>
          <w:szCs w:val="24"/>
        </w:rPr>
      </w:pPr>
      <w:r>
        <w:rPr>
          <w:b/>
          <w:bCs/>
          <w:sz w:val="24"/>
          <w:szCs w:val="24"/>
        </w:rPr>
        <w:t>Заключительные положения</w:t>
      </w:r>
    </w:p>
    <w:p>
      <w:pPr>
        <w:pStyle w:val="ListParagraph"/>
        <w:widowControl/>
        <w:numPr>
          <w:ilvl w:val="1"/>
          <w:numId w:val="2"/>
        </w:numPr>
        <w:shd w:val="clear" w:color="auto" w:fill="FFFFFF"/>
        <w:tabs>
          <w:tab w:val="clear" w:pos="709"/>
          <w:tab w:val="left" w:pos="142" w:leader="none"/>
          <w:tab w:val="left" w:pos="1418" w:leader="none"/>
        </w:tabs>
        <w:ind w:left="0" w:firstLine="709"/>
        <w:jc w:val="both"/>
        <w:rPr>
          <w:sz w:val="24"/>
          <w:szCs w:val="24"/>
        </w:rPr>
      </w:pPr>
      <w:r>
        <w:rPr>
          <w:sz w:val="24"/>
          <w:szCs w:val="24"/>
        </w:rPr>
        <w:t xml:space="preserve">Договор вступает в силу с даты его подписания Сторонами и действует </w:t>
        <w:br/>
        <w:t xml:space="preserve">до полного исполнения ими принятых на себя обязательств. </w:t>
      </w:r>
      <w:r>
        <w:rPr>
          <w:sz w:val="24"/>
          <w:szCs w:val="24"/>
          <w:highlight w:val="lightGray"/>
        </w:rPr>
        <w:t xml:space="preserve">В соответствии с пунктом 2 статьи 425 ГК РФ, условия Договора применяются к отношениям Сторон, возникшим </w:t>
        <w:br/>
        <w:t>с __________</w:t>
      </w:r>
      <w:r>
        <w:rPr>
          <w:sz w:val="24"/>
          <w:szCs w:val="24"/>
        </w:rPr>
        <w:t>.</w:t>
      </w:r>
    </w:p>
    <w:p>
      <w:pPr>
        <w:pStyle w:val="Normal"/>
        <w:widowControl/>
        <w:numPr>
          <w:ilvl w:val="1"/>
          <w:numId w:val="2"/>
        </w:numPr>
        <w:tabs>
          <w:tab w:val="clear" w:pos="709"/>
          <w:tab w:val="left" w:pos="142" w:leader="none"/>
          <w:tab w:val="left" w:pos="1418" w:leader="none"/>
        </w:tabs>
        <w:snapToGrid w:val="false"/>
        <w:ind w:left="0" w:firstLine="709"/>
        <w:jc w:val="both"/>
        <w:rPr>
          <w:sz w:val="24"/>
          <w:szCs w:val="24"/>
          <w:highlight w:val="lightGray"/>
          <w:lang w:eastAsia="en-US"/>
        </w:rPr>
      </w:pPr>
      <w:r>
        <w:rPr>
          <w:sz w:val="24"/>
          <w:szCs w:val="24"/>
          <w:highlight w:val="lightGray"/>
          <w:lang w:eastAsia="en-US"/>
        </w:rPr>
        <w:t xml:space="preserve">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 </w:t>
      </w:r>
    </w:p>
    <w:p>
      <w:pPr>
        <w:pStyle w:val="Normal"/>
        <w:tabs>
          <w:tab w:val="clear" w:pos="709"/>
          <w:tab w:val="left" w:pos="142" w:leader="none"/>
        </w:tabs>
        <w:ind w:firstLine="709"/>
        <w:jc w:val="both"/>
        <w:rPr>
          <w:sz w:val="24"/>
          <w:szCs w:val="24"/>
          <w:lang w:eastAsia="en-US"/>
        </w:rPr>
      </w:pPr>
      <w:r>
        <w:rPr>
          <w:sz w:val="24"/>
          <w:szCs w:val="24"/>
          <w:highlight w:val="lightGray"/>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r>
        <w:rPr>
          <w:rStyle w:val="FootnoteReference"/>
          <w:sz w:val="24"/>
          <w:szCs w:val="24"/>
          <w:highlight w:val="lightGray"/>
          <w:lang w:eastAsia="en-US"/>
        </w:rPr>
        <w:footnoteReference w:id="14"/>
      </w:r>
      <w:r>
        <w:rPr>
          <w:sz w:val="24"/>
          <w:szCs w:val="24"/>
          <w:highlight w:val="lightGray"/>
          <w:lang w:eastAsia="en-US"/>
        </w:rPr>
        <w:t>.</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 за исключением случаев изменения реквизитов Сторон, предусмотренных пунктом </w:t>
      </w:r>
      <w:r>
        <w:rPr>
          <w:sz w:val="24"/>
          <w:szCs w:val="24"/>
          <w:highlight w:val="lightGray"/>
        </w:rPr>
        <w:t>14.7</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Все приложения к Договору, а также любые изменения и дополнения, оформленные надлежащим образом, являются неотъемлемой частью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 случае наличия любых расхождений между содержанием Договора </w:t>
        <w:br/>
        <w:t>и приложений к нему, приоритет имеет текст Договора.</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Обмен информацией между Сторонами по любым вопросам, связанным </w:t>
        <w:br/>
        <w:t xml:space="preserve">с исполнением Договора, включая уведомления и иные сообщения, осуществляется только </w:t>
        <w:br/>
        <w:t xml:space="preserve">в письменной форме в порядке, предусмотренном пунктом </w:t>
      </w:r>
      <w:r>
        <w:rPr>
          <w:sz w:val="24"/>
          <w:szCs w:val="24"/>
          <w:highlight w:val="lightGray"/>
        </w:rPr>
        <w:t>14.8</w:t>
      </w:r>
      <w:r>
        <w:rPr>
          <w:sz w:val="24"/>
          <w:szCs w:val="24"/>
        </w:rPr>
        <w:t xml:space="preserve"> Договора.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bookmarkStart w:id="12" w:name="_Ref361338004"/>
      <w:r>
        <w:rPr>
          <w:sz w:val="24"/>
          <w:szCs w:val="24"/>
        </w:rPr>
        <w:t xml:space="preserve">Стороны обязуются уведомлять друг друга об изменении адреса и / или реквизитов, указанных в разделе 16 Договора, не позднее 3 (трех) рабочих дней после такого изменения в порядке, установленном пунктом </w:t>
      </w:r>
      <w:r>
        <w:rPr>
          <w:sz w:val="24"/>
          <w:szCs w:val="24"/>
          <w:highlight w:val="lightGray"/>
        </w:rPr>
        <w:t>14.8</w:t>
      </w:r>
      <w:r>
        <w:rPr>
          <w:sz w:val="24"/>
          <w:szCs w:val="24"/>
        </w:rPr>
        <w:t xml:space="preserve"> Договора.</w:t>
      </w:r>
      <w:bookmarkEnd w:id="12"/>
      <w:r>
        <w:rPr>
          <w:sz w:val="24"/>
          <w:szCs w:val="24"/>
        </w:rPr>
        <w:t xml:space="preserve"> </w:t>
      </w:r>
    </w:p>
    <w:p>
      <w:pPr>
        <w:pStyle w:val="ListParagraph"/>
        <w:widowControl/>
        <w:numPr>
          <w:ilvl w:val="1"/>
          <w:numId w:val="2"/>
        </w:numPr>
        <w:shd w:val="clear" w:color="auto" w:fill="FFFFFF"/>
        <w:tabs>
          <w:tab w:val="clear" w:pos="709"/>
          <w:tab w:val="left" w:pos="0" w:leader="none"/>
          <w:tab w:val="left" w:pos="1134" w:leader="none"/>
          <w:tab w:val="left" w:pos="1418" w:leader="none"/>
        </w:tabs>
        <w:ind w:left="0" w:firstLine="709"/>
        <w:jc w:val="both"/>
        <w:rPr>
          <w:bCs/>
          <w:sz w:val="24"/>
          <w:szCs w:val="24"/>
        </w:rPr>
      </w:pPr>
      <w:r>
        <w:rPr>
          <w:sz w:val="24"/>
          <w:szCs w:val="24"/>
        </w:rPr>
        <w:t>Письма, уведомления и / или сообщения направляются Стороне</w:t>
      </w:r>
      <w:r>
        <w:rPr>
          <w:bCs/>
          <w:sz w:val="24"/>
          <w:szCs w:val="24"/>
        </w:rPr>
        <w:t>-</w:t>
      </w:r>
      <w:r>
        <w:rPr>
          <w:sz w:val="24"/>
          <w:szCs w:val="24"/>
        </w:rPr>
        <w:t>получателю по адресу ее места нахождения, указанному в разделе 16 Договора, или в ранее полученном уведомлении Стороны об изменении адреса, одним из следующих способов, при этом документ</w:t>
      </w:r>
      <w:r>
        <w:rPr>
          <w:bCs/>
          <w:sz w:val="24"/>
          <w:szCs w:val="24"/>
        </w:rPr>
        <w:t xml:space="preserve"> будет считаться полученным</w:t>
      </w:r>
      <w:r>
        <w:rPr>
          <w:sz w:val="24"/>
          <w:szCs w:val="24"/>
        </w:rPr>
        <w:t xml:space="preserve">: </w:t>
      </w:r>
    </w:p>
    <w:p>
      <w:pPr>
        <w:pStyle w:val="ListParagraph"/>
        <w:numPr>
          <w:ilvl w:val="2"/>
          <w:numId w:val="2"/>
        </w:numPr>
        <w:ind w:left="0" w:firstLine="709"/>
        <w:jc w:val="both"/>
        <w:rPr>
          <w:sz w:val="24"/>
          <w:szCs w:val="24"/>
        </w:rPr>
      </w:pPr>
      <w:r>
        <w:rPr>
          <w:bCs/>
          <w:sz w:val="24"/>
          <w:szCs w:val="24"/>
        </w:rPr>
        <w:t xml:space="preserve">Заказным почтовым отправлением с уведомлением о вручении – </w:t>
      </w:r>
      <w:r>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ListParagraph"/>
        <w:numPr>
          <w:ilvl w:val="2"/>
          <w:numId w:val="2"/>
        </w:numPr>
        <w:ind w:left="0" w:firstLine="709"/>
        <w:jc w:val="both"/>
        <w:rPr>
          <w:sz w:val="24"/>
          <w:szCs w:val="24"/>
        </w:rPr>
      </w:pPr>
      <w:r>
        <w:rPr>
          <w:bCs/>
          <w:sz w:val="24"/>
          <w:szCs w:val="24"/>
        </w:rPr>
        <w:t>Доставкой лично или курьером Стороны-отправителя – в дату и время фактического приема уведомления Стороной-получателем с отметкой о получении</w:t>
      </w:r>
      <w:r>
        <w:rPr>
          <w:sz w:val="24"/>
          <w:szCs w:val="24"/>
        </w:rPr>
        <w:t xml:space="preserve">; </w:t>
      </w:r>
    </w:p>
    <w:p>
      <w:pPr>
        <w:pStyle w:val="ListParagraph"/>
        <w:numPr>
          <w:ilvl w:val="2"/>
          <w:numId w:val="2"/>
        </w:numPr>
        <w:ind w:left="0" w:firstLine="709"/>
        <w:jc w:val="both"/>
        <w:rPr>
          <w:bCs/>
          <w:sz w:val="24"/>
          <w:szCs w:val="24"/>
        </w:rPr>
      </w:pPr>
      <w:r>
        <w:rPr>
          <w:bCs/>
          <w:sz w:val="24"/>
          <w:szCs w:val="24"/>
        </w:rPr>
        <w:t>Посредством электронной почты (</w:t>
      </w:r>
      <w:r>
        <w:rPr>
          <w:bCs/>
          <w:sz w:val="24"/>
          <w:szCs w:val="24"/>
          <w:lang w:val="en-US"/>
        </w:rPr>
        <w:t>e</w:t>
      </w:r>
      <w:r>
        <w:rPr>
          <w:bCs/>
          <w:sz w:val="24"/>
          <w:szCs w:val="24"/>
        </w:rPr>
        <w:t>-</w:t>
      </w:r>
      <w:r>
        <w:rPr>
          <w:bCs/>
          <w:sz w:val="24"/>
          <w:szCs w:val="24"/>
          <w:lang w:val="en-US"/>
        </w:rPr>
        <w:t>mail</w:t>
      </w:r>
      <w:r>
        <w:rPr>
          <w:bCs/>
          <w:sz w:val="24"/>
          <w:szCs w:val="24"/>
        </w:rPr>
        <w:t>) – в дату направления электронного сообщения, зафиксированную на почтовом сервере отправителя.</w:t>
      </w:r>
    </w:p>
    <w:p>
      <w:pPr>
        <w:pStyle w:val="ListParagraph"/>
        <w:shd w:val="clear" w:color="auto" w:fill="FFFFFF"/>
        <w:tabs>
          <w:tab w:val="clear" w:pos="709"/>
          <w:tab w:val="left" w:pos="0" w:leader="none"/>
          <w:tab w:val="left" w:pos="1418" w:leader="none"/>
          <w:tab w:val="left" w:pos="1701" w:leader="none"/>
        </w:tabs>
        <w:ind w:left="0" w:firstLine="709"/>
        <w:jc w:val="both"/>
        <w:rPr>
          <w:bCs/>
          <w:sz w:val="24"/>
          <w:szCs w:val="24"/>
        </w:rPr>
      </w:pPr>
      <w:r>
        <w:rPr>
          <w:bCs/>
          <w:sz w:val="24"/>
          <w:szCs w:val="24"/>
        </w:rPr>
        <w:t xml:space="preserve">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пунктах </w:t>
      </w:r>
      <w:r>
        <w:rPr>
          <w:bCs/>
          <w:sz w:val="24"/>
          <w:szCs w:val="24"/>
          <w:highlight w:val="lightGray"/>
        </w:rPr>
        <w:t>14.8.1 – 14.8.2</w:t>
      </w:r>
      <w:r>
        <w:rPr>
          <w:bCs/>
          <w:sz w:val="24"/>
          <w:szCs w:val="24"/>
        </w:rPr>
        <w:t xml:space="preserve"> Договора. </w:t>
      </w:r>
    </w:p>
    <w:p>
      <w:pPr>
        <w:pStyle w:val="Normal"/>
        <w:widowControl/>
        <w:numPr>
          <w:ilvl w:val="1"/>
          <w:numId w:val="2"/>
        </w:numPr>
        <w:tabs>
          <w:tab w:val="clear" w:pos="709"/>
          <w:tab w:val="left" w:pos="0" w:leader="none"/>
          <w:tab w:val="left" w:pos="1418" w:leader="none"/>
          <w:tab w:val="left" w:pos="1985" w:leader="none"/>
        </w:tabs>
        <w:ind w:left="0" w:firstLine="709"/>
        <w:jc w:val="both"/>
        <w:rPr>
          <w:bCs/>
          <w:sz w:val="24"/>
          <w:szCs w:val="24"/>
        </w:rPr>
      </w:pPr>
      <w:r>
        <w:rPr>
          <w:bCs/>
          <w:sz w:val="24"/>
          <w:szCs w:val="24"/>
        </w:rPr>
        <w:t xml:space="preserve">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 реализовать это право в будущем. </w:t>
      </w:r>
    </w:p>
    <w:p>
      <w:pPr>
        <w:pStyle w:val="ListParagraph"/>
        <w:widowControl/>
        <w:numPr>
          <w:ilvl w:val="1"/>
          <w:numId w:val="2"/>
        </w:numPr>
        <w:shd w:val="clear" w:color="auto" w:fill="FFFFFF"/>
        <w:tabs>
          <w:tab w:val="clear" w:pos="709"/>
          <w:tab w:val="left" w:pos="0" w:leader="none"/>
          <w:tab w:val="left" w:pos="1418" w:leader="none"/>
          <w:tab w:val="left" w:pos="1985" w:leader="none"/>
        </w:tabs>
        <w:ind w:left="0" w:firstLine="709"/>
        <w:jc w:val="both"/>
        <w:rPr>
          <w:bCs/>
          <w:sz w:val="24"/>
          <w:szCs w:val="24"/>
        </w:rPr>
      </w:pPr>
      <w:r>
        <w:rPr>
          <w:sz w:val="24"/>
          <w:szCs w:val="24"/>
        </w:rPr>
        <w:t xml:space="preserve">Уступка (передача), в том числе в залог, прав (требований) к Покупателю </w:t>
        <w:br/>
        <w:t>по денежным обязательствам, принадлежащих Поставщику на основании Договора, допускается только с предварительного письменного согласия Покупателя и оформляется трехсторонним договором</w:t>
      </w:r>
      <w:r>
        <w:rPr>
          <w:rStyle w:val="FootnoteReference"/>
          <w:sz w:val="24"/>
          <w:szCs w:val="24"/>
        </w:rPr>
        <w:footnoteReference w:id="15"/>
      </w:r>
      <w:r>
        <w:rPr>
          <w:bCs/>
          <w:sz w:val="24"/>
          <w:szCs w:val="24"/>
        </w:rPr>
        <w:t>.</w:t>
      </w:r>
      <w:r>
        <w:rPr>
          <w:sz w:val="24"/>
          <w:szCs w:val="24"/>
        </w:rPr>
        <w:t xml:space="preserve">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 xml:space="preserve">Во всем остальном, что не урегулировано Договором, Стороны руководствуются законодательством Российской Федерации. </w:t>
      </w:r>
    </w:p>
    <w:p>
      <w:pPr>
        <w:pStyle w:val="ListParagraph"/>
        <w:widowControl/>
        <w:numPr>
          <w:ilvl w:val="1"/>
          <w:numId w:val="2"/>
        </w:numPr>
        <w:shd w:val="clear" w:color="auto" w:fill="FFFFFF"/>
        <w:tabs>
          <w:tab w:val="clear" w:pos="709"/>
          <w:tab w:val="left" w:pos="0" w:leader="none"/>
          <w:tab w:val="left" w:pos="1418" w:leader="none"/>
        </w:tabs>
        <w:ind w:left="0" w:firstLine="709"/>
        <w:jc w:val="both"/>
        <w:rPr>
          <w:sz w:val="24"/>
          <w:szCs w:val="24"/>
        </w:rPr>
      </w:pPr>
      <w:r>
        <w:rPr>
          <w:sz w:val="24"/>
          <w:szCs w:val="24"/>
        </w:rPr>
        <w:t>Договор составлен в 2 (двух) оригинальных экземплярах, имеющих равную юридическую силу, по 1 (одному) для каждой из Сторон</w:t>
      </w:r>
      <w:r>
        <w:rPr>
          <w:rStyle w:val="FootnoteReference"/>
          <w:sz w:val="24"/>
          <w:szCs w:val="24"/>
          <w:highlight w:val="lightGray"/>
        </w:rPr>
        <w:footnoteReference w:id="16"/>
      </w:r>
      <w:r>
        <w:rPr>
          <w:sz w:val="24"/>
          <w:szCs w:val="24"/>
          <w:highlight w:val="lightGray"/>
        </w:rPr>
        <w:t>.</w:t>
      </w:r>
    </w:p>
    <w:p>
      <w:pPr>
        <w:pStyle w:val="Normal"/>
        <w:shd w:val="clear" w:color="auto" w:fill="FFFFFF"/>
        <w:ind w:firstLine="567"/>
        <w:jc w:val="both"/>
        <w:rPr>
          <w:sz w:val="24"/>
          <w:szCs w:val="24"/>
        </w:rPr>
      </w:pPr>
      <w:r>
        <w:rPr>
          <w:sz w:val="24"/>
          <w:szCs w:val="24"/>
        </w:rPr>
      </w:r>
    </w:p>
    <w:p>
      <w:pPr>
        <w:pStyle w:val="Normal"/>
        <w:widowControl/>
        <w:numPr>
          <w:ilvl w:val="0"/>
          <w:numId w:val="2"/>
        </w:numPr>
        <w:shd w:val="clear" w:color="auto" w:fill="FFFFFF"/>
        <w:tabs>
          <w:tab w:val="clear" w:pos="709"/>
          <w:tab w:val="left" w:pos="284" w:leader="none"/>
        </w:tabs>
        <w:spacing w:lineRule="auto" w:line="259" w:before="0" w:after="0"/>
        <w:contextualSpacing/>
        <w:jc w:val="center"/>
        <w:rPr>
          <w:b/>
          <w:bCs/>
          <w:sz w:val="24"/>
          <w:szCs w:val="24"/>
        </w:rPr>
      </w:pPr>
      <w:r>
        <w:rPr>
          <w:b/>
          <w:bCs/>
          <w:sz w:val="24"/>
          <w:szCs w:val="24"/>
        </w:rPr>
        <w:t xml:space="preserve">Список приложений </w:t>
      </w:r>
    </w:p>
    <w:p>
      <w:pPr>
        <w:pStyle w:val="Normal"/>
        <w:widowControl/>
        <w:shd w:val="clear" w:color="auto" w:fill="FFFFFF"/>
        <w:tabs>
          <w:tab w:val="clear" w:pos="709"/>
          <w:tab w:val="left" w:pos="0" w:leader="none"/>
        </w:tabs>
        <w:suppressAutoHyphens w:val="true"/>
        <w:ind w:firstLine="709"/>
        <w:jc w:val="both"/>
        <w:rPr>
          <w:rFonts w:eastAsia="Calibri"/>
          <w:sz w:val="24"/>
          <w:szCs w:val="24"/>
          <w:lang w:eastAsia="en-US"/>
        </w:rPr>
      </w:pPr>
      <w:bookmarkStart w:id="13" w:name="sub_1"/>
      <w:r>
        <w:rPr>
          <w:rFonts w:eastAsia="Calibri"/>
          <w:sz w:val="24"/>
          <w:szCs w:val="24"/>
          <w:lang w:eastAsia="en-US"/>
        </w:rPr>
        <w:t>Приложение № 1 – Спецификация.</w:t>
      </w:r>
    </w:p>
    <w:p>
      <w:pPr>
        <w:pStyle w:val="Normal"/>
        <w:widowControl/>
        <w:shd w:val="clear" w:color="auto" w:fill="FFFFFF"/>
        <w:tabs>
          <w:tab w:val="clear" w:pos="709"/>
          <w:tab w:val="left" w:pos="0" w:leader="none"/>
          <w:tab w:val="left" w:pos="2694" w:leader="none"/>
        </w:tabs>
        <w:suppressAutoHyphens w:val="true"/>
        <w:ind w:firstLine="709"/>
        <w:jc w:val="both"/>
        <w:rPr>
          <w:rFonts w:eastAsia="Calibri"/>
          <w:sz w:val="24"/>
          <w:szCs w:val="24"/>
          <w:lang w:eastAsia="en-US"/>
        </w:rPr>
      </w:pPr>
      <w:r>
        <w:rPr>
          <w:rFonts w:eastAsia="Calibri"/>
          <w:sz w:val="24"/>
          <w:szCs w:val="24"/>
          <w:lang w:eastAsia="en-US"/>
        </w:rPr>
        <w:t xml:space="preserve">Приложение № 2 – </w:t>
      </w:r>
      <w:r>
        <w:rPr>
          <w:sz w:val="24"/>
          <w:szCs w:val="24"/>
          <w:lang w:eastAsia="x-none"/>
        </w:rPr>
        <w:t>Технические требования.</w:t>
      </w:r>
    </w:p>
    <w:p>
      <w:pPr>
        <w:pStyle w:val="Normal"/>
        <w:widowControl/>
        <w:shd w:val="clear" w:color="auto" w:fill="FFFFFF"/>
        <w:tabs>
          <w:tab w:val="clear" w:pos="709"/>
          <w:tab w:val="left" w:pos="0" w:leader="none"/>
          <w:tab w:val="left" w:pos="2694" w:leader="none"/>
        </w:tabs>
        <w:suppressAutoHyphens w:val="true"/>
        <w:ind w:firstLine="709"/>
        <w:jc w:val="both"/>
        <w:rPr>
          <w:sz w:val="24"/>
          <w:szCs w:val="24"/>
        </w:rPr>
      </w:pPr>
      <w:r>
        <w:rPr>
          <w:sz w:val="24"/>
          <w:szCs w:val="24"/>
          <w:lang w:eastAsia="x-none"/>
        </w:rPr>
        <w:t>Приложение № 3 –</w:t>
      </w:r>
      <w:r>
        <w:rPr>
          <w:rFonts w:eastAsia="Calibri"/>
          <w:sz w:val="24"/>
          <w:szCs w:val="24"/>
          <w:lang w:eastAsia="en-US"/>
        </w:rPr>
        <w:t xml:space="preserve"> Критерии отбора Банков-Гарантов.</w:t>
      </w:r>
      <w:bookmarkEnd w:id="13"/>
    </w:p>
    <w:p>
      <w:pPr>
        <w:pStyle w:val="Normal"/>
        <w:ind w:firstLine="709"/>
        <w:jc w:val="both"/>
        <w:rPr>
          <w:bCs/>
          <w:sz w:val="24"/>
          <w:szCs w:val="24"/>
        </w:rPr>
      </w:pPr>
      <w:r>
        <w:rPr>
          <w:bCs/>
          <w:sz w:val="24"/>
          <w:szCs w:val="24"/>
        </w:rPr>
        <w:t xml:space="preserve">Приложение № 4 </w:t>
      </w:r>
      <w:r>
        <w:rPr>
          <w:rFonts w:eastAsia="Calibri"/>
          <w:sz w:val="24"/>
          <w:szCs w:val="24"/>
          <w:lang w:eastAsia="en-US"/>
        </w:rPr>
        <w:t>–</w:t>
      </w:r>
      <w:r>
        <w:rPr>
          <w:bCs/>
          <w:sz w:val="24"/>
          <w:szCs w:val="24"/>
        </w:rPr>
        <w:t xml:space="preserve"> Размер ответственности Поставщика за нарушения пропускного </w:t>
        <w:br/>
        <w:t>и внутриобъектового режима, требований охраны труда, пожарной и промышленной безопасности.</w:t>
      </w:r>
    </w:p>
    <w:p>
      <w:pPr>
        <w:pStyle w:val="Normal"/>
        <w:ind w:firstLine="709"/>
        <w:jc w:val="both"/>
        <w:rPr>
          <w:sz w:val="24"/>
          <w:szCs w:val="24"/>
        </w:rPr>
      </w:pPr>
      <w:r>
        <w:rPr>
          <w:sz w:val="24"/>
          <w:szCs w:val="24"/>
        </w:rPr>
      </w:r>
    </w:p>
    <w:p>
      <w:pPr>
        <w:pStyle w:val="ListParagraph"/>
        <w:widowControl/>
        <w:numPr>
          <w:ilvl w:val="0"/>
          <w:numId w:val="2"/>
        </w:numPr>
        <w:shd w:val="clear" w:color="auto" w:fill="FFFFFF"/>
        <w:tabs>
          <w:tab w:val="clear" w:pos="709"/>
          <w:tab w:val="left" w:pos="426" w:leader="none"/>
        </w:tabs>
        <w:ind w:left="0" w:hanging="360"/>
        <w:jc w:val="center"/>
        <w:rPr>
          <w:b/>
          <w:bCs/>
          <w:sz w:val="24"/>
          <w:szCs w:val="24"/>
        </w:rPr>
      </w:pPr>
      <w:r>
        <w:rPr>
          <w:b/>
          <w:bCs/>
          <w:sz w:val="24"/>
          <w:szCs w:val="24"/>
        </w:rPr>
        <w:t>Адреса и платежные реквизиты Сторон</w:t>
      </w:r>
    </w:p>
    <w:p>
      <w:pPr>
        <w:pStyle w:val="ListParagraph"/>
        <w:widowControl/>
        <w:shd w:val="clear" w:color="auto" w:fill="FFFFFF"/>
        <w:tabs>
          <w:tab w:val="clear" w:pos="709"/>
          <w:tab w:val="left" w:pos="426" w:leader="none"/>
        </w:tabs>
        <w:ind w:left="360" w:hanging="0"/>
        <w:rPr>
          <w:b/>
          <w:bCs/>
          <w:sz w:val="24"/>
          <w:szCs w:val="24"/>
        </w:rPr>
      </w:pPr>
      <w:r>
        <w:rPr>
          <w:b/>
          <w:bCs/>
          <w:sz w:val="24"/>
          <w:szCs w:val="24"/>
        </w:rPr>
      </w:r>
    </w:p>
    <w:tbl>
      <w:tblPr>
        <w:tblW w:w="9890"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4784"/>
        <w:gridCol w:w="144"/>
        <w:gridCol w:w="4642"/>
        <w:gridCol w:w="320"/>
      </w:tblGrid>
      <w:tr>
        <w:trPr/>
        <w:tc>
          <w:tcPr>
            <w:tcW w:w="4928" w:type="dxa"/>
            <w:gridSpan w:val="2"/>
            <w:tcBorders/>
          </w:tcPr>
          <w:p>
            <w:pPr>
              <w:pStyle w:val="Normal"/>
              <w:widowControl w:val="false"/>
              <w:rPr>
                <w:sz w:val="24"/>
                <w:szCs w:val="24"/>
              </w:rPr>
            </w:pPr>
            <w:r>
              <w:rPr>
                <w:sz w:val="24"/>
                <w:szCs w:val="24"/>
              </w:rPr>
              <w:t>ПОКУПАТЕЛЬ:</w:t>
            </w:r>
          </w:p>
        </w:tc>
        <w:tc>
          <w:tcPr>
            <w:tcW w:w="4962" w:type="dxa"/>
            <w:gridSpan w:val="2"/>
            <w:tcBorders/>
          </w:tcPr>
          <w:p>
            <w:pPr>
              <w:pStyle w:val="Normal"/>
              <w:widowControl w:val="false"/>
              <w:rPr>
                <w:sz w:val="24"/>
                <w:szCs w:val="24"/>
              </w:rPr>
            </w:pPr>
            <w:r>
              <w:rPr>
                <w:sz w:val="24"/>
                <w:szCs w:val="24"/>
              </w:rPr>
              <w:t>ПОСТАВЩИК:</w:t>
            </w:r>
          </w:p>
        </w:tc>
      </w:tr>
      <w:tr>
        <w:trPr/>
        <w:tc>
          <w:tcPr>
            <w:tcW w:w="4928"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c>
          <w:tcPr>
            <w:tcW w:w="4962" w:type="dxa"/>
            <w:gridSpan w:val="2"/>
            <w:tcBorders/>
            <w:shd w:color="auto" w:fill="BFBFBF" w:val="clear"/>
          </w:tcPr>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юридического лица)</w:t>
            </w:r>
          </w:p>
          <w:p>
            <w:pPr>
              <w:pStyle w:val="Normal"/>
              <w:widowControl w:val="false"/>
              <w:rPr>
                <w:sz w:val="24"/>
                <w:szCs w:val="24"/>
              </w:rPr>
            </w:pPr>
            <w:r>
              <w:rPr>
                <w:sz w:val="24"/>
                <w:szCs w:val="24"/>
              </w:rPr>
            </w:r>
          </w:p>
          <w:p>
            <w:pPr>
              <w:pStyle w:val="Normal"/>
              <w:widowControl w:val="false"/>
              <w:rPr>
                <w:sz w:val="24"/>
                <w:szCs w:val="24"/>
              </w:rPr>
            </w:pPr>
            <w:r>
              <w:rPr>
                <w:sz w:val="24"/>
                <w:szCs w:val="24"/>
              </w:rPr>
              <w:t>Место нахождения:</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r>
          </w:p>
          <w:p>
            <w:pPr>
              <w:pStyle w:val="Normal"/>
              <w:widowControl w:val="false"/>
              <w:rPr>
                <w:sz w:val="24"/>
                <w:szCs w:val="24"/>
              </w:rPr>
            </w:pPr>
            <w:r>
              <w:rPr>
                <w:sz w:val="24"/>
                <w:szCs w:val="24"/>
              </w:rPr>
              <w:t>Почтовый адрес:</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ОГРН ___________________________</w:t>
            </w:r>
          </w:p>
          <w:p>
            <w:pPr>
              <w:pStyle w:val="Normal"/>
              <w:widowControl w:val="false"/>
              <w:rPr>
                <w:sz w:val="24"/>
                <w:szCs w:val="24"/>
              </w:rPr>
            </w:pPr>
            <w:r>
              <w:rPr>
                <w:sz w:val="24"/>
                <w:szCs w:val="24"/>
              </w:rPr>
              <w:t>ИНН ____________ / КПП___________</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расчетного счета)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(наименование банка, в котором</w:t>
            </w:r>
          </w:p>
          <w:p>
            <w:pPr>
              <w:pStyle w:val="Normal"/>
              <w:widowControl w:val="false"/>
              <w:rPr>
                <w:sz w:val="24"/>
                <w:szCs w:val="24"/>
              </w:rPr>
            </w:pPr>
            <w:r>
              <w:rPr>
                <w:sz w:val="24"/>
                <w:szCs w:val="24"/>
              </w:rPr>
              <w:t>открыт расчетный счет)</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корреспондентского счета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(БИК банка)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телефона)</w:t>
            </w:r>
          </w:p>
          <w:p>
            <w:pPr>
              <w:pStyle w:val="Normal"/>
              <w:widowControl w:val="false"/>
              <w:rPr>
                <w:sz w:val="24"/>
                <w:szCs w:val="24"/>
              </w:rPr>
            </w:pPr>
            <w:r>
              <w:rPr>
                <w:sz w:val="24"/>
                <w:szCs w:val="24"/>
              </w:rPr>
              <w:t>_________________________________</w:t>
            </w:r>
          </w:p>
          <w:p>
            <w:pPr>
              <w:pStyle w:val="Normal"/>
              <w:widowControl w:val="false"/>
              <w:rPr>
                <w:sz w:val="24"/>
                <w:szCs w:val="24"/>
              </w:rPr>
            </w:pPr>
            <w:r>
              <w:rPr>
                <w:sz w:val="24"/>
                <w:szCs w:val="24"/>
              </w:rPr>
              <w:t>(номер факса)</w:t>
            </w:r>
          </w:p>
          <w:p>
            <w:pPr>
              <w:pStyle w:val="Normal"/>
              <w:widowControl w:val="false"/>
              <w:rPr>
                <w:sz w:val="24"/>
                <w:szCs w:val="24"/>
              </w:rPr>
            </w:pPr>
            <w:r>
              <w:rPr>
                <w:sz w:val="24"/>
                <w:szCs w:val="24"/>
              </w:rPr>
            </w:r>
          </w:p>
        </w:tc>
      </w:tr>
      <w:tr>
        <w:trPr/>
        <w:tc>
          <w:tcPr>
            <w:tcW w:w="4784" w:type="dxa"/>
            <w:tcBorders/>
          </w:tcPr>
          <w:p>
            <w:pPr>
              <w:pStyle w:val="Normal"/>
              <w:widowControl w:val="false"/>
              <w:rPr>
                <w:sz w:val="24"/>
                <w:szCs w:val="24"/>
                <w:highlight w:val="lightGray"/>
              </w:rPr>
            </w:pPr>
            <w:r>
              <w:rPr>
                <w:sz w:val="24"/>
                <w:szCs w:val="24"/>
                <w:highlight w:val="lightGray"/>
              </w:rPr>
              <w:t xml:space="preserve">_______________ / _______________ </w:t>
            </w:r>
          </w:p>
          <w:p>
            <w:pPr>
              <w:pStyle w:val="Normal"/>
              <w:widowControl w:val="false"/>
              <w:rPr>
                <w:sz w:val="24"/>
                <w:szCs w:val="24"/>
                <w:highlight w:val="lightGray"/>
              </w:rPr>
            </w:pPr>
            <w:r>
              <w:rPr>
                <w:sz w:val="24"/>
                <w:szCs w:val="24"/>
                <w:highlight w:val="lightGray"/>
              </w:rPr>
            </w:r>
          </w:p>
        </w:tc>
        <w:tc>
          <w:tcPr>
            <w:tcW w:w="4786" w:type="dxa"/>
            <w:gridSpan w:val="2"/>
            <w:tcBorders/>
          </w:tcPr>
          <w:p>
            <w:pPr>
              <w:pStyle w:val="Normal"/>
              <w:widowControl w:val="false"/>
              <w:rPr>
                <w:sz w:val="24"/>
                <w:szCs w:val="24"/>
              </w:rPr>
            </w:pPr>
            <w:r>
              <w:rPr>
                <w:sz w:val="24"/>
                <w:szCs w:val="24"/>
                <w:highlight w:val="lightGray"/>
              </w:rPr>
              <w:t>_______________ / _______________</w:t>
            </w:r>
            <w:r>
              <w:rPr>
                <w:sz w:val="24"/>
                <w:szCs w:val="24"/>
              </w:rPr>
              <w:t xml:space="preserve"> </w:t>
            </w:r>
          </w:p>
        </w:tc>
        <w:tc>
          <w:tcPr>
            <w:tcW w:w="320" w:type="dxa"/>
            <w:tcBorders/>
          </w:tcPr>
          <w:p>
            <w:pPr>
              <w:pStyle w:val="Normal"/>
              <w:widowControl w:val="false"/>
              <w:rPr/>
            </w:pPr>
            <w:r>
              <w:rPr/>
            </w:r>
          </w:p>
        </w:tc>
      </w:tr>
    </w:tbl>
    <w:p>
      <w:pPr>
        <w:sectPr>
          <w:headerReference w:type="default" r:id="rId5"/>
          <w:headerReference w:type="first" r:id="rId6"/>
          <w:footerReference w:type="default" r:id="rId7"/>
          <w:footnotePr>
            <w:numFmt w:val="decimal"/>
          </w:footnotePr>
          <w:type w:val="nextPage"/>
          <w:pgSz w:w="11906" w:h="16838"/>
          <w:pgMar w:left="1560" w:right="851" w:gutter="0" w:header="709" w:top="1134" w:footer="709" w:bottom="1135"/>
          <w:pgNumType w:fmt="decimal"/>
          <w:formProt w:val="false"/>
          <w:titlePg/>
          <w:textDirection w:val="lrTb"/>
          <w:docGrid w:type="default" w:linePitch="360" w:charSpace="8192"/>
        </w:sectPr>
      </w:pPr>
    </w:p>
    <w:p>
      <w:pPr>
        <w:pStyle w:val="Normal"/>
        <w:suppressAutoHyphens w:val="true"/>
        <w:ind w:left="5103" w:right="96" w:hanging="0"/>
        <w:rPr>
          <w:sz w:val="22"/>
          <w:szCs w:val="22"/>
        </w:rPr>
      </w:pPr>
      <w:r>
        <w:rPr>
          <w:sz w:val="22"/>
          <w:szCs w:val="22"/>
        </w:rPr>
        <w:t>Приложение № 1</w:t>
      </w:r>
    </w:p>
    <w:p>
      <w:pPr>
        <w:pStyle w:val="Normal"/>
        <w:suppressAutoHyphens w:val="true"/>
        <w:ind w:left="5103" w:right="96" w:hanging="0"/>
        <w:rPr>
          <w:sz w:val="22"/>
          <w:szCs w:val="22"/>
        </w:rPr>
      </w:pPr>
      <w:r>
        <w:rPr>
          <w:sz w:val="22"/>
          <w:szCs w:val="22"/>
        </w:rPr>
        <w:t>к Договору поставки</w:t>
      </w:r>
    </w:p>
    <w:p>
      <w:pPr>
        <w:pStyle w:val="Normal"/>
        <w:suppressAutoHyphens w:val="true"/>
        <w:ind w:left="5103" w:right="96" w:hanging="0"/>
        <w:rPr>
          <w:sz w:val="22"/>
          <w:szCs w:val="22"/>
        </w:rPr>
      </w:pPr>
      <w:r>
        <w:rPr>
          <w:sz w:val="22"/>
          <w:szCs w:val="22"/>
        </w:rPr>
        <w:t>от «____» __________ 20 _ г. № _____</w:t>
      </w:r>
    </w:p>
    <w:p>
      <w:pPr>
        <w:pStyle w:val="Normal"/>
        <w:jc w:val="center"/>
        <w:rPr>
          <w:b/>
          <w:sz w:val="24"/>
          <w:szCs w:val="24"/>
        </w:rPr>
      </w:pPr>
      <w:r>
        <w:rPr>
          <w:b/>
          <w:sz w:val="24"/>
          <w:szCs w:val="24"/>
        </w:rPr>
      </w:r>
    </w:p>
    <w:p>
      <w:pPr>
        <w:pStyle w:val="Normal"/>
        <w:jc w:val="center"/>
        <w:rPr>
          <w:b/>
          <w:sz w:val="24"/>
          <w:szCs w:val="24"/>
        </w:rPr>
      </w:pPr>
      <w:r>
        <w:rPr>
          <w:b/>
          <w:sz w:val="24"/>
          <w:szCs w:val="24"/>
        </w:rPr>
        <w:t xml:space="preserve">СПЕЦИФИКАЦИЯ </w:t>
      </w:r>
    </w:p>
    <w:p>
      <w:pPr>
        <w:pStyle w:val="Normal"/>
        <w:jc w:val="center"/>
        <w:rPr>
          <w:b/>
          <w:sz w:val="24"/>
          <w:szCs w:val="24"/>
        </w:rPr>
      </w:pPr>
      <w:r>
        <w:rPr>
          <w:b/>
          <w:sz w:val="24"/>
          <w:szCs w:val="24"/>
        </w:rPr>
      </w:r>
    </w:p>
    <w:tbl>
      <w:tblPr>
        <w:tblW w:w="5000" w:type="pct"/>
        <w:jc w:val="left"/>
        <w:tblInd w:w="-714" w:type="dxa"/>
        <w:tblLayout w:type="fixed"/>
        <w:tblCellMar>
          <w:top w:w="0" w:type="dxa"/>
          <w:left w:w="108" w:type="dxa"/>
          <w:bottom w:w="0" w:type="dxa"/>
          <w:right w:w="108" w:type="dxa"/>
        </w:tblCellMar>
        <w:tblLook w:noVBand="1" w:val="04a0" w:noHBand="0" w:lastColumn="0" w:firstColumn="1" w:lastRow="0" w:firstRow="1"/>
      </w:tblPr>
      <w:tblGrid>
        <w:gridCol w:w="401"/>
        <w:gridCol w:w="629"/>
        <w:gridCol w:w="636"/>
        <w:gridCol w:w="638"/>
        <w:gridCol w:w="802"/>
        <w:gridCol w:w="763"/>
        <w:gridCol w:w="644"/>
        <w:gridCol w:w="762"/>
        <w:gridCol w:w="720"/>
        <w:gridCol w:w="384"/>
        <w:gridCol w:w="151"/>
        <w:gridCol w:w="671"/>
        <w:gridCol w:w="575"/>
        <w:gridCol w:w="536"/>
        <w:gridCol w:w="745"/>
        <w:gridCol w:w="580"/>
      </w:tblGrid>
      <w:tr>
        <w:trPr>
          <w:trHeight w:val="526" w:hRule="atLeast"/>
        </w:trPr>
        <w:tc>
          <w:tcPr>
            <w:tcW w:w="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 xml:space="preserve">№ </w:t>
            </w:r>
            <w:r>
              <w:rPr>
                <w:bCs/>
              </w:rPr>
              <w:t>поз.</w:t>
            </w:r>
          </w:p>
        </w:tc>
        <w:tc>
          <w:tcPr>
            <w:tcW w:w="6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Наименование Товара</w:t>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Артикул, тип, марка</w:t>
            </w:r>
          </w:p>
        </w:tc>
        <w:tc>
          <w:tcPr>
            <w:tcW w:w="63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Завод изготовитель</w:t>
            </w:r>
          </w:p>
        </w:tc>
        <w:tc>
          <w:tcPr>
            <w:tcW w:w="80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t>Страна происхождения Товара</w:t>
            </w:r>
            <w:r>
              <w:rPr>
                <w:rStyle w:val="FootnoteReference"/>
                <w:bCs/>
              </w:rPr>
              <w:footnoteReference w:id="17"/>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t>Страна регистрации производителя Товара</w:t>
            </w:r>
          </w:p>
        </w:tc>
        <w:tc>
          <w:tcPr>
            <w:tcW w:w="6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Код ОКПД 2 (с наименованием)</w:t>
            </w:r>
          </w:p>
        </w:tc>
        <w:tc>
          <w:tcPr>
            <w:tcW w:w="76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Единица измерения</w:t>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Cs/>
              </w:rPr>
            </w:pPr>
            <w:r>
              <w:rPr>
                <w:bCs/>
              </w:rPr>
            </w:r>
          </w:p>
          <w:p>
            <w:pPr>
              <w:pStyle w:val="Normal"/>
              <w:widowControl w:val="false"/>
              <w:jc w:val="center"/>
              <w:rPr>
                <w:b/>
                <w:bCs/>
              </w:rPr>
            </w:pPr>
            <w:r>
              <w:rPr>
                <w:b/>
                <w:bCs/>
              </w:rPr>
            </w:r>
          </w:p>
          <w:p>
            <w:pPr>
              <w:pStyle w:val="Normal"/>
              <w:widowControl w:val="false"/>
              <w:jc w:val="center"/>
              <w:rPr>
                <w:bCs/>
              </w:rPr>
            </w:pPr>
            <w:r>
              <w:rPr>
                <w:bCs/>
                <w:highlight w:val="lightGray"/>
              </w:rPr>
              <w:t>Порядковый номер(а) реестровой(ых) записи(ей)</w:t>
            </w:r>
            <w:r>
              <w:rPr>
                <w:rStyle w:val="FootnoteReference"/>
                <w:bCs/>
                <w:highlight w:val="lightGray"/>
              </w:rPr>
              <w:footnoteReference w:id="18"/>
            </w:r>
          </w:p>
          <w:p>
            <w:pPr>
              <w:pStyle w:val="Normal"/>
              <w:widowControl w:val="false"/>
              <w:jc w:val="center"/>
              <w:rPr>
                <w:bCs/>
              </w:rPr>
            </w:pPr>
            <w:r>
              <w:rPr>
                <w:bCs/>
              </w:rPr>
            </w:r>
          </w:p>
        </w:tc>
        <w:tc>
          <w:tcPr>
            <w:tcW w:w="53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Количество</w:t>
            </w:r>
          </w:p>
        </w:tc>
        <w:tc>
          <w:tcPr>
            <w:tcW w:w="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за единицу, руб. без НДС</w:t>
            </w:r>
          </w:p>
        </w:tc>
        <w:tc>
          <w:tcPr>
            <w:tcW w:w="5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Цена, руб. без НДС</w:t>
            </w:r>
          </w:p>
        </w:tc>
        <w:tc>
          <w:tcPr>
            <w:tcW w:w="5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НДС</w:t>
            </w:r>
          </w:p>
          <w:p>
            <w:pPr>
              <w:pStyle w:val="Normal"/>
              <w:widowControl w:val="false"/>
              <w:jc w:val="center"/>
              <w:rPr>
                <w:bCs/>
              </w:rPr>
            </w:pPr>
            <w:r>
              <w:rPr>
                <w:bCs/>
              </w:rPr>
              <w:t>(___%) руб.</w:t>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Стоимость, руб., с НДС</w:t>
            </w:r>
          </w:p>
        </w:tc>
        <w:tc>
          <w:tcPr>
            <w:tcW w:w="5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bCs/>
              </w:rPr>
            </w:pPr>
            <w:r>
              <w:rPr>
                <w:bCs/>
              </w:rPr>
              <w:t>Перечень сопроводительных документов (в том числе подтверждающих качество Товара)</w:t>
            </w:r>
          </w:p>
        </w:tc>
      </w:tr>
      <w:tr>
        <w:trPr>
          <w:trHeight w:val="538" w:hRule="atLeast"/>
        </w:trPr>
        <w:tc>
          <w:tcPr>
            <w:tcW w:w="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1</w:t>
            </w:r>
          </w:p>
        </w:tc>
        <w:tc>
          <w:tcPr>
            <w:tcW w:w="6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80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538" w:hRule="atLeast"/>
        </w:trPr>
        <w:tc>
          <w:tcPr>
            <w:tcW w:w="4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lightGray"/>
              </w:rPr>
            </w:pPr>
            <w:r>
              <w:rPr>
                <w:highlight w:val="lightGray"/>
              </w:rPr>
              <w:t>2</w:t>
            </w:r>
          </w:p>
        </w:tc>
        <w:tc>
          <w:tcPr>
            <w:tcW w:w="62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36"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38"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80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3"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644"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62"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720" w:type="dxa"/>
            <w:tcBorders>
              <w:top w:val="single" w:sz="4" w:space="0" w:color="000000"/>
              <w:left w:val="single" w:sz="4" w:space="0" w:color="000000"/>
              <w:bottom w:val="single" w:sz="4" w:space="0" w:color="000000"/>
              <w:right w:val="single" w:sz="4" w:space="0" w:color="000000"/>
            </w:tcBorders>
          </w:tcPr>
          <w:p>
            <w:pPr>
              <w:pStyle w:val="Normal"/>
              <w:widowControl w:val="false"/>
              <w:rPr>
                <w:highlight w:val="yellow"/>
              </w:rPr>
            </w:pPr>
            <w:r>
              <w:rPr>
                <w:highlight w:val="yellow"/>
              </w:rPr>
            </w:r>
          </w:p>
        </w:tc>
        <w:tc>
          <w:tcPr>
            <w:tcW w:w="53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67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7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c>
          <w:tcPr>
            <w:tcW w:w="58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highlight w:val="yellow"/>
              </w:rPr>
            </w:pPr>
            <w:r>
              <w:rPr>
                <w:highlight w:val="yellow"/>
              </w:rPr>
            </w:r>
          </w:p>
        </w:tc>
      </w:tr>
      <w:tr>
        <w:trPr>
          <w:trHeight w:val="62" w:hRule="atLeast"/>
        </w:trPr>
        <w:tc>
          <w:tcPr>
            <w:tcW w:w="6379" w:type="dxa"/>
            <w:gridSpan w:val="10"/>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lightGray"/>
              </w:rPr>
              <w:t>Итого стоимость всего Товара (с учетом доставки), руб. с НДС:</w:t>
            </w:r>
          </w:p>
        </w:tc>
        <w:tc>
          <w:tcPr>
            <w:tcW w:w="3258"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rPr>
                <w:highlight w:val="yellow"/>
              </w:rPr>
            </w:pPr>
            <w:r>
              <w:rPr>
                <w:highlight w:val="yellow"/>
              </w:rPr>
            </w:r>
          </w:p>
        </w:tc>
      </w:tr>
    </w:tbl>
    <w:p>
      <w:pPr>
        <w:pStyle w:val="Normal"/>
        <w:rPr>
          <w:i/>
          <w:i/>
          <w:sz w:val="22"/>
          <w:szCs w:val="22"/>
          <w:highlight w:val="lightGray"/>
        </w:rPr>
      </w:pPr>
      <w:r>
        <w:rPr>
          <w:i/>
          <w:sz w:val="22"/>
          <w:szCs w:val="22"/>
          <w:highlight w:val="lightGray"/>
        </w:rPr>
      </w:r>
    </w:p>
    <w:p>
      <w:pPr>
        <w:pStyle w:val="Normal"/>
        <w:rPr>
          <w:i/>
          <w:i/>
          <w:sz w:val="22"/>
          <w:szCs w:val="22"/>
          <w:highlight w:val="lightGray"/>
        </w:rPr>
      </w:pPr>
      <w:r>
        <w:rPr>
          <w:i/>
          <w:sz w:val="22"/>
          <w:szCs w:val="22"/>
          <w:highlight w:val="lightGray"/>
        </w:rPr>
        <w:t>1. В спецификацию при необходимости включаются требования к Товару, таре/упаковке, перечень нормативных документов, которым должен соответствовать Товар  (ГОСТ, ТУ) и иные сведения, имеющие значение для Договора;</w:t>
      </w:r>
    </w:p>
    <w:p>
      <w:pPr>
        <w:pStyle w:val="Normal"/>
        <w:jc w:val="both"/>
        <w:rPr>
          <w:i/>
          <w:i/>
          <w:sz w:val="22"/>
          <w:szCs w:val="22"/>
        </w:rPr>
      </w:pPr>
      <w:r>
        <w:rPr>
          <w:i/>
          <w:sz w:val="22"/>
          <w:szCs w:val="22"/>
          <w:highlight w:val="lightGray"/>
        </w:rPr>
        <w:t>2. По требованию Покупателя Поставщик обязан представить запрашиваемую информацию / документы, расчеты, обосновывающие стоимость доставки.</w:t>
      </w:r>
      <w:r>
        <w:rPr>
          <w:i/>
          <w:sz w:val="22"/>
          <w:szCs w:val="22"/>
        </w:rPr>
        <w:t xml:space="preserve"> </w:t>
      </w:r>
    </w:p>
    <w:p>
      <w:pPr>
        <w:pStyle w:val="Normal"/>
        <w:rPr>
          <w:i/>
          <w:i/>
          <w:sz w:val="22"/>
          <w:szCs w:val="22"/>
        </w:rPr>
      </w:pPr>
      <w:r>
        <w:rPr>
          <w:i/>
          <w:sz w:val="22"/>
          <w:szCs w:val="22"/>
        </w:rPr>
      </w:r>
    </w:p>
    <w:p>
      <w:pPr>
        <w:pStyle w:val="Normal"/>
        <w:rPr>
          <w:i/>
          <w:i/>
          <w:sz w:val="22"/>
          <w:szCs w:val="22"/>
        </w:rPr>
      </w:pPr>
      <w:r>
        <w:rPr>
          <w:i/>
          <w:sz w:val="22"/>
          <w:szCs w:val="22"/>
        </w:rPr>
      </w:r>
    </w:p>
    <w:tbl>
      <w:tblPr>
        <w:tblW w:w="9632"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826"/>
        <w:gridCol w:w="4805"/>
      </w:tblGrid>
      <w:tr>
        <w:trPr>
          <w:trHeight w:val="269" w:hRule="atLeast"/>
        </w:trPr>
        <w:tc>
          <w:tcPr>
            <w:tcW w:w="4826" w:type="dxa"/>
            <w:tcBorders/>
          </w:tcPr>
          <w:p>
            <w:pPr>
              <w:pStyle w:val="Normal"/>
              <w:widowControl w:val="false"/>
              <w:rPr>
                <w:b/>
                <w:sz w:val="24"/>
              </w:rPr>
            </w:pPr>
            <w:r>
              <w:rPr>
                <w:b/>
                <w:sz w:val="24"/>
              </w:rPr>
              <w:t>Покупатель:</w:t>
            </w:r>
          </w:p>
        </w:tc>
        <w:tc>
          <w:tcPr>
            <w:tcW w:w="4805" w:type="dxa"/>
            <w:tcBorders/>
          </w:tcPr>
          <w:p>
            <w:pPr>
              <w:pStyle w:val="Normal"/>
              <w:widowControl w:val="false"/>
              <w:rPr>
                <w:b/>
                <w:sz w:val="24"/>
              </w:rPr>
            </w:pPr>
            <w:r>
              <w:rPr>
                <w:b/>
                <w:sz w:val="24"/>
              </w:rPr>
              <w:t>Поставщик:</w:t>
            </w:r>
          </w:p>
        </w:tc>
      </w:tr>
    </w:tbl>
    <w:p>
      <w:pPr>
        <w:pStyle w:val="Normal"/>
        <w:rPr/>
      </w:pPr>
      <w:r>
        <w:rPr/>
      </w:r>
    </w:p>
    <w:p>
      <w:pPr>
        <w:pStyle w:val="Normal"/>
        <w:rPr/>
      </w:pPr>
      <w:r>
        <w:rPr/>
        <w:t xml:space="preserve"> </w:t>
      </w:r>
      <w:r>
        <w:rPr/>
        <w:t>__________ /__________</w:t>
        <w:tab/>
        <w:t xml:space="preserve">                                          ___________ /___________</w:t>
      </w:r>
    </w:p>
    <w:p>
      <w:pPr>
        <w:pStyle w:val="Normal"/>
        <w:rPr>
          <w:i/>
          <w:i/>
          <w:sz w:val="24"/>
          <w:szCs w:val="24"/>
          <w:highlight w:val="yellow"/>
        </w:rPr>
      </w:pPr>
      <w:r>
        <w:rPr>
          <w:i/>
          <w:sz w:val="24"/>
          <w:szCs w:val="24"/>
          <w:highlight w:val="yellow"/>
        </w:rPr>
      </w:r>
    </w:p>
    <w:p>
      <w:pPr>
        <w:pStyle w:val="Normal"/>
        <w:widowControl/>
        <w:rPr>
          <w:sz w:val="22"/>
          <w:szCs w:val="22"/>
        </w:rPr>
      </w:pPr>
      <w:r>
        <w:rPr>
          <w:sz w:val="22"/>
          <w:szCs w:val="22"/>
        </w:rPr>
      </w:r>
      <w:r>
        <w:br w:type="page"/>
      </w:r>
    </w:p>
    <w:p>
      <w:pPr>
        <w:pStyle w:val="Normal"/>
        <w:suppressAutoHyphens w:val="true"/>
        <w:ind w:right="96" w:firstLine="5103"/>
        <w:rPr>
          <w:sz w:val="22"/>
          <w:szCs w:val="22"/>
        </w:rPr>
      </w:pPr>
      <w:r>
        <w:rPr>
          <w:sz w:val="22"/>
          <w:szCs w:val="22"/>
        </w:rPr>
        <w:t>Приложение № 2</w:t>
      </w:r>
    </w:p>
    <w:p>
      <w:pPr>
        <w:pStyle w:val="Normal"/>
        <w:suppressAutoHyphens w:val="true"/>
        <w:ind w:right="96" w:firstLine="5103"/>
        <w:rPr>
          <w:sz w:val="22"/>
          <w:szCs w:val="22"/>
        </w:rPr>
      </w:pPr>
      <w:r>
        <w:rPr>
          <w:sz w:val="22"/>
          <w:szCs w:val="22"/>
        </w:rPr>
        <w:t xml:space="preserve">к Договору поставки </w:t>
      </w:r>
    </w:p>
    <w:p>
      <w:pPr>
        <w:pStyle w:val="Normal"/>
        <w:suppressAutoHyphens w:val="true"/>
        <w:ind w:right="96" w:firstLine="5103"/>
        <w:rPr>
          <w:sz w:val="22"/>
          <w:szCs w:val="22"/>
        </w:rPr>
      </w:pPr>
      <w:r>
        <w:rPr>
          <w:sz w:val="22"/>
          <w:szCs w:val="22"/>
        </w:rPr>
        <w:t>от «____» __________ 20 _ г. № _____</w:t>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ind w:firstLine="567"/>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t>ТЕХНИЧЕСКИЕ ТРЕБОВАНИЯ</w:t>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rFonts w:eastAsia="Calibri"/>
          <w:b/>
          <w:sz w:val="24"/>
          <w:szCs w:val="24"/>
          <w:lang w:eastAsia="en-US"/>
        </w:rPr>
      </w:pPr>
      <w:r>
        <w:rPr>
          <w:rFonts w:eastAsia="Calibri"/>
          <w:b/>
          <w:sz w:val="24"/>
          <w:szCs w:val="24"/>
          <w:lang w:eastAsia="en-US"/>
        </w:rPr>
      </w:r>
    </w:p>
    <w:p>
      <w:pPr>
        <w:pStyle w:val="Normal"/>
        <w:widowControl/>
        <w:jc w:val="center"/>
        <w:rPr>
          <w:b/>
          <w:sz w:val="24"/>
          <w:szCs w:val="24"/>
        </w:rPr>
      </w:pPr>
      <w:r>
        <w:rPr>
          <w:b/>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suppressAutoHyphens w:val="true"/>
        <w:ind w:right="96" w:firstLine="6237"/>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right="96" w:firstLine="5529"/>
        <w:rPr>
          <w:sz w:val="22"/>
          <w:szCs w:val="22"/>
        </w:rPr>
      </w:pPr>
      <w:r>
        <w:rPr>
          <w:sz w:val="22"/>
          <w:szCs w:val="22"/>
        </w:rPr>
        <w:t>Приложение № 3</w:t>
      </w:r>
    </w:p>
    <w:p>
      <w:pPr>
        <w:pStyle w:val="Normal"/>
        <w:suppressAutoHyphens w:val="true"/>
        <w:ind w:right="96" w:firstLine="5529"/>
        <w:rPr>
          <w:sz w:val="22"/>
          <w:szCs w:val="22"/>
        </w:rPr>
      </w:pPr>
      <w:r>
        <w:rPr>
          <w:sz w:val="22"/>
          <w:szCs w:val="22"/>
        </w:rPr>
        <w:t>к Договору поставки</w:t>
      </w:r>
    </w:p>
    <w:p>
      <w:pPr>
        <w:pStyle w:val="Normal"/>
        <w:ind w:firstLine="5529"/>
        <w:rPr>
          <w:bCs/>
          <w:sz w:val="22"/>
          <w:szCs w:val="22"/>
        </w:rPr>
      </w:pPr>
      <w:r>
        <w:rPr>
          <w:sz w:val="22"/>
          <w:szCs w:val="22"/>
        </w:rPr>
        <w:t>от «____» __________ 20 _ г.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t>Критерии отбора Банков – Гарантов</w:t>
      </w:r>
      <w:r>
        <w:rPr>
          <w:rStyle w:val="FootnoteReference"/>
          <w:b/>
          <w:bCs/>
          <w:sz w:val="24"/>
          <w:szCs w:val="24"/>
        </w:rPr>
        <w:footnoteReference w:id="19"/>
      </w:r>
    </w:p>
    <w:p>
      <w:pPr>
        <w:pStyle w:val="Normal"/>
        <w:widowControl/>
        <w:shd w:val="clear" w:color="auto" w:fill="FFFFFF"/>
        <w:tabs>
          <w:tab w:val="clear" w:pos="709"/>
          <w:tab w:val="left" w:pos="1418" w:leader="none"/>
        </w:tabs>
        <w:spacing w:before="0" w:after="0"/>
        <w:contextualSpacing/>
        <w:jc w:val="center"/>
        <w:rPr>
          <w:b/>
          <w:bCs/>
          <w:sz w:val="24"/>
          <w:szCs w:val="24"/>
        </w:rPr>
      </w:pPr>
      <w:r>
        <w:rPr>
          <w:b/>
          <w:bCs/>
          <w:sz w:val="24"/>
          <w:szCs w:val="24"/>
        </w:rPr>
      </w:r>
    </w:p>
    <w:p>
      <w:pPr>
        <w:pStyle w:val="Normal"/>
        <w:widowControl/>
        <w:tabs>
          <w:tab w:val="clear" w:pos="709"/>
          <w:tab w:val="left" w:pos="1134" w:leader="none"/>
        </w:tabs>
        <w:ind w:firstLine="709"/>
        <w:jc w:val="both"/>
        <w:rPr>
          <w:sz w:val="24"/>
          <w:szCs w:val="24"/>
        </w:rPr>
      </w:pPr>
      <w:r>
        <w:rPr>
          <w:sz w:val="24"/>
          <w:szCs w:val="24"/>
        </w:rPr>
        <w:t>Банк-Гарант (кредитная организация), выдающий банковскую гарантию, должен входить в перечень Банков-Гарантов Группы РусГидро</w:t>
      </w:r>
      <w:r>
        <w:rPr>
          <w:rStyle w:val="FootnoteReference"/>
          <w:sz w:val="24"/>
          <w:szCs w:val="24"/>
          <w:vertAlign w:val="superscript"/>
          <w:lang w:val="en-GB"/>
        </w:rPr>
        <w:footnoteReference w:id="20"/>
      </w:r>
      <w:r>
        <w:rPr>
          <w:sz w:val="24"/>
          <w:szCs w:val="24"/>
        </w:rPr>
        <w:t>, а также соответствовать следующим критериям:</w:t>
      </w:r>
    </w:p>
    <w:p>
      <w:pPr>
        <w:pStyle w:val="Normal"/>
        <w:widowControl/>
        <w:numPr>
          <w:ilvl w:val="1"/>
          <w:numId w:val="14"/>
        </w:numPr>
        <w:tabs>
          <w:tab w:val="clear" w:pos="709"/>
          <w:tab w:val="left" w:pos="1134" w:leader="none"/>
        </w:tabs>
        <w:ind w:left="0" w:firstLine="710"/>
        <w:jc w:val="both"/>
        <w:rPr>
          <w:sz w:val="24"/>
          <w:szCs w:val="24"/>
        </w:rPr>
      </w:pPr>
      <w:r>
        <w:rPr>
          <w:sz w:val="24"/>
          <w:szCs w:val="24"/>
        </w:rPr>
        <w:t>Иметь действующую лицензию Центрального банка Российской Федерации (далее – ЦБ РФ), разрешающую выдачу банковских гарантий. При этом лицензия не должна быть приостановлена полностью или частично.</w:t>
      </w:r>
    </w:p>
    <w:p>
      <w:pPr>
        <w:pStyle w:val="Normal"/>
        <w:widowControl/>
        <w:numPr>
          <w:ilvl w:val="1"/>
          <w:numId w:val="14"/>
        </w:numPr>
        <w:tabs>
          <w:tab w:val="clear" w:pos="709"/>
          <w:tab w:val="left" w:pos="1134" w:leader="none"/>
        </w:tabs>
        <w:ind w:left="0" w:firstLine="710"/>
        <w:jc w:val="both"/>
        <w:rPr>
          <w:sz w:val="24"/>
          <w:szCs w:val="24"/>
        </w:rPr>
      </w:pPr>
      <w:r>
        <w:rPr>
          <w:sz w:val="24"/>
          <w:szCs w:val="24"/>
        </w:rPr>
        <w:t>Присутствовать в Перечне кредитных организаций, соответствующих требованиям, установленным ч. 1 ст. 2 Федерального закона от 21.07.2014 №</w:t>
      </w:r>
      <w:r>
        <w:rPr>
          <w:sz w:val="24"/>
          <w:szCs w:val="24"/>
          <w:lang w:val="en-GB"/>
        </w:rPr>
        <w:t> </w:t>
      </w:r>
      <w:r>
        <w:rPr>
          <w:sz w:val="24"/>
          <w:szCs w:val="24"/>
        </w:rPr>
        <w:t xml:space="preserve">213-ФЗ </w:t>
        <w:br/>
        <w:t xml:space="preserve">«Об открытии банковских счетов и аккредитивов, о заключении договоров банковского вклада, договора на ведение реестра владельцев ценных бумаг хозяйственными обществами, имеющими стратегическое значение для оборонно-промышленного комплекса и безопасности Российской Федерации, и внесении изменений в отдельные законодательные акты Российской Федерации» (далее – 213-ФЗ) или иным документом, его заменяющим (в случае отмены </w:t>
        <w:br/>
        <w:t>213-ФЗ).</w:t>
      </w:r>
    </w:p>
    <w:p>
      <w:pPr>
        <w:pStyle w:val="Normal"/>
        <w:widowControl/>
        <w:numPr>
          <w:ilvl w:val="1"/>
          <w:numId w:val="14"/>
        </w:numPr>
        <w:tabs>
          <w:tab w:val="clear" w:pos="709"/>
          <w:tab w:val="left" w:pos="1134" w:leader="none"/>
        </w:tabs>
        <w:ind w:left="0" w:firstLine="710"/>
        <w:jc w:val="both"/>
        <w:rPr>
          <w:sz w:val="24"/>
          <w:szCs w:val="24"/>
        </w:rPr>
      </w:pPr>
      <w:r>
        <w:rPr>
          <w:sz w:val="24"/>
          <w:szCs w:val="24"/>
        </w:rPr>
        <w:t xml:space="preserve">Иметь собственные средства (капитал) в размере не менее 30 млрд. рублей </w:t>
        <w:br/>
        <w:t xml:space="preserve">на 1 января текущего календарного года, опубликованного на официальном сайте ЦБ РФ </w:t>
        <w:br/>
        <w:t>в информационно-телекоммуникационной сети «Интернет» (</w:t>
      </w:r>
      <w:r>
        <w:rPr>
          <w:sz w:val="24"/>
          <w:szCs w:val="24"/>
          <w:lang w:val="en-GB"/>
        </w:rPr>
        <w:t>www</w:t>
      </w:r>
      <w:r>
        <w:rPr>
          <w:sz w:val="24"/>
          <w:szCs w:val="24"/>
        </w:rPr>
        <w:t>.</w:t>
      </w:r>
      <w:r>
        <w:rPr>
          <w:sz w:val="24"/>
          <w:szCs w:val="24"/>
          <w:lang w:val="en-GB"/>
        </w:rPr>
        <w:t>cbr</w:t>
      </w:r>
      <w:r>
        <w:rPr>
          <w:sz w:val="24"/>
          <w:szCs w:val="24"/>
        </w:rPr>
        <w:t>.</w:t>
      </w:r>
      <w:r>
        <w:rPr>
          <w:sz w:val="24"/>
          <w:szCs w:val="24"/>
          <w:lang w:val="en-GB"/>
        </w:rPr>
        <w:t>ru</w:t>
      </w:r>
      <w:r>
        <w:rPr>
          <w:sz w:val="24"/>
          <w:szCs w:val="24"/>
        </w:rPr>
        <w:t xml:space="preserve">) по строке 000 «Расчет собственных средств (капитала) («Базель </w:t>
      </w:r>
      <w:r>
        <w:rPr>
          <w:sz w:val="24"/>
          <w:szCs w:val="24"/>
          <w:lang w:val="en-GB"/>
        </w:rPr>
        <w:t>III</w:t>
      </w:r>
      <w:r>
        <w:rPr>
          <w:sz w:val="24"/>
          <w:szCs w:val="24"/>
        </w:rPr>
        <w:t xml:space="preserve">»)», код формы 0409123 и рассчитанного в соответствии с Положением Банка России от 04.07.2018 № 646-П «О методике определения собственных средств (капитала) кредитных организаций («Базель </w:t>
      </w:r>
      <w:r>
        <w:rPr>
          <w:sz w:val="24"/>
          <w:szCs w:val="24"/>
          <w:lang w:val="en-GB"/>
        </w:rPr>
        <w:t>III</w:t>
      </w:r>
      <w:r>
        <w:rPr>
          <w:sz w:val="24"/>
          <w:szCs w:val="24"/>
        </w:rPr>
        <w:t xml:space="preserve">»)» (далее – Методика </w:t>
        <w:br/>
        <w:t>ЦБ РФ) или иным документом, его заменяющим (в случае изменения или отмены указанного Положения).</w:t>
      </w:r>
    </w:p>
    <w:p>
      <w:pPr>
        <w:pStyle w:val="Normal"/>
        <w:widowControl/>
        <w:numPr>
          <w:ilvl w:val="1"/>
          <w:numId w:val="14"/>
        </w:numPr>
        <w:tabs>
          <w:tab w:val="clear" w:pos="709"/>
          <w:tab w:val="left" w:pos="1134" w:leader="none"/>
        </w:tabs>
        <w:ind w:left="0" w:firstLine="710"/>
        <w:jc w:val="both"/>
        <w:rPr>
          <w:sz w:val="24"/>
          <w:szCs w:val="24"/>
        </w:rPr>
      </w:pPr>
      <w:r>
        <w:rPr>
          <w:sz w:val="24"/>
          <w:szCs w:val="24"/>
        </w:rPr>
        <w:t>Иметь кредитный рейтинг по национальной шкале не ниже уровня «</w:t>
      </w:r>
      <w:r>
        <w:rPr>
          <w:sz w:val="24"/>
          <w:szCs w:val="24"/>
          <w:lang w:val="en-GB"/>
        </w:rPr>
        <w:t>BBB</w:t>
      </w:r>
      <w:r>
        <w:rPr>
          <w:sz w:val="24"/>
          <w:szCs w:val="24"/>
        </w:rPr>
        <w:t>» рейтингового агентства АКРА или не ниже уровня «</w:t>
      </w:r>
      <w:r>
        <w:rPr>
          <w:sz w:val="24"/>
          <w:szCs w:val="24"/>
          <w:lang w:val="en-GB"/>
        </w:rPr>
        <w:t>ruBBB</w:t>
      </w:r>
      <w:r>
        <w:rPr>
          <w:sz w:val="24"/>
          <w:szCs w:val="24"/>
        </w:rPr>
        <w:t>» рейтингового агентства Эксперт РА. В случае отсутствия у кредитной организации рейтинга АКРА или Эксперт РА, кредитная организация должна иметь рейтинг долгосрочной кредитоспособности не ниже уровня «ВВ» по классификации рейтинговых агентств «</w:t>
      </w:r>
      <w:r>
        <w:rPr>
          <w:sz w:val="24"/>
          <w:szCs w:val="24"/>
          <w:lang w:val="en-GB"/>
        </w:rPr>
        <w:t>Fitch</w:t>
      </w:r>
      <w:r>
        <w:rPr>
          <w:sz w:val="24"/>
          <w:szCs w:val="24"/>
        </w:rPr>
        <w:t>-</w:t>
      </w:r>
      <w:r>
        <w:rPr>
          <w:sz w:val="24"/>
          <w:szCs w:val="24"/>
          <w:lang w:val="en-GB"/>
        </w:rPr>
        <w:t>Ratings</w:t>
      </w:r>
      <w:r>
        <w:rPr>
          <w:sz w:val="24"/>
          <w:szCs w:val="24"/>
        </w:rPr>
        <w:t>» или «</w:t>
      </w:r>
      <w:r>
        <w:rPr>
          <w:sz w:val="24"/>
          <w:szCs w:val="24"/>
          <w:lang w:val="en-GB"/>
        </w:rPr>
        <w:t>Standard</w:t>
      </w:r>
      <w:r>
        <w:rPr>
          <w:sz w:val="24"/>
          <w:szCs w:val="24"/>
        </w:rPr>
        <w:t xml:space="preserve"> &amp; </w:t>
      </w:r>
      <w:r>
        <w:rPr>
          <w:sz w:val="24"/>
          <w:szCs w:val="24"/>
          <w:lang w:val="en-GB"/>
        </w:rPr>
        <w:t>Poor</w:t>
      </w:r>
      <w:r>
        <w:rPr>
          <w:sz w:val="24"/>
          <w:szCs w:val="24"/>
        </w:rPr>
        <w:t>'</w:t>
      </w:r>
      <w:r>
        <w:rPr>
          <w:sz w:val="24"/>
          <w:szCs w:val="24"/>
          <w:lang w:val="en-GB"/>
        </w:rPr>
        <w:t>s</w:t>
      </w:r>
      <w:r>
        <w:rPr>
          <w:sz w:val="24"/>
          <w:szCs w:val="24"/>
        </w:rPr>
        <w:t>» либо уровня «</w:t>
      </w:r>
      <w:r>
        <w:rPr>
          <w:sz w:val="24"/>
          <w:szCs w:val="24"/>
          <w:lang w:val="en-GB"/>
        </w:rPr>
        <w:t>B</w:t>
      </w:r>
      <w:r>
        <w:rPr>
          <w:sz w:val="24"/>
          <w:szCs w:val="24"/>
        </w:rPr>
        <w:t>а2» по классификации рейтингового агентства «</w:t>
      </w:r>
      <w:r>
        <w:rPr>
          <w:sz w:val="24"/>
          <w:szCs w:val="24"/>
          <w:lang w:val="en-GB"/>
        </w:rPr>
        <w:t>Moody</w:t>
      </w:r>
      <w:r>
        <w:rPr>
          <w:sz w:val="24"/>
          <w:szCs w:val="24"/>
        </w:rPr>
        <w:t>'</w:t>
      </w:r>
      <w:r>
        <w:rPr>
          <w:sz w:val="24"/>
          <w:szCs w:val="24"/>
          <w:lang w:val="en-GB"/>
        </w:rPr>
        <w:t>s</w:t>
      </w:r>
      <w:r>
        <w:rPr>
          <w:sz w:val="24"/>
          <w:szCs w:val="24"/>
        </w:rPr>
        <w:t xml:space="preserve"> </w:t>
      </w:r>
      <w:r>
        <w:rPr>
          <w:sz w:val="24"/>
          <w:szCs w:val="24"/>
          <w:lang w:val="en-GB"/>
        </w:rPr>
        <w:t>Investors</w:t>
      </w:r>
      <w:r>
        <w:rPr>
          <w:sz w:val="24"/>
          <w:szCs w:val="24"/>
        </w:rPr>
        <w:t xml:space="preserve"> </w:t>
      </w:r>
      <w:r>
        <w:rPr>
          <w:sz w:val="24"/>
          <w:szCs w:val="24"/>
          <w:lang w:val="en-GB"/>
        </w:rPr>
        <w:t>Service</w:t>
      </w:r>
      <w:r>
        <w:rPr>
          <w:sz w:val="24"/>
          <w:szCs w:val="24"/>
        </w:rPr>
        <w:t>»</w:t>
      </w:r>
      <w:r>
        <w:rPr>
          <w:rStyle w:val="FootnoteReference"/>
          <w:sz w:val="24"/>
          <w:szCs w:val="24"/>
          <w:vertAlign w:val="superscript"/>
          <w:lang w:val="en-GB"/>
        </w:rPr>
        <w:footnoteReference w:id="21"/>
      </w:r>
      <w:r>
        <w:rPr>
          <w:sz w:val="24"/>
          <w:szCs w:val="24"/>
        </w:rPr>
        <w:t xml:space="preserve">. </w:t>
      </w:r>
    </w:p>
    <w:p>
      <w:pPr>
        <w:pStyle w:val="Normal"/>
        <w:widowControl/>
        <w:numPr>
          <w:ilvl w:val="1"/>
          <w:numId w:val="14"/>
        </w:numPr>
        <w:tabs>
          <w:tab w:val="clear" w:pos="709"/>
          <w:tab w:val="left" w:pos="1134" w:leader="none"/>
        </w:tabs>
        <w:ind w:left="0" w:firstLine="710"/>
        <w:jc w:val="both"/>
        <w:rPr>
          <w:sz w:val="24"/>
          <w:szCs w:val="24"/>
        </w:rPr>
      </w:pPr>
      <w:r>
        <w:rPr>
          <w:sz w:val="24"/>
          <w:szCs w:val="24"/>
        </w:rPr>
        <w:t>Участвовать в системе обязательного страхования вкладов в банках Российской Федерации в соответствии с Федеральным законом от 23.12.2003 №</w:t>
      </w:r>
      <w:r>
        <w:rPr>
          <w:sz w:val="24"/>
          <w:szCs w:val="24"/>
          <w:lang w:val="en-GB"/>
        </w:rPr>
        <w:t> </w:t>
      </w:r>
      <w:r>
        <w:rPr>
          <w:sz w:val="24"/>
          <w:szCs w:val="24"/>
        </w:rPr>
        <w:t>177-ФЗ «О страховании вкладов в банках Российской Федерации»</w:t>
      </w:r>
      <w:r>
        <w:rPr>
          <w:rStyle w:val="FootnoteReference"/>
          <w:sz w:val="24"/>
          <w:szCs w:val="24"/>
          <w:vertAlign w:val="superscript"/>
          <w:lang w:val="en-GB"/>
        </w:rPr>
        <w:footnoteReference w:id="22"/>
      </w:r>
      <w:r>
        <w:rPr>
          <w:sz w:val="24"/>
          <w:szCs w:val="24"/>
        </w:rPr>
        <w:t>.</w:t>
      </w:r>
    </w:p>
    <w:p>
      <w:pPr>
        <w:pStyle w:val="Normal"/>
        <w:widowControl/>
        <w:numPr>
          <w:ilvl w:val="1"/>
          <w:numId w:val="14"/>
        </w:numPr>
        <w:tabs>
          <w:tab w:val="clear" w:pos="709"/>
          <w:tab w:val="left" w:pos="1134" w:leader="none"/>
        </w:tabs>
        <w:ind w:left="0" w:firstLine="710"/>
        <w:jc w:val="both"/>
        <w:rPr>
          <w:sz w:val="24"/>
          <w:szCs w:val="24"/>
        </w:rPr>
      </w:pPr>
      <w:r>
        <w:rPr>
          <w:sz w:val="24"/>
          <w:szCs w:val="24"/>
        </w:rPr>
        <w:t>Не находиться в процессе финансового оздоровления (санации), а также в Реестре банков, находящихся в процессе финансового оздоровления (опубликован в разделе «Оздоровление банков» сайта Государственной корпорации «Агентство по страхованию вкладов» (</w:t>
      </w:r>
      <w:r>
        <w:rPr>
          <w:sz w:val="24"/>
          <w:szCs w:val="24"/>
          <w:lang w:val="en-GB"/>
        </w:rPr>
        <w:t>http</w:t>
      </w:r>
      <w:r>
        <w:rPr>
          <w:sz w:val="24"/>
          <w:szCs w:val="24"/>
        </w:rPr>
        <w:t>://</w:t>
      </w:r>
      <w:r>
        <w:rPr>
          <w:sz w:val="24"/>
          <w:szCs w:val="24"/>
          <w:lang w:val="en-GB"/>
        </w:rPr>
        <w:t>www</w:t>
      </w:r>
      <w:r>
        <w:rPr>
          <w:sz w:val="24"/>
          <w:szCs w:val="24"/>
        </w:rPr>
        <w:t>.</w:t>
      </w:r>
      <w:r>
        <w:rPr>
          <w:sz w:val="24"/>
          <w:szCs w:val="24"/>
          <w:lang w:val="en-GB"/>
        </w:rPr>
        <w:t>asv</w:t>
      </w:r>
      <w:r>
        <w:rPr>
          <w:sz w:val="24"/>
          <w:szCs w:val="24"/>
        </w:rPr>
        <w:t>.</w:t>
      </w:r>
      <w:r>
        <w:rPr>
          <w:sz w:val="24"/>
          <w:szCs w:val="24"/>
          <w:lang w:val="en-GB"/>
        </w:rPr>
        <w:t>org</w:t>
      </w:r>
      <w:r>
        <w:rPr>
          <w:sz w:val="24"/>
          <w:szCs w:val="24"/>
        </w:rPr>
        <w:t>.</w:t>
      </w:r>
      <w:r>
        <w:rPr>
          <w:sz w:val="24"/>
          <w:szCs w:val="24"/>
          <w:lang w:val="en-GB"/>
        </w:rPr>
        <w:t>ru</w:t>
      </w:r>
      <w:r>
        <w:rPr>
          <w:sz w:val="24"/>
          <w:szCs w:val="24"/>
        </w:rPr>
        <w:t>))».</w:t>
      </w:r>
    </w:p>
    <w:p>
      <w:pPr>
        <w:pStyle w:val="Normal"/>
        <w:widowControl/>
        <w:numPr>
          <w:ilvl w:val="1"/>
          <w:numId w:val="14"/>
        </w:numPr>
        <w:tabs>
          <w:tab w:val="clear" w:pos="709"/>
          <w:tab w:val="left" w:pos="1134" w:leader="none"/>
        </w:tabs>
        <w:ind w:left="0" w:firstLine="710"/>
        <w:jc w:val="both"/>
        <w:rPr>
          <w:sz w:val="24"/>
          <w:szCs w:val="24"/>
        </w:rPr>
      </w:pPr>
      <w:r>
        <w:rPr>
          <w:sz w:val="24"/>
          <w:szCs w:val="24"/>
        </w:rPr>
        <w:t>Не иметь просроченную задолженность перед Заказчиком и компаниями Группы РусГидро.</w:t>
      </w:r>
    </w:p>
    <w:p>
      <w:pPr>
        <w:pStyle w:val="Normal"/>
        <w:widowControl/>
        <w:numPr>
          <w:ilvl w:val="1"/>
          <w:numId w:val="14"/>
        </w:numPr>
        <w:tabs>
          <w:tab w:val="clear" w:pos="709"/>
          <w:tab w:val="left" w:pos="1134" w:leader="none"/>
        </w:tabs>
        <w:ind w:left="0" w:firstLine="710"/>
        <w:jc w:val="both"/>
        <w:rPr>
          <w:sz w:val="24"/>
          <w:szCs w:val="24"/>
        </w:rPr>
      </w:pPr>
      <w:r>
        <w:rPr>
          <w:sz w:val="24"/>
          <w:szCs w:val="24"/>
        </w:rPr>
        <w:t>Присутствовать (иметь отделение, филиал) по месту нахождения Заказчика, его обособленного подразделения или Филиала, для нужд которого заключается Договор</w:t>
      </w:r>
      <w:r>
        <w:rPr>
          <w:rStyle w:val="FootnoteReference"/>
          <w:sz w:val="24"/>
          <w:szCs w:val="24"/>
          <w:vertAlign w:val="superscript"/>
          <w:lang w:val="en-GB"/>
        </w:rPr>
        <w:footnoteReference w:id="23"/>
      </w:r>
      <w:r>
        <w:rPr>
          <w:sz w:val="24"/>
          <w:szCs w:val="24"/>
        </w:rPr>
        <w:t>.</w:t>
      </w:r>
    </w:p>
    <w:p>
      <w:pPr>
        <w:pStyle w:val="Normal"/>
        <w:widowControl/>
        <w:numPr>
          <w:ilvl w:val="1"/>
          <w:numId w:val="14"/>
        </w:numPr>
        <w:tabs>
          <w:tab w:val="clear" w:pos="709"/>
          <w:tab w:val="left" w:pos="1134" w:leader="none"/>
        </w:tabs>
        <w:ind w:left="0" w:firstLine="710"/>
        <w:jc w:val="both"/>
        <w:rPr>
          <w:sz w:val="24"/>
          <w:szCs w:val="24"/>
        </w:rPr>
      </w:pPr>
      <w:r>
        <w:rPr>
          <w:sz w:val="24"/>
          <w:szCs w:val="24"/>
        </w:rPr>
        <w:t xml:space="preserve">Требования, установленные пунктами 2 – 4 настоящих Критериев, </w:t>
        <w:br/>
        <w:t>не распространяются на кредитные организации:</w:t>
      </w:r>
    </w:p>
    <w:p>
      <w:pPr>
        <w:pStyle w:val="Normal"/>
        <w:widowControl/>
        <w:numPr>
          <w:ilvl w:val="1"/>
          <w:numId w:val="15"/>
        </w:numPr>
        <w:tabs>
          <w:tab w:val="clear" w:pos="709"/>
          <w:tab w:val="left" w:pos="1134" w:leader="none"/>
        </w:tabs>
        <w:ind w:left="0" w:firstLine="709"/>
        <w:jc w:val="both"/>
        <w:rPr>
          <w:sz w:val="24"/>
          <w:szCs w:val="24"/>
        </w:rPr>
      </w:pPr>
      <w:r>
        <w:rPr>
          <w:sz w:val="24"/>
          <w:szCs w:val="24"/>
        </w:rPr>
        <w:t xml:space="preserve"> </w:t>
      </w:r>
      <w:r>
        <w:rPr>
          <w:sz w:val="24"/>
          <w:szCs w:val="24"/>
        </w:rPr>
        <w:t xml:space="preserve">В отношении которых или в отношении лиц, под контролем либо значительным влиянием которых находятся кредитные организации, по состоянию на 01.01.2015 действуют международные санкции, и кредитные организации определены отдельным решением Правительства Российской Федерации в качестве уполномоченной кредитной организации, </w:t>
        <w:br/>
        <w:t xml:space="preserve">в которой могут размещаться средства федерального бюджета на банковских депозитах </w:t>
        <w:br/>
        <w:t>в соответствии с постановлением Правительства Российской Федерации от 24.12.2011 № 1121 «О порядке размещения средств федерального бюджета, средств единого казначейского счета и резерва средств на осуществление обязательного социального страхования от несчастных случаев на производстве и профессиональных заболеваний на банковских депозитах».</w:t>
      </w:r>
    </w:p>
    <w:p>
      <w:pPr>
        <w:pStyle w:val="Normal"/>
        <w:widowControl/>
        <w:numPr>
          <w:ilvl w:val="1"/>
          <w:numId w:val="15"/>
        </w:numPr>
        <w:tabs>
          <w:tab w:val="clear" w:pos="709"/>
          <w:tab w:val="left" w:pos="1134" w:leader="none"/>
        </w:tabs>
        <w:ind w:left="0" w:firstLine="709"/>
        <w:jc w:val="both"/>
        <w:rPr>
          <w:sz w:val="24"/>
          <w:szCs w:val="24"/>
        </w:rPr>
      </w:pPr>
      <w:r>
        <w:rPr>
          <w:sz w:val="24"/>
          <w:szCs w:val="24"/>
        </w:rPr>
        <w:t xml:space="preserve"> </w:t>
      </w:r>
      <w:r>
        <w:rPr>
          <w:sz w:val="24"/>
          <w:szCs w:val="24"/>
        </w:rPr>
        <w:t xml:space="preserve">Основной целью деятельности которых является реализация программ поддержки малого и среднего предпринимательства в соответствии с Федеральным законом от 24.07.2007 № 209-ФЗ «О развитии малого и среднего предпринимательства в Российской Федерации» </w:t>
        <w:br/>
        <w:t>и Указом Президента Российской Федерации от 05.06.2015 № 287 «О мерах по дальнейшему развитию малого и среднего предпринимательства».</w:t>
      </w:r>
    </w:p>
    <w:p>
      <w:pPr>
        <w:pStyle w:val="Normal"/>
        <w:widowControl/>
        <w:numPr>
          <w:ilvl w:val="1"/>
          <w:numId w:val="15"/>
        </w:numPr>
        <w:tabs>
          <w:tab w:val="clear" w:pos="709"/>
          <w:tab w:val="left" w:pos="1134" w:leader="none"/>
        </w:tabs>
        <w:ind w:left="0" w:firstLine="709"/>
        <w:jc w:val="both"/>
        <w:rPr>
          <w:sz w:val="24"/>
          <w:szCs w:val="24"/>
        </w:rPr>
      </w:pPr>
      <w:r>
        <w:rPr>
          <w:sz w:val="24"/>
          <w:szCs w:val="24"/>
        </w:rPr>
        <w:t xml:space="preserve"> </w:t>
      </w:r>
      <w:r>
        <w:rPr>
          <w:sz w:val="24"/>
          <w:szCs w:val="24"/>
        </w:rPr>
        <w:t>Утвержденную Наблюдательным советом Ассоциации «Некоммерческое партнерство Совет рынка по организации эффективной системы оптовой и розничной торговли электрической энергией и мощностью» в качестве уполномоченной кредитной организации, ответственной за проведение расчетов между субъектами ОРЭМ.</w:t>
      </w:r>
    </w:p>
    <w:p>
      <w:pPr>
        <w:pStyle w:val="Normal"/>
        <w:widowControl/>
        <w:numPr>
          <w:ilvl w:val="1"/>
          <w:numId w:val="15"/>
        </w:numPr>
        <w:tabs>
          <w:tab w:val="clear" w:pos="709"/>
          <w:tab w:val="left" w:pos="1134" w:leader="none"/>
        </w:tabs>
        <w:ind w:left="0" w:firstLine="709"/>
        <w:jc w:val="both"/>
        <w:rPr>
          <w:sz w:val="24"/>
          <w:szCs w:val="24"/>
          <w:lang w:val="en-GB"/>
        </w:rPr>
      </w:pPr>
      <w:r>
        <w:rPr>
          <w:sz w:val="24"/>
          <w:szCs w:val="24"/>
        </w:rPr>
        <w:t xml:space="preserve"> </w:t>
      </w:r>
      <w:r>
        <w:rPr>
          <w:sz w:val="24"/>
          <w:szCs w:val="24"/>
          <w:lang w:val="en-GB"/>
        </w:rPr>
        <w:t>ВЭБ.РФ.</w:t>
      </w:r>
    </w:p>
    <w:p>
      <w:pPr>
        <w:pStyle w:val="Normal"/>
        <w:widowControl/>
        <w:numPr>
          <w:ilvl w:val="1"/>
          <w:numId w:val="14"/>
        </w:numPr>
        <w:tabs>
          <w:tab w:val="clear" w:pos="709"/>
          <w:tab w:val="left" w:pos="1134" w:leader="none"/>
        </w:tabs>
        <w:ind w:left="0" w:firstLine="710"/>
        <w:jc w:val="both"/>
        <w:rPr>
          <w:sz w:val="24"/>
          <w:szCs w:val="24"/>
        </w:rPr>
      </w:pPr>
      <w:r>
        <w:rPr>
          <w:sz w:val="24"/>
          <w:szCs w:val="24"/>
        </w:rPr>
        <w:t>Максимальная сумма всех одновременно действующих банковских гарантий, выданных одной кредитной организацией, обеспечивающих обязательства контрагента перед Группой РусГидро, не должна превышать размер лимита риска, определяемого по формуле:</w:t>
      </w:r>
    </w:p>
    <w:p>
      <w:pPr>
        <w:pStyle w:val="Normal"/>
        <w:widowControl/>
        <w:tabs>
          <w:tab w:val="clear" w:pos="709"/>
          <w:tab w:val="left" w:pos="1134" w:leader="none"/>
        </w:tabs>
        <w:ind w:firstLine="709"/>
        <w:jc w:val="center"/>
        <w:rPr>
          <w:sz w:val="24"/>
          <w:szCs w:val="24"/>
          <w:lang w:val="en-GB"/>
        </w:rPr>
      </w:pPr>
      <w:r>
        <w:rPr>
          <w:b/>
          <w:i/>
          <w:sz w:val="24"/>
          <w:szCs w:val="24"/>
          <w:lang w:val="en-GB"/>
        </w:rPr>
        <w:t>Lim</w:t>
      </w:r>
      <w:r>
        <w:rPr>
          <w:b/>
          <w:i/>
          <w:sz w:val="24"/>
          <w:szCs w:val="24"/>
          <w:vertAlign w:val="subscript"/>
          <w:lang w:val="en-GB"/>
        </w:rPr>
        <w:t>Ai</w:t>
      </w:r>
      <w:r>
        <w:rPr>
          <w:b/>
          <w:i/>
          <w:sz w:val="24"/>
          <w:szCs w:val="24"/>
          <w:lang w:val="en-GB"/>
        </w:rPr>
        <w:t xml:space="preserve">  = r</w:t>
      </w:r>
      <w:r>
        <w:rPr>
          <w:b/>
          <w:i/>
          <w:sz w:val="24"/>
          <w:szCs w:val="24"/>
          <w:vertAlign w:val="subscript"/>
          <w:lang w:val="en-GB"/>
        </w:rPr>
        <w:t>i</w:t>
      </w:r>
      <w:r>
        <w:rPr>
          <w:b/>
          <w:i/>
          <w:sz w:val="24"/>
          <w:szCs w:val="24"/>
          <w:lang w:val="en-GB"/>
        </w:rPr>
        <w:t xml:space="preserve"> × СK</w:t>
      </w:r>
      <w:r>
        <w:rPr>
          <w:b/>
          <w:i/>
          <w:sz w:val="24"/>
          <w:szCs w:val="24"/>
          <w:vertAlign w:val="subscript"/>
          <w:lang w:val="en-GB"/>
        </w:rPr>
        <w:t>i</w:t>
      </w:r>
      <w:r>
        <w:rPr>
          <w:sz w:val="24"/>
          <w:szCs w:val="24"/>
          <w:lang w:val="en-GB"/>
        </w:rPr>
        <w:t>, где</w:t>
      </w:r>
    </w:p>
    <w:tbl>
      <w:tblPr>
        <w:tblW w:w="9606" w:type="dxa"/>
        <w:jc w:val="left"/>
        <w:tblInd w:w="0" w:type="dxa"/>
        <w:tblLayout w:type="fixed"/>
        <w:tblCellMar>
          <w:top w:w="0" w:type="dxa"/>
          <w:left w:w="108" w:type="dxa"/>
          <w:bottom w:w="0" w:type="dxa"/>
          <w:right w:w="108" w:type="dxa"/>
        </w:tblCellMar>
        <w:tblLook w:noVBand="0" w:val="01e0" w:noHBand="0" w:lastColumn="1" w:firstColumn="1" w:lastRow="1" w:firstRow="1"/>
      </w:tblPr>
      <w:tblGrid>
        <w:gridCol w:w="817"/>
        <w:gridCol w:w="283"/>
        <w:gridCol w:w="8506"/>
      </w:tblGrid>
      <w:tr>
        <w:trPr>
          <w:trHeight w:val="426" w:hRule="atLeast"/>
        </w:trPr>
        <w:tc>
          <w:tcPr>
            <w:tcW w:w="817" w:type="dxa"/>
            <w:tcBorders/>
          </w:tcPr>
          <w:p>
            <w:pPr>
              <w:pStyle w:val="Normal"/>
              <w:widowControl w:val="false"/>
              <w:ind w:right="-108" w:hanging="0"/>
              <w:jc w:val="both"/>
              <w:rPr>
                <w:color w:val="000000"/>
                <w:sz w:val="24"/>
                <w:szCs w:val="24"/>
                <w:lang w:val="en-GB"/>
              </w:rPr>
            </w:pPr>
            <w:r>
              <w:rPr>
                <w:b/>
                <w:i/>
                <w:color w:val="000000"/>
                <w:sz w:val="24"/>
                <w:szCs w:val="24"/>
                <w:lang w:val="en-GB"/>
              </w:rPr>
              <w:t>Lim</w:t>
            </w:r>
            <w:r>
              <w:rPr>
                <w:b/>
                <w:i/>
                <w:color w:val="000000"/>
                <w:sz w:val="24"/>
                <w:szCs w:val="24"/>
                <w:vertAlign w:val="subscript"/>
                <w:lang w:val="en-US"/>
              </w:rPr>
              <w:t xml:space="preserve">Ai </w:t>
            </w:r>
          </w:p>
        </w:tc>
        <w:tc>
          <w:tcPr>
            <w:tcW w:w="283" w:type="dxa"/>
            <w:tcBorders/>
          </w:tcPr>
          <w:p>
            <w:pPr>
              <w:pStyle w:val="Normal"/>
              <w:widowControl w:val="false"/>
              <w:ind w:left="317" w:right="-108" w:hanging="317"/>
              <w:jc w:val="both"/>
              <w:rPr>
                <w:color w:val="000000"/>
                <w:sz w:val="24"/>
                <w:szCs w:val="24"/>
                <w:lang w:val="en-GB"/>
              </w:rPr>
            </w:pPr>
            <w:r>
              <w:rPr>
                <w:sz w:val="24"/>
                <w:szCs w:val="24"/>
                <w:lang w:val="en-GB"/>
              </w:rPr>
              <w:t xml:space="preserve">-  </w:t>
            </w:r>
          </w:p>
        </w:tc>
        <w:tc>
          <w:tcPr>
            <w:tcW w:w="8506" w:type="dxa"/>
            <w:tcBorders/>
          </w:tcPr>
          <w:p>
            <w:pPr>
              <w:pStyle w:val="Normal"/>
              <w:widowControl w:val="false"/>
              <w:ind w:left="-75" w:right="-108" w:hanging="0"/>
              <w:jc w:val="both"/>
              <w:rPr>
                <w:color w:val="000000"/>
                <w:sz w:val="24"/>
                <w:szCs w:val="24"/>
              </w:rPr>
            </w:pPr>
            <w:r>
              <w:rPr>
                <w:sz w:val="24"/>
                <w:szCs w:val="24"/>
              </w:rPr>
              <w:t xml:space="preserve">Лимит риска для </w:t>
            </w:r>
            <w:r>
              <w:rPr>
                <w:sz w:val="24"/>
                <w:szCs w:val="24"/>
                <w:lang w:val="en-GB"/>
              </w:rPr>
              <w:t>i</w:t>
            </w:r>
            <w:r>
              <w:rPr>
                <w:sz w:val="24"/>
                <w:szCs w:val="24"/>
              </w:rPr>
              <w:t>-ой кредитной организации</w:t>
            </w:r>
            <w:r>
              <w:rPr>
                <w:rStyle w:val="FootnoteReference"/>
                <w:sz w:val="24"/>
                <w:szCs w:val="24"/>
                <w:vertAlign w:val="superscript"/>
                <w:lang w:val="en-GB"/>
              </w:rPr>
              <w:footnoteReference w:id="24"/>
            </w:r>
            <w:r>
              <w:rPr>
                <w:sz w:val="24"/>
                <w:szCs w:val="24"/>
                <w:vertAlign w:val="superscript"/>
              </w:rPr>
              <w:t>.</w:t>
            </w:r>
            <w:r>
              <w:rPr>
                <w:sz w:val="24"/>
                <w:szCs w:val="24"/>
              </w:rPr>
              <w:t xml:space="preserve"> </w:t>
            </w:r>
          </w:p>
        </w:tc>
      </w:tr>
      <w:tr>
        <w:trPr>
          <w:trHeight w:val="280" w:hRule="atLeast"/>
        </w:trPr>
        <w:tc>
          <w:tcPr>
            <w:tcW w:w="817" w:type="dxa"/>
            <w:tcBorders/>
          </w:tcPr>
          <w:p>
            <w:pPr>
              <w:pStyle w:val="Normal"/>
              <w:widowControl w:val="false"/>
              <w:ind w:right="-108" w:hanging="0"/>
              <w:jc w:val="both"/>
              <w:rPr>
                <w:b/>
                <w:i/>
                <w:i/>
                <w:color w:val="000000"/>
                <w:sz w:val="24"/>
                <w:szCs w:val="24"/>
                <w:vertAlign w:val="subscript"/>
                <w:lang w:val="en-GB"/>
              </w:rPr>
            </w:pPr>
            <w:r>
              <w:rPr>
                <w:b/>
                <w:i/>
                <w:color w:val="000000"/>
                <w:sz w:val="24"/>
                <w:szCs w:val="24"/>
                <w:lang w:val="en-GB"/>
              </w:rPr>
              <w:t>С</w:t>
            </w:r>
            <w:r>
              <w:rPr>
                <w:b/>
                <w:i/>
                <w:color w:val="000000"/>
                <w:sz w:val="24"/>
                <w:szCs w:val="24"/>
                <w:lang w:val="en-US"/>
              </w:rPr>
              <w:t>K</w:t>
            </w:r>
            <w:r>
              <w:rPr>
                <w:b/>
                <w:i/>
                <w:color w:val="000000"/>
                <w:sz w:val="24"/>
                <w:szCs w:val="24"/>
                <w:vertAlign w:val="subscript"/>
                <w:lang w:val="en-US"/>
              </w:rPr>
              <w:t>i</w:t>
            </w:r>
          </w:p>
          <w:p>
            <w:pPr>
              <w:pStyle w:val="Normal"/>
              <w:widowControl w:val="false"/>
              <w:ind w:right="-108" w:hanging="0"/>
              <w:jc w:val="both"/>
              <w:rPr>
                <w:color w:val="000000"/>
                <w:sz w:val="24"/>
                <w:szCs w:val="24"/>
                <w:lang w:val="en-GB"/>
              </w:rPr>
            </w:pPr>
            <w:r>
              <w:rPr>
                <w:color w:val="000000"/>
                <w:sz w:val="24"/>
                <w:szCs w:val="24"/>
                <w:lang w:val="en-GB"/>
              </w:rPr>
            </w:r>
          </w:p>
        </w:tc>
        <w:tc>
          <w:tcPr>
            <w:tcW w:w="283" w:type="dxa"/>
            <w:tcBorders/>
          </w:tcPr>
          <w:p>
            <w:pPr>
              <w:pStyle w:val="Normal"/>
              <w:widowControl w:val="false"/>
              <w:ind w:right="-108" w:hanging="0"/>
              <w:jc w:val="both"/>
              <w:rPr>
                <w:color w:val="000000"/>
                <w:sz w:val="24"/>
                <w:szCs w:val="24"/>
                <w:lang w:val="en-GB"/>
              </w:rPr>
            </w:pPr>
            <w:r>
              <w:rPr>
                <w:sz w:val="24"/>
                <w:szCs w:val="24"/>
                <w:lang w:val="en-GB"/>
              </w:rPr>
              <w:t>-</w:t>
            </w:r>
            <w:r>
              <w:rPr>
                <w:color w:val="000000"/>
                <w:sz w:val="24"/>
                <w:szCs w:val="24"/>
                <w:lang w:val="en-GB"/>
              </w:rPr>
              <w:t xml:space="preserve">  </w:t>
            </w:r>
          </w:p>
        </w:tc>
        <w:tc>
          <w:tcPr>
            <w:tcW w:w="8506" w:type="dxa"/>
            <w:tcBorders/>
          </w:tcPr>
          <w:p>
            <w:pPr>
              <w:pStyle w:val="Normal"/>
              <w:widowControl w:val="false"/>
              <w:ind w:left="-75" w:right="-108" w:hanging="0"/>
              <w:jc w:val="both"/>
              <w:rPr>
                <w:color w:val="000000"/>
                <w:sz w:val="24"/>
                <w:szCs w:val="24"/>
              </w:rPr>
            </w:pPr>
            <w:r>
              <w:rPr>
                <w:sz w:val="24"/>
                <w:szCs w:val="24"/>
              </w:rPr>
              <w:t xml:space="preserve">размер собственных средств (капитала) </w:t>
            </w:r>
            <w:r>
              <w:rPr>
                <w:sz w:val="24"/>
                <w:szCs w:val="24"/>
                <w:lang w:val="en-GB"/>
              </w:rPr>
              <w:t>i</w:t>
            </w:r>
            <w:r>
              <w:rPr>
                <w:sz w:val="24"/>
                <w:szCs w:val="24"/>
              </w:rPr>
              <w:t xml:space="preserve">-ой кредитной организации на 01 января текущего календарного года, опубликованный на официальном сайте ЦБ РФ </w:t>
              <w:br/>
              <w:t>в информационно-телекоммуникационной сети «Интернет» (</w:t>
            </w:r>
            <w:hyperlink r:id="rId8">
              <w:r>
                <w:rPr>
                  <w:sz w:val="24"/>
                  <w:szCs w:val="24"/>
                  <w:u w:val="single"/>
                  <w:lang w:val="en-GB"/>
                </w:rPr>
                <w:t>www</w:t>
              </w:r>
              <w:r>
                <w:rPr>
                  <w:sz w:val="24"/>
                  <w:szCs w:val="24"/>
                  <w:u w:val="single"/>
                </w:rPr>
                <w:t>.</w:t>
              </w:r>
              <w:r>
                <w:rPr>
                  <w:sz w:val="24"/>
                  <w:szCs w:val="24"/>
                  <w:u w:val="single"/>
                  <w:lang w:val="en-GB"/>
                </w:rPr>
                <w:t>cbr</w:t>
              </w:r>
              <w:r>
                <w:rPr>
                  <w:sz w:val="24"/>
                  <w:szCs w:val="24"/>
                  <w:u w:val="single"/>
                </w:rPr>
                <w:t>.</w:t>
              </w:r>
              <w:r>
                <w:rPr>
                  <w:sz w:val="24"/>
                  <w:szCs w:val="24"/>
                  <w:u w:val="single"/>
                  <w:lang w:val="en-GB"/>
                </w:rPr>
                <w:t>ru</w:t>
              </w:r>
            </w:hyperlink>
            <w:r>
              <w:rPr>
                <w:sz w:val="24"/>
                <w:szCs w:val="24"/>
              </w:rPr>
              <w:t xml:space="preserve">) </w:t>
              <w:br/>
              <w:t>по строке 000 «Расчет собственных средств (капитала) («Базель</w:t>
            </w:r>
            <w:r>
              <w:rPr>
                <w:sz w:val="24"/>
                <w:szCs w:val="24"/>
                <w:lang w:val="en-GB"/>
              </w:rPr>
              <w:t> III</w:t>
            </w:r>
            <w:r>
              <w:rPr>
                <w:sz w:val="24"/>
                <w:szCs w:val="24"/>
              </w:rPr>
              <w:t>»)», код формы 0409123;</w:t>
            </w:r>
          </w:p>
        </w:tc>
      </w:tr>
      <w:tr>
        <w:trPr>
          <w:trHeight w:val="993" w:hRule="atLeast"/>
        </w:trPr>
        <w:tc>
          <w:tcPr>
            <w:tcW w:w="817" w:type="dxa"/>
            <w:tcBorders/>
          </w:tcPr>
          <w:p>
            <w:pPr>
              <w:pStyle w:val="Normal"/>
              <w:widowControl w:val="false"/>
              <w:ind w:right="-108" w:hanging="0"/>
              <w:jc w:val="both"/>
              <w:rPr>
                <w:b/>
                <w:i/>
                <w:i/>
                <w:color w:val="000000"/>
                <w:sz w:val="24"/>
                <w:szCs w:val="24"/>
                <w:lang w:val="en-GB"/>
              </w:rPr>
            </w:pPr>
            <w:r>
              <w:rPr>
                <w:b/>
                <w:i/>
                <w:color w:val="000000"/>
                <w:sz w:val="24"/>
                <w:szCs w:val="24"/>
                <w:lang w:val="en-GB"/>
              </w:rPr>
              <w:t>r</w:t>
            </w:r>
            <w:r>
              <w:rPr>
                <w:b/>
                <w:i/>
                <w:color w:val="000000"/>
                <w:sz w:val="24"/>
                <w:szCs w:val="24"/>
                <w:vertAlign w:val="subscript"/>
                <w:lang w:val="en-GB"/>
              </w:rPr>
              <w:t>i</w:t>
            </w:r>
          </w:p>
        </w:tc>
        <w:tc>
          <w:tcPr>
            <w:tcW w:w="283" w:type="dxa"/>
            <w:tcBorders/>
          </w:tcPr>
          <w:p>
            <w:pPr>
              <w:pStyle w:val="Normal"/>
              <w:widowControl w:val="false"/>
              <w:ind w:right="-108" w:hanging="0"/>
              <w:jc w:val="both"/>
              <w:rPr>
                <w:sz w:val="24"/>
                <w:szCs w:val="24"/>
                <w:lang w:val="en-GB"/>
              </w:rPr>
            </w:pPr>
            <w:r>
              <w:rPr>
                <w:sz w:val="24"/>
                <w:szCs w:val="24"/>
                <w:lang w:val="en-GB"/>
              </w:rPr>
              <w:t>-</w:t>
            </w:r>
          </w:p>
        </w:tc>
        <w:tc>
          <w:tcPr>
            <w:tcW w:w="8506" w:type="dxa"/>
            <w:tcBorders/>
          </w:tcPr>
          <w:p>
            <w:pPr>
              <w:pStyle w:val="Normal"/>
              <w:widowControl w:val="false"/>
              <w:tabs>
                <w:tab w:val="clear" w:pos="709"/>
                <w:tab w:val="left" w:pos="7130" w:leader="none"/>
              </w:tabs>
              <w:ind w:right="-108" w:hanging="0"/>
              <w:jc w:val="both"/>
              <w:rPr>
                <w:sz w:val="24"/>
                <w:szCs w:val="24"/>
              </w:rPr>
            </w:pPr>
            <w:r>
              <w:rPr>
                <w:sz w:val="24"/>
                <w:szCs w:val="24"/>
              </w:rPr>
              <w:t>рейтинговый коэффициент</w:t>
            </w:r>
            <w:r>
              <w:rPr>
                <w:rStyle w:val="FootnoteReference"/>
                <w:sz w:val="24"/>
                <w:szCs w:val="24"/>
                <w:vertAlign w:val="superscript"/>
                <w:lang w:val="en-GB"/>
              </w:rPr>
              <w:footnoteReference w:id="25"/>
            </w:r>
            <w:r>
              <w:rPr>
                <w:sz w:val="24"/>
                <w:szCs w:val="24"/>
              </w:rPr>
              <w:t xml:space="preserve"> для </w:t>
            </w:r>
            <w:r>
              <w:rPr>
                <w:sz w:val="24"/>
                <w:szCs w:val="24"/>
                <w:lang w:val="en-GB"/>
              </w:rPr>
              <w:t>i</w:t>
            </w:r>
            <w:r>
              <w:rPr>
                <w:sz w:val="24"/>
                <w:szCs w:val="24"/>
              </w:rPr>
              <w:t>-ой кредитной организации, равный:</w:t>
            </w:r>
          </w:p>
          <w:p>
            <w:pPr>
              <w:pStyle w:val="Normal"/>
              <w:widowControl w:val="false"/>
              <w:ind w:firstLine="492"/>
              <w:jc w:val="both"/>
              <w:rPr>
                <w:sz w:val="24"/>
                <w:szCs w:val="24"/>
              </w:rPr>
            </w:pPr>
            <w:r>
              <w:rPr>
                <w:b/>
                <w:sz w:val="24"/>
                <w:szCs w:val="24"/>
              </w:rPr>
              <w:t>0,05</w:t>
            </w:r>
            <w:r>
              <w:rPr>
                <w:sz w:val="24"/>
                <w:szCs w:val="24"/>
              </w:rPr>
              <w:t xml:space="preserve"> - если </w:t>
            </w:r>
            <w:r>
              <w:rPr>
                <w:sz w:val="24"/>
                <w:szCs w:val="24"/>
                <w:lang w:val="en-GB"/>
              </w:rPr>
              <w:t>i</w:t>
            </w:r>
            <w:r>
              <w:rPr>
                <w:sz w:val="24"/>
                <w:szCs w:val="24"/>
              </w:rPr>
              <w:t xml:space="preserve">-ая кредитная организация имеет национальный рейтинг кредитоспособности не ниже уровня </w:t>
            </w:r>
            <w:r>
              <w:rPr>
                <w:b/>
                <w:sz w:val="24"/>
                <w:szCs w:val="24"/>
              </w:rPr>
              <w:t>«АА-»</w:t>
            </w:r>
            <w:r>
              <w:rPr>
                <w:sz w:val="24"/>
                <w:szCs w:val="24"/>
              </w:rPr>
              <w:t xml:space="preserve"> по классификации рейтингового агентства АКРА или не ниже уровня </w:t>
            </w:r>
            <w:r>
              <w:rPr>
                <w:b/>
                <w:sz w:val="24"/>
                <w:szCs w:val="24"/>
              </w:rPr>
              <w:t>«</w:t>
            </w:r>
            <w:r>
              <w:rPr>
                <w:b/>
                <w:sz w:val="24"/>
                <w:szCs w:val="24"/>
                <w:lang w:val="en-US"/>
              </w:rPr>
              <w:t>ru</w:t>
            </w:r>
            <w:r>
              <w:rPr>
                <w:b/>
                <w:sz w:val="24"/>
                <w:szCs w:val="24"/>
              </w:rPr>
              <w:t>А</w:t>
            </w:r>
            <w:r>
              <w:rPr>
                <w:b/>
                <w:sz w:val="24"/>
                <w:szCs w:val="24"/>
                <w:lang w:val="en-US"/>
              </w:rPr>
              <w:t>A</w:t>
            </w:r>
            <w:r>
              <w:rPr>
                <w:b/>
                <w:sz w:val="24"/>
                <w:szCs w:val="24"/>
              </w:rPr>
              <w:t>-»</w:t>
            </w:r>
            <w:r>
              <w:rPr>
                <w:sz w:val="24"/>
                <w:szCs w:val="24"/>
              </w:rPr>
              <w:t xml:space="preserve"> по классификации рейтингового агентства Эксперт РА;</w:t>
            </w:r>
          </w:p>
          <w:p>
            <w:pPr>
              <w:pStyle w:val="Normal"/>
              <w:widowControl w:val="false"/>
              <w:ind w:left="67" w:firstLine="425"/>
              <w:jc w:val="both"/>
              <w:rPr>
                <w:sz w:val="24"/>
                <w:szCs w:val="24"/>
              </w:rPr>
            </w:pPr>
            <w:r>
              <w:rPr>
                <w:b/>
                <w:sz w:val="24"/>
                <w:szCs w:val="24"/>
              </w:rPr>
              <w:t>0,025</w:t>
            </w:r>
            <w:r>
              <w:rPr>
                <w:sz w:val="24"/>
                <w:szCs w:val="24"/>
              </w:rPr>
              <w:t xml:space="preserve"> - если </w:t>
            </w:r>
            <w:r>
              <w:rPr>
                <w:sz w:val="24"/>
                <w:szCs w:val="24"/>
                <w:lang w:val="en-GB"/>
              </w:rPr>
              <w:t>i</w:t>
            </w:r>
            <w:r>
              <w:rPr>
                <w:sz w:val="24"/>
                <w:szCs w:val="24"/>
              </w:rPr>
              <w:t xml:space="preserve">-ая кредитная организация имеет национальный рейтинг кредитоспособности не ниже уровня </w:t>
            </w:r>
            <w:r>
              <w:rPr>
                <w:b/>
                <w:sz w:val="24"/>
                <w:szCs w:val="24"/>
              </w:rPr>
              <w:t>«А-»</w:t>
            </w:r>
            <w:r>
              <w:rPr>
                <w:sz w:val="24"/>
                <w:szCs w:val="24"/>
              </w:rPr>
              <w:t xml:space="preserve"> по классификации рейтингового агентства АКРА или не ниже уровня </w:t>
            </w:r>
            <w:r>
              <w:rPr>
                <w:b/>
                <w:sz w:val="24"/>
                <w:szCs w:val="24"/>
              </w:rPr>
              <w:t>«</w:t>
            </w:r>
            <w:r>
              <w:rPr>
                <w:b/>
                <w:sz w:val="24"/>
                <w:szCs w:val="24"/>
                <w:lang w:val="en-GB"/>
              </w:rPr>
              <w:t>ruA</w:t>
            </w:r>
            <w:r>
              <w:rPr>
                <w:b/>
                <w:sz w:val="24"/>
                <w:szCs w:val="24"/>
              </w:rPr>
              <w:t>-»</w:t>
            </w:r>
            <w:r>
              <w:rPr>
                <w:sz w:val="24"/>
                <w:szCs w:val="24"/>
              </w:rPr>
              <w:t xml:space="preserve"> по классификации рейтингового агентства Эксперт РА;</w:t>
            </w:r>
          </w:p>
          <w:p>
            <w:pPr>
              <w:pStyle w:val="Normal"/>
              <w:widowControl w:val="false"/>
              <w:ind w:firstLine="492"/>
              <w:jc w:val="both"/>
              <w:rPr>
                <w:sz w:val="24"/>
                <w:szCs w:val="24"/>
              </w:rPr>
            </w:pPr>
            <w:r>
              <w:rPr>
                <w:b/>
                <w:sz w:val="24"/>
                <w:szCs w:val="24"/>
              </w:rPr>
              <w:t>0,015</w:t>
            </w:r>
            <w:r>
              <w:rPr>
                <w:sz w:val="24"/>
                <w:szCs w:val="24"/>
              </w:rPr>
              <w:t xml:space="preserve"> - если </w:t>
            </w:r>
            <w:r>
              <w:rPr>
                <w:sz w:val="24"/>
                <w:szCs w:val="24"/>
                <w:lang w:val="en-GB"/>
              </w:rPr>
              <w:t>i</w:t>
            </w:r>
            <w:r>
              <w:rPr>
                <w:sz w:val="24"/>
                <w:szCs w:val="24"/>
              </w:rPr>
              <w:t xml:space="preserve">-ая кредитная организация имеет национальный рейтинг кредитоспособности не ниже уровня </w:t>
            </w:r>
            <w:r>
              <w:rPr>
                <w:b/>
                <w:sz w:val="24"/>
                <w:szCs w:val="24"/>
              </w:rPr>
              <w:t>«</w:t>
            </w:r>
            <w:r>
              <w:rPr>
                <w:b/>
                <w:sz w:val="24"/>
                <w:szCs w:val="24"/>
                <w:lang w:val="en-US"/>
              </w:rPr>
              <w:t>BB</w:t>
            </w:r>
            <w:r>
              <w:rPr>
                <w:b/>
                <w:sz w:val="24"/>
                <w:szCs w:val="24"/>
              </w:rPr>
              <w:t>В»</w:t>
            </w:r>
            <w:r>
              <w:rPr>
                <w:sz w:val="24"/>
                <w:szCs w:val="24"/>
              </w:rPr>
              <w:t xml:space="preserve"> по классификации рейтингового агентства АКРА или не ниже уровня «</w:t>
            </w:r>
            <w:r>
              <w:rPr>
                <w:sz w:val="24"/>
                <w:szCs w:val="24"/>
                <w:lang w:val="en-US"/>
              </w:rPr>
              <w:t>ruBB</w:t>
            </w:r>
            <w:r>
              <w:rPr>
                <w:sz w:val="24"/>
                <w:szCs w:val="24"/>
              </w:rPr>
              <w:t>В» по классификации рейтингового агентства Эксперт РА, а также находится в процессе финансового оздоровления (санации).</w:t>
            </w:r>
          </w:p>
        </w:tc>
      </w:tr>
    </w:tbl>
    <w:p>
      <w:pPr>
        <w:pStyle w:val="Normal"/>
        <w:widowControl/>
        <w:tabs>
          <w:tab w:val="clear" w:pos="709"/>
          <w:tab w:val="left" w:pos="1425" w:leader="none"/>
        </w:tabs>
        <w:rPr>
          <w:sz w:val="24"/>
          <w:szCs w:val="24"/>
        </w:rPr>
      </w:pPr>
      <w:r>
        <w:rPr>
          <w:sz w:val="24"/>
          <w:szCs w:val="24"/>
        </w:rPr>
      </w:r>
    </w:p>
    <w:tbl>
      <w:tblPr>
        <w:tblW w:w="13751" w:type="dxa"/>
        <w:jc w:val="left"/>
        <w:tblInd w:w="0" w:type="dxa"/>
        <w:tblLayout w:type="fixed"/>
        <w:tblCellMar>
          <w:top w:w="0" w:type="dxa"/>
          <w:left w:w="108" w:type="dxa"/>
          <w:bottom w:w="0" w:type="dxa"/>
          <w:right w:w="108" w:type="dxa"/>
        </w:tblCellMar>
        <w:tblLook w:noVBand="0" w:val="0000" w:noHBand="0" w:lastColumn="0" w:firstColumn="0" w:lastRow="0" w:firstRow="0"/>
      </w:tblPr>
      <w:tblGrid>
        <w:gridCol w:w="4961"/>
        <w:gridCol w:w="8789"/>
      </w:tblGrid>
      <w:tr>
        <w:trPr/>
        <w:tc>
          <w:tcPr>
            <w:tcW w:w="4961" w:type="dxa"/>
            <w:tcBorders/>
          </w:tcPr>
          <w:p>
            <w:pPr>
              <w:pStyle w:val="Normal"/>
              <w:widowControl w:val="false"/>
              <w:rPr>
                <w:b/>
                <w:sz w:val="24"/>
                <w:szCs w:val="24"/>
                <w:lang w:val="en-GB"/>
              </w:rPr>
            </w:pPr>
            <w:r>
              <w:rPr>
                <w:b/>
                <w:sz w:val="24"/>
                <w:szCs w:val="24"/>
              </w:rPr>
              <w:t>Покупатель</w:t>
            </w:r>
            <w:r>
              <w:rPr>
                <w:b/>
                <w:sz w:val="24"/>
                <w:szCs w:val="24"/>
                <w:lang w:val="en-GB"/>
              </w:rPr>
              <w:t>:</w:t>
            </w:r>
          </w:p>
        </w:tc>
        <w:tc>
          <w:tcPr>
            <w:tcW w:w="8789" w:type="dxa"/>
            <w:tcBorders/>
          </w:tcPr>
          <w:p>
            <w:pPr>
              <w:pStyle w:val="Normal"/>
              <w:widowControl w:val="false"/>
              <w:rPr>
                <w:b/>
                <w:sz w:val="24"/>
                <w:szCs w:val="24"/>
                <w:lang w:val="en-GB"/>
              </w:rPr>
            </w:pPr>
            <w:r>
              <w:rPr>
                <w:b/>
                <w:sz w:val="24"/>
                <w:szCs w:val="24"/>
              </w:rPr>
              <w:t>Поставщик</w:t>
            </w:r>
            <w:r>
              <w:rPr>
                <w:b/>
                <w:sz w:val="24"/>
                <w:szCs w:val="24"/>
                <w:lang w:val="en-GB"/>
              </w:rPr>
              <w:t>:</w:t>
            </w:r>
          </w:p>
        </w:tc>
      </w:tr>
      <w:tr>
        <w:trPr/>
        <w:tc>
          <w:tcPr>
            <w:tcW w:w="4961"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tc>
        <w:tc>
          <w:tcPr>
            <w:tcW w:w="8789" w:type="dxa"/>
            <w:tcBorders/>
          </w:tcPr>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t xml:space="preserve">_______________ / _______________ </w:t>
            </w:r>
          </w:p>
          <w:p>
            <w:pPr>
              <w:pStyle w:val="Normal"/>
              <w:widowControl w:val="false"/>
              <w:rPr>
                <w:sz w:val="22"/>
                <w:szCs w:val="22"/>
                <w:lang w:val="en-GB"/>
              </w:rPr>
            </w:pPr>
            <w:r>
              <w:rPr>
                <w:sz w:val="22"/>
                <w:szCs w:val="22"/>
                <w:lang w:val="en-GB"/>
              </w:rPr>
            </w:r>
          </w:p>
          <w:p>
            <w:pPr>
              <w:pStyle w:val="Normal"/>
              <w:widowControl w:val="false"/>
              <w:rPr>
                <w:sz w:val="22"/>
                <w:szCs w:val="22"/>
                <w:lang w:val="en-GB"/>
              </w:rPr>
            </w:pPr>
            <w:r>
              <w:rPr>
                <w:sz w:val="22"/>
                <w:szCs w:val="22"/>
                <w:lang w:val="en-GB"/>
              </w:rPr>
            </w:r>
          </w:p>
        </w:tc>
      </w:tr>
    </w:tbl>
    <w:p>
      <w:pPr>
        <w:pStyle w:val="Normal"/>
        <w:suppressAutoHyphens w:val="true"/>
        <w:ind w:right="96" w:firstLine="6237"/>
        <w:rPr>
          <w:sz w:val="24"/>
          <w:szCs w:val="24"/>
        </w:rPr>
      </w:pPr>
      <w:r>
        <w:rPr>
          <w:sz w:val="24"/>
          <w:szCs w:val="24"/>
        </w:rPr>
      </w:r>
    </w:p>
    <w:p>
      <w:pPr>
        <w:pStyle w:val="Normal"/>
        <w:widowControl/>
        <w:rPr>
          <w:sz w:val="24"/>
          <w:szCs w:val="24"/>
        </w:rPr>
      </w:pPr>
      <w:r>
        <w:rPr>
          <w:sz w:val="24"/>
          <w:szCs w:val="24"/>
        </w:rPr>
      </w:r>
      <w:r>
        <w:br w:type="page"/>
      </w:r>
    </w:p>
    <w:p>
      <w:pPr>
        <w:pStyle w:val="Normal"/>
        <w:suppressAutoHyphens w:val="true"/>
        <w:ind w:right="96" w:firstLine="5529"/>
        <w:rPr>
          <w:sz w:val="22"/>
          <w:szCs w:val="22"/>
        </w:rPr>
      </w:pPr>
      <w:r>
        <w:rPr>
          <w:sz w:val="22"/>
          <w:szCs w:val="22"/>
        </w:rPr>
        <w:t>Приложение № 4</w:t>
      </w:r>
    </w:p>
    <w:p>
      <w:pPr>
        <w:pStyle w:val="Normal"/>
        <w:suppressAutoHyphens w:val="true"/>
        <w:ind w:right="96" w:firstLine="5529"/>
        <w:rPr>
          <w:sz w:val="22"/>
          <w:szCs w:val="22"/>
        </w:rPr>
      </w:pPr>
      <w:r>
        <w:rPr>
          <w:sz w:val="22"/>
          <w:szCs w:val="22"/>
        </w:rPr>
        <w:t>к Договору поставки</w:t>
      </w:r>
    </w:p>
    <w:p>
      <w:pPr>
        <w:pStyle w:val="Normal"/>
        <w:ind w:firstLine="5529"/>
        <w:rPr>
          <w:bCs/>
          <w:sz w:val="24"/>
          <w:szCs w:val="24"/>
        </w:rPr>
      </w:pPr>
      <w:r>
        <w:rPr>
          <w:sz w:val="22"/>
          <w:szCs w:val="22"/>
        </w:rPr>
        <w:t>от «____» __________ 20 _ г.</w:t>
      </w:r>
      <w:r>
        <w:rPr>
          <w:sz w:val="24"/>
          <w:szCs w:val="24"/>
        </w:rPr>
        <w:t xml:space="preserve"> № _____</w:t>
      </w:r>
    </w:p>
    <w:p>
      <w:pPr>
        <w:pStyle w:val="Normal"/>
        <w:widowControl/>
        <w:shd w:val="clear" w:color="auto" w:fill="FFFFFF"/>
        <w:tabs>
          <w:tab w:val="clear" w:pos="709"/>
          <w:tab w:val="left" w:pos="1418" w:leader="none"/>
        </w:tabs>
        <w:spacing w:before="0" w:after="0"/>
        <w:contextualSpacing/>
        <w:jc w:val="center"/>
        <w:rPr>
          <w:bCs/>
          <w:sz w:val="24"/>
          <w:szCs w:val="24"/>
        </w:rPr>
      </w:pPr>
      <w:r>
        <w:rPr>
          <w:bCs/>
          <w:sz w:val="24"/>
          <w:szCs w:val="24"/>
        </w:rPr>
      </w:r>
    </w:p>
    <w:p>
      <w:pPr>
        <w:pStyle w:val="Normal"/>
        <w:widowControl/>
        <w:suppressAutoHyphens w:val="true"/>
        <w:spacing w:lineRule="auto" w:line="259"/>
        <w:rPr>
          <w:rFonts w:eastAsia="Calibri"/>
          <w:sz w:val="24"/>
          <w:szCs w:val="24"/>
          <w:lang w:eastAsia="en-US"/>
        </w:rPr>
      </w:pPr>
      <w:r>
        <w:rPr>
          <w:rFonts w:eastAsia="Calibri"/>
          <w:sz w:val="24"/>
          <w:szCs w:val="24"/>
          <w:lang w:eastAsia="en-US"/>
        </w:rPr>
      </w:r>
    </w:p>
    <w:p>
      <w:pPr>
        <w:pStyle w:val="Normal"/>
        <w:jc w:val="center"/>
        <w:rPr>
          <w:b/>
          <w:bCs/>
          <w:sz w:val="24"/>
          <w:szCs w:val="24"/>
        </w:rPr>
      </w:pPr>
      <w:r>
        <w:rPr>
          <w:b/>
          <w:bCs/>
          <w:sz w:val="24"/>
          <w:szCs w:val="24"/>
        </w:rPr>
        <w:t>Размер ответственности Поставщика за нарушения</w:t>
      </w:r>
    </w:p>
    <w:p>
      <w:pPr>
        <w:pStyle w:val="Normal"/>
        <w:jc w:val="center"/>
        <w:rPr>
          <w:b/>
          <w:bCs/>
          <w:sz w:val="24"/>
          <w:szCs w:val="24"/>
        </w:rPr>
      </w:pPr>
      <w:r>
        <w:rPr>
          <w:b/>
          <w:bCs/>
          <w:sz w:val="24"/>
          <w:szCs w:val="24"/>
        </w:rPr>
        <w:t>пропускного и внутриобъектового режима, требований охраны труда,</w:t>
      </w:r>
    </w:p>
    <w:p>
      <w:pPr>
        <w:pStyle w:val="Normal"/>
        <w:jc w:val="center"/>
        <w:rPr>
          <w:b/>
          <w:sz w:val="24"/>
          <w:szCs w:val="24"/>
        </w:rPr>
      </w:pPr>
      <w:r>
        <w:rPr>
          <w:b/>
          <w:bCs/>
          <w:sz w:val="24"/>
          <w:szCs w:val="24"/>
        </w:rPr>
        <w:t>пожарной и промышленной безопасности</w:t>
      </w:r>
    </w:p>
    <w:p>
      <w:pPr>
        <w:pStyle w:val="Normal"/>
        <w:rPr>
          <w:b/>
          <w:sz w:val="24"/>
          <w:szCs w:val="24"/>
        </w:rPr>
      </w:pPr>
      <w:r>
        <w:rPr>
          <w:b/>
          <w:sz w:val="24"/>
          <w:szCs w:val="24"/>
        </w:rPr>
      </w:r>
    </w:p>
    <w:tbl>
      <w:tblPr>
        <w:tblW w:w="5000" w:type="pct"/>
        <w:jc w:val="left"/>
        <w:tblInd w:w="0" w:type="dxa"/>
        <w:tblLayout w:type="fixed"/>
        <w:tblCellMar>
          <w:top w:w="0" w:type="dxa"/>
          <w:left w:w="108" w:type="dxa"/>
          <w:bottom w:w="0" w:type="dxa"/>
          <w:right w:w="108" w:type="dxa"/>
        </w:tblCellMar>
        <w:tblLook w:noVBand="0" w:val="01e0" w:noHBand="0" w:lastColumn="1" w:firstColumn="1" w:lastRow="1" w:firstRow="1"/>
      </w:tblPr>
      <w:tblGrid>
        <w:gridCol w:w="3670"/>
        <w:gridCol w:w="5966"/>
      </w:tblGrid>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Виды нарушений</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Штрафные санкции</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 Нарушение правил пожарной безопасности (ППБ):</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1.1. Нарушение ППБ без возникновения пожара</w:t>
            </w:r>
          </w:p>
          <w:p>
            <w:pPr>
              <w:pStyle w:val="Normal"/>
              <w:widowControl w:val="false"/>
              <w:jc w:val="both"/>
              <w:rPr>
                <w:b/>
                <w:sz w:val="24"/>
                <w:szCs w:val="24"/>
              </w:rPr>
            </w:pPr>
            <w:r>
              <w:rPr>
                <w:b/>
                <w:sz w:val="24"/>
                <w:szCs w:val="24"/>
              </w:rPr>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25 000 (Двадцать пять тысяч) рублей за каждый случай нарушения.</w:t>
            </w:r>
          </w:p>
          <w:p>
            <w:pPr>
              <w:pStyle w:val="Normal"/>
              <w:widowControl w:val="false"/>
              <w:jc w:val="both"/>
              <w:rPr>
                <w:sz w:val="24"/>
                <w:szCs w:val="24"/>
              </w:rPr>
            </w:pPr>
            <w:r>
              <w:rPr>
                <w:sz w:val="24"/>
                <w:szCs w:val="24"/>
              </w:rPr>
              <w:t>Сумма штрафа, установленная настоящим пунктом, увеличивается на 50 (Пятьдесят) процентов по отношению 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1.2. Нарушение ППБ, ставшее причиной возникновения пожара, не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50 000 (Пятьдесят тысяч) рублей за каждый случай нарушения.</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1.3. Нарушение ППБ, ставшее причиной возникновения пожара, причинившего ущерб имуществу Покупателя.</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250 000 (Двести пятьдесят тысяч) рублей за каждый случай нарушения.</w:t>
            </w:r>
          </w:p>
        </w:tc>
      </w:tr>
      <w:tr>
        <w:trPr/>
        <w:tc>
          <w:tcPr>
            <w:tcW w:w="3670"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2.</w:t>
            </w:r>
            <w:r>
              <w:rPr>
                <w:b/>
                <w:sz w:val="24"/>
                <w:szCs w:val="24"/>
              </w:rPr>
              <w:t xml:space="preserve"> </w:t>
            </w:r>
            <w:r>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Pr>
                <w:b/>
                <w:sz w:val="24"/>
                <w:szCs w:val="24"/>
              </w:rPr>
              <w:t xml:space="preserve"> </w:t>
            </w:r>
          </w:p>
        </w:tc>
        <w:tc>
          <w:tcPr>
            <w:tcW w:w="5966" w:type="dxa"/>
            <w:tcBorders>
              <w:top w:val="single" w:sz="4" w:space="0" w:color="000000"/>
              <w:left w:val="single" w:sz="4" w:space="0" w:color="000000"/>
              <w:bottom w:val="single" w:sz="4" w:space="0" w:color="000000"/>
              <w:right w:val="single" w:sz="4" w:space="0" w:color="000000"/>
            </w:tcBorders>
          </w:tcPr>
          <w:p>
            <w:pPr>
              <w:pStyle w:val="Normal"/>
              <w:widowControl w:val="false"/>
              <w:jc w:val="both"/>
              <w:rPr>
                <w:sz w:val="24"/>
                <w:szCs w:val="24"/>
              </w:rPr>
            </w:pPr>
            <w:r>
              <w:rPr>
                <w:sz w:val="24"/>
                <w:szCs w:val="24"/>
              </w:rPr>
              <w:t>- 50 000 (Пятьдесят тысяч) рублей за каждый случай нарушения;</w:t>
            </w:r>
          </w:p>
          <w:p>
            <w:pPr>
              <w:pStyle w:val="Normal"/>
              <w:widowControl w:val="false"/>
              <w:jc w:val="both"/>
              <w:rPr>
                <w:sz w:val="24"/>
                <w:szCs w:val="24"/>
              </w:rPr>
            </w:pPr>
            <w:r>
              <w:rPr>
                <w:sz w:val="24"/>
                <w:szCs w:val="24"/>
              </w:rPr>
              <w:t xml:space="preserve">- 500 (Пятьсот) рублей в случае утраты или приведения в негодность электронного пропуска, выданного Покупателем. </w:t>
            </w:r>
          </w:p>
          <w:p>
            <w:pPr>
              <w:pStyle w:val="Normal"/>
              <w:widowControl w:val="false"/>
              <w:jc w:val="both"/>
              <w:rPr>
                <w:sz w:val="24"/>
                <w:szCs w:val="24"/>
              </w:rPr>
            </w:pPr>
            <w:r>
              <w:rPr>
                <w:sz w:val="24"/>
                <w:szCs w:val="24"/>
              </w:rPr>
              <w:t xml:space="preserve">Сумма штрафа, установленная настоящим пунктом, увеличивается на 100 (Сто) процентов по отношению </w:t>
              <w:br/>
              <w:t>к предыдущему случаю за каждое следующее нарушение.</w:t>
            </w:r>
          </w:p>
        </w:tc>
      </w:tr>
    </w:tbl>
    <w:p>
      <w:pPr>
        <w:pStyle w:val="Normal"/>
        <w:ind w:left="5103" w:hanging="0"/>
        <w:rPr>
          <w:sz w:val="24"/>
          <w:szCs w:val="24"/>
        </w:rPr>
      </w:pPr>
      <w:r>
        <w:rPr>
          <w:sz w:val="24"/>
          <w:szCs w:val="24"/>
        </w:rPr>
      </w:r>
    </w:p>
    <w:p>
      <w:pPr>
        <w:pStyle w:val="Normal"/>
        <w:ind w:left="5103" w:hanging="0"/>
        <w:rPr>
          <w:sz w:val="24"/>
          <w:szCs w:val="24"/>
        </w:rPr>
      </w:pPr>
      <w:r>
        <w:rPr>
          <w:sz w:val="24"/>
          <w:szCs w:val="24"/>
        </w:rPr>
      </w:r>
    </w:p>
    <w:p>
      <w:pPr>
        <w:pStyle w:val="Normal"/>
        <w:numPr>
          <w:ilvl w:val="0"/>
          <w:numId w:val="0"/>
        </w:numPr>
        <w:jc w:val="center"/>
        <w:outlineLvl w:val="0"/>
        <w:rPr>
          <w:b/>
          <w:bCs/>
          <w:sz w:val="24"/>
          <w:szCs w:val="24"/>
        </w:rPr>
      </w:pPr>
      <w:r>
        <w:rPr>
          <w:b/>
          <w:bCs/>
          <w:sz w:val="24"/>
          <w:szCs w:val="24"/>
        </w:rPr>
        <w:t>ПОДПИСИ СТОРОН:</w:t>
      </w:r>
    </w:p>
    <w:p>
      <w:pPr>
        <w:pStyle w:val="Normal"/>
        <w:numPr>
          <w:ilvl w:val="0"/>
          <w:numId w:val="0"/>
        </w:numPr>
        <w:jc w:val="center"/>
        <w:outlineLvl w:val="0"/>
        <w:rPr>
          <w:bCs/>
          <w:sz w:val="24"/>
          <w:szCs w:val="24"/>
        </w:rPr>
      </w:pPr>
      <w:r>
        <w:rPr>
          <w:bCs/>
          <w:sz w:val="24"/>
          <w:szCs w:val="24"/>
        </w:rPr>
      </w:r>
    </w:p>
    <w:tbl>
      <w:tblPr>
        <w:tblW w:w="9815" w:type="dxa"/>
        <w:jc w:val="left"/>
        <w:tblInd w:w="-176" w:type="dxa"/>
        <w:tblLayout w:type="fixed"/>
        <w:tblCellMar>
          <w:top w:w="0" w:type="dxa"/>
          <w:left w:w="108" w:type="dxa"/>
          <w:bottom w:w="0" w:type="dxa"/>
          <w:right w:w="108" w:type="dxa"/>
        </w:tblCellMar>
        <w:tblLook w:noVBand="1" w:val="04a0" w:noHBand="0" w:lastColumn="0" w:firstColumn="1" w:lastRow="0" w:firstRow="1"/>
      </w:tblPr>
      <w:tblGrid>
        <w:gridCol w:w="4995"/>
        <w:gridCol w:w="4819"/>
      </w:tblGrid>
      <w:tr>
        <w:trPr/>
        <w:tc>
          <w:tcPr>
            <w:tcW w:w="4995" w:type="dxa"/>
            <w:tcBorders/>
            <w:shd w:color="auto" w:fill="auto" w:val="clear"/>
          </w:tcPr>
          <w:p>
            <w:pPr>
              <w:pStyle w:val="Normal"/>
              <w:widowControl w:val="false"/>
              <w:rPr>
                <w:b/>
                <w:sz w:val="24"/>
                <w:szCs w:val="24"/>
              </w:rPr>
            </w:pPr>
            <w:r>
              <w:rPr>
                <w:b/>
                <w:sz w:val="24"/>
                <w:szCs w:val="24"/>
              </w:rPr>
              <w:t>Покупатель:</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rPr>
                <w:sz w:val="24"/>
                <w:szCs w:val="24"/>
              </w:rPr>
            </w:pPr>
            <w:r>
              <w:rPr>
                <w:sz w:val="24"/>
                <w:szCs w:val="24"/>
              </w:rPr>
            </w:r>
          </w:p>
        </w:tc>
        <w:tc>
          <w:tcPr>
            <w:tcW w:w="4819" w:type="dxa"/>
            <w:tcBorders/>
            <w:shd w:color="auto" w:fill="auto" w:val="clear"/>
          </w:tcPr>
          <w:p>
            <w:pPr>
              <w:pStyle w:val="Normal"/>
              <w:widowControl w:val="false"/>
              <w:ind w:firstLine="34"/>
              <w:rPr>
                <w:b/>
                <w:sz w:val="24"/>
                <w:szCs w:val="24"/>
              </w:rPr>
            </w:pPr>
            <w:r>
              <w:rPr>
                <w:b/>
                <w:sz w:val="24"/>
                <w:szCs w:val="24"/>
              </w:rPr>
              <w:t>Поставщик:</w:t>
            </w:r>
          </w:p>
          <w:p>
            <w:pPr>
              <w:pStyle w:val="Normal"/>
              <w:widowControl w:val="false"/>
              <w:spacing w:lineRule="auto" w:line="360"/>
              <w:rPr>
                <w:sz w:val="24"/>
                <w:szCs w:val="24"/>
              </w:rPr>
            </w:pPr>
            <w:r>
              <w:rPr>
                <w:sz w:val="24"/>
                <w:szCs w:val="24"/>
              </w:rPr>
            </w:r>
          </w:p>
          <w:p>
            <w:pPr>
              <w:pStyle w:val="Normal"/>
              <w:widowControl w:val="false"/>
              <w:spacing w:lineRule="auto" w:line="360"/>
              <w:rPr>
                <w:sz w:val="24"/>
                <w:szCs w:val="24"/>
              </w:rPr>
            </w:pPr>
            <w:r>
              <w:rPr>
                <w:sz w:val="24"/>
                <w:szCs w:val="24"/>
              </w:rPr>
              <w:t>_____________________/_____________</w:t>
            </w:r>
          </w:p>
          <w:p>
            <w:pPr>
              <w:pStyle w:val="Normal"/>
              <w:widowControl w:val="false"/>
              <w:spacing w:lineRule="auto" w:line="360"/>
              <w:ind w:firstLine="33"/>
              <w:rPr>
                <w:b/>
                <w:sz w:val="24"/>
                <w:szCs w:val="24"/>
              </w:rPr>
            </w:pPr>
            <w:r>
              <w:rPr>
                <w:b/>
                <w:sz w:val="24"/>
                <w:szCs w:val="24"/>
              </w:rPr>
            </w:r>
          </w:p>
        </w:tc>
      </w:tr>
    </w:tbl>
    <w:p>
      <w:pPr>
        <w:pStyle w:val="Normal"/>
        <w:ind w:left="5103" w:hanging="0"/>
        <w:rPr>
          <w:b/>
          <w:bCs/>
          <w:sz w:val="24"/>
          <w:szCs w:val="24"/>
        </w:rPr>
      </w:pPr>
      <w:r>
        <w:rPr>
          <w:b/>
          <w:bCs/>
          <w:sz w:val="24"/>
          <w:szCs w:val="24"/>
        </w:rPr>
      </w:r>
    </w:p>
    <w:p>
      <w:pPr>
        <w:pStyle w:val="Normal"/>
        <w:widowControl/>
        <w:rPr>
          <w:b/>
          <w:bCs/>
          <w:sz w:val="24"/>
          <w:szCs w:val="24"/>
        </w:rPr>
      </w:pPr>
      <w:r>
        <w:rPr/>
      </w:r>
    </w:p>
    <w:sectPr>
      <w:headerReference w:type="default" r:id="rId9"/>
      <w:headerReference w:type="first" r:id="rId10"/>
      <w:footerReference w:type="default" r:id="rId11"/>
      <w:footerReference w:type="first" r:id="rId12"/>
      <w:footnotePr>
        <w:numFmt w:val="decimal"/>
      </w:footnotePr>
      <w:type w:val="nextPage"/>
      <w:pgSz w:w="11906" w:h="16838"/>
      <w:pgMar w:left="1418" w:right="851" w:gutter="0" w:header="567" w:top="1134" w:footer="314" w:bottom="851"/>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Arial">
    <w:charset w:val="01"/>
    <w:family w:val="roman"/>
    <w:pitch w:val="variable"/>
  </w:font>
  <w:font w:name="Cambria">
    <w:charset w:val="01"/>
    <w:family w:val="roman"/>
    <w:pitch w:val="variable"/>
  </w:font>
  <w:font w:name="Liberation Sans">
    <w:altName w:val="Arial"/>
    <w:charset w:val="01"/>
    <w:family w:val="swiss"/>
    <w:pitch w:val="variable"/>
  </w:font>
  <w:font w:name="Courier New">
    <w:charset w:val="01"/>
    <w:family w:val="roman"/>
    <w:pitch w:val="variable"/>
  </w:font>
  <w:font w:name="Tahoma">
    <w:charset w:val="01"/>
    <w:family w:val="roman"/>
    <w:pitch w:val="variable"/>
  </w:font>
  <w:font w:name="Verdana">
    <w:charset w:val="01"/>
    <w:family w:val="roman"/>
    <w:pitch w:val="variable"/>
  </w:font>
  <w:font w:name="Calibri">
    <w:charset w:val="01"/>
    <w:family w:val="roman"/>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fldChar w:fldCharType="begin"/>
    </w:r>
    <w:r>
      <w:rPr/>
      <w:instrText xml:space="preserve"> PAGE </w:instrText>
    </w:r>
    <w:r>
      <w:rPr/>
      <w:fldChar w:fldCharType="separate"/>
    </w:r>
    <w:r>
      <w:rPr/>
      <w:t>20</w:t>
    </w:r>
    <w:r>
      <w:rPr/>
      <w:fldChar w:fldCharType="end"/>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pPr>
    <w:r>
      <w:rPr>
        <w:sz w:val="24"/>
        <w:szCs w:val="24"/>
      </w:rPr>
      <w:fldChar w:fldCharType="begin"/>
    </w:r>
    <w:r>
      <w:rPr>
        <w:sz w:val="24"/>
        <w:szCs w:val="24"/>
      </w:rPr>
      <w:instrText xml:space="preserve"> PAGE </w:instrText>
    </w:r>
    <w:r>
      <w:rPr>
        <w:sz w:val="24"/>
        <w:szCs w:val="24"/>
      </w:rPr>
      <w:fldChar w:fldCharType="separate"/>
    </w:r>
    <w:r>
      <w:rPr>
        <w:sz w:val="24"/>
        <w:szCs w:val="24"/>
      </w:rPr>
      <w:t>26</w:t>
    </w:r>
    <w:r>
      <w:rPr>
        <w:sz w:val="24"/>
        <w:szCs w:val="24"/>
      </w:rPr>
      <w:fldChar w:fldCharType="end"/>
    </w:r>
  </w:p>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FootnoteText"/>
        <w:jc w:val="both"/>
        <w:rPr/>
      </w:pPr>
      <w:r>
        <w:rPr>
          <w:rStyle w:val="Style14"/>
        </w:rPr>
        <w:footnoteRef/>
      </w:r>
      <w:r>
        <w:rPr/>
        <w:t xml:space="preserve"> </w:t>
      </w:r>
      <w:r>
        <w:rPr/>
        <w:t>Предельная цена на Товар устанавливается в случае отсутствия утвержденной Рабочей документации (отсутствия точного перечня поставляемого Товара) на момент заключения Договора.</w:t>
      </w:r>
    </w:p>
  </w:footnote>
  <w:footnote w:id="3">
    <w:p>
      <w:pPr>
        <w:pStyle w:val="FootnoteText"/>
        <w:jc w:val="both"/>
        <w:rPr/>
      </w:pPr>
      <w:r>
        <w:rPr>
          <w:rStyle w:val="Style14"/>
        </w:rPr>
        <w:footnoteRef/>
      </w:r>
      <w:r>
        <w:rPr/>
        <w:t xml:space="preserve"> </w:t>
      </w:r>
      <w:r>
        <w:rPr/>
        <w:t>Включается в Договор в случае, если перемещение Товара осуществляется Поставщиком до подписания Сторонами Накладной ТОРГ-12.</w:t>
      </w:r>
    </w:p>
  </w:footnote>
  <w:footnote w:id="4">
    <w:p>
      <w:pPr>
        <w:pStyle w:val="FootnoteText"/>
        <w:jc w:val="both"/>
        <w:rPr/>
      </w:pPr>
      <w:r>
        <w:rPr>
          <w:rStyle w:val="Style14"/>
        </w:rPr>
        <w:footnoteRef/>
      </w:r>
      <w:r>
        <w:rPr/>
        <w:t xml:space="preserve"> </w:t>
      </w:r>
      <w:r>
        <w:rPr/>
        <w:t xml:space="preserve">Условие о размере авансового платежа в размере не менее 50 (пятидесяти) процентов от стоимости Товара предусматривается в  договорах, заключаемых в соответствии с Федеральным законом от 18.07.2011 № 223-ФЗ «О закупках товаров, работ, услуг отдельными видами юридических лиц» по результатам закупок кранового оборудования, включенного в реестр промышленной продукции, произведенной на территории Российской Федерации, в соответствии с постановлением Правительства Российской Федерации от 17.07.2015 № 719 </w:t>
        <w:br/>
        <w:t>«О подтверждении производства промышленной продукции на территории Российской Федерации». При этом необходимо изменить процент последующих платежей (пункт 2.5.3 Договора).</w:t>
      </w:r>
    </w:p>
  </w:footnote>
  <w:footnote w:id="5">
    <w:p>
      <w:pPr>
        <w:pStyle w:val="FootnoteText"/>
        <w:jc w:val="both"/>
        <w:rPr/>
      </w:pPr>
      <w:r>
        <w:rPr>
          <w:rStyle w:val="Style14"/>
        </w:rPr>
        <w:footnoteRef/>
      </w:r>
      <w:r>
        <w:rPr/>
        <w:t xml:space="preserve"> </w:t>
      </w:r>
      <w:r>
        <w:rPr/>
        <w:t>Указывается меньший размер платежей в случае применения ссылки к пункту 2.5.2 Договора о закупке кранового оборудования.</w:t>
      </w:r>
    </w:p>
  </w:footnote>
  <w:footnote w:id="6">
    <w:p>
      <w:pPr>
        <w:pStyle w:val="FootnoteText"/>
        <w:jc w:val="both"/>
        <w:rPr/>
      </w:pPr>
      <w:r>
        <w:rPr>
          <w:rStyle w:val="Style14"/>
        </w:rPr>
        <w:footnoteRef/>
      </w:r>
      <w:r>
        <w:rPr/>
        <w:t xml:space="preserve"> </w:t>
      </w:r>
      <w:r>
        <w:rPr/>
        <w:t>Для договоров, заключенных в рамках операционной (текущей) деятельности Заказчика.</w:t>
      </w:r>
    </w:p>
  </w:footnote>
  <w:footnote w:id="7">
    <w:p>
      <w:pPr>
        <w:pStyle w:val="FootnoteText"/>
        <w:jc w:val="both"/>
        <w:rPr/>
      </w:pPr>
      <w:r>
        <w:rPr>
          <w:rStyle w:val="Style14"/>
        </w:rPr>
        <w:footnoteRef/>
      </w:r>
      <w:r>
        <w:rPr/>
        <w:t xml:space="preserve"> </w:t>
      </w:r>
      <w:r>
        <w:rPr/>
        <w:t>Для договоров, заключенных в рамках реализации инвестиционной программы Заказчика.</w:t>
      </w:r>
    </w:p>
  </w:footnote>
  <w:footnote w:id="8">
    <w:p>
      <w:pPr>
        <w:pStyle w:val="FootnoteText"/>
        <w:jc w:val="both"/>
        <w:rPr/>
      </w:pPr>
      <w:r>
        <w:rPr>
          <w:rStyle w:val="Style14"/>
        </w:rPr>
        <w:footnoteRef/>
      </w:r>
      <w:r>
        <w:rPr/>
        <w:t xml:space="preserve"> </w:t>
      </w:r>
      <w:r>
        <w:rPr/>
        <w:t>В случае если Контрагент – МСП, при этом Заказчик попадает под действие постановления Правительства Российской Федерации от 11.12.2014 № 1352 «Об особенностях участия субъектов малого и среднего предпринимательства в закупках товаров, работ, услуг отдельными видами юридических лиц».</w:t>
      </w:r>
    </w:p>
  </w:footnote>
  <w:footnote w:id="9">
    <w:p>
      <w:pPr>
        <w:pStyle w:val="FootnoteText"/>
        <w:jc w:val="both"/>
        <w:rPr/>
      </w:pPr>
      <w:r>
        <w:rPr>
          <w:rStyle w:val="Style14"/>
        </w:rPr>
        <w:footnoteRef/>
      </w:r>
      <w:r>
        <w:rPr>
          <w:highlight w:val="lightGray"/>
        </w:rPr>
        <w:t xml:space="preserve"> </w:t>
      </w:r>
      <w:r>
        <w:rPr>
          <w:highlight w:val="lightGray"/>
        </w:rPr>
        <w:t>Включается в Договор в случае, если перемещение Товара осуществляется Поставщиком до подписания Сторонами Накладной ТОРГ-12.</w:t>
      </w:r>
    </w:p>
  </w:footnote>
  <w:footnote w:id="10">
    <w:p>
      <w:pPr>
        <w:pStyle w:val="FootnoteText"/>
        <w:jc w:val="both"/>
        <w:rPr/>
      </w:pPr>
      <w:r>
        <w:rPr>
          <w:rStyle w:val="Style14"/>
        </w:rPr>
        <w:footnoteRef/>
      </w:r>
      <w:r>
        <w:rPr/>
        <w:t xml:space="preserve"> </w:t>
      </w:r>
      <w:r>
        <w:rPr/>
        <w:t xml:space="preserve">Указанное условие включается в Договор, если Договором предусмотрена поставка оборудования, входящего в перечень, утвержденный приказом Минпромторга России от 22.02.2022 № 544 «Об утверждении перечня оборудования, эксплуатируемого по итогам реализации проектов по модернизации, реконструкции или строительству генерирующих объектов тепловых электростанций, включенных в перечень генерирующих объектов тепловых электростанций, подлежащих модернизации (реконструкции) или строительству </w:t>
        <w:br/>
        <w:t>в неценовых зонах оптового рынка электрической энергии и мощности, в отношении которого необходимо получить заключение о подтверждении производства промышленной продукции на территории Российской Федерации» (или заменяющим его документом).</w:t>
      </w:r>
    </w:p>
  </w:footnote>
  <w:footnote w:id="11">
    <w:p>
      <w:pPr>
        <w:pStyle w:val="FootnoteText"/>
        <w:jc w:val="both"/>
        <w:rPr/>
      </w:pPr>
      <w:r>
        <w:rPr>
          <w:rStyle w:val="Style14"/>
        </w:rPr>
        <w:footnoteRef/>
      </w:r>
      <w:r>
        <w:rPr/>
        <w:t xml:space="preserve"> </w:t>
      </w:r>
      <w:r>
        <w:rPr/>
        <w:t>В случае непредоставления новой Банковской гарантии возврата авансового платежа.</w:t>
      </w:r>
    </w:p>
  </w:footnote>
  <w:footnote w:id="12">
    <w:p>
      <w:pPr>
        <w:pStyle w:val="FootnoteText"/>
        <w:jc w:val="both"/>
        <w:rPr/>
      </w:pPr>
      <w:r>
        <w:rPr>
          <w:rStyle w:val="Style14"/>
        </w:rPr>
        <w:footnoteRef/>
      </w:r>
      <w:r>
        <w:rPr/>
        <w:t xml:space="preserve"> </w:t>
      </w:r>
      <w:r>
        <w:rPr>
          <w:highlight w:val="lightGray"/>
        </w:rPr>
        <w:t>Данный пункт применяется только в случае, если в отношении Контрагента (победителя закупки) введены санкции / ограничительные меры. Форма Дополнительного соглашения является типовой (ТФД № 12.3)</w:t>
      </w:r>
      <w:r>
        <w:rPr/>
        <w:t>.</w:t>
      </w:r>
    </w:p>
  </w:footnote>
  <w:footnote w:id="13">
    <w:p>
      <w:pPr>
        <w:pStyle w:val="FootnoteText"/>
        <w:jc w:val="both"/>
        <w:rPr/>
      </w:pPr>
      <w:r>
        <w:rPr>
          <w:rStyle w:val="Style14"/>
        </w:rPr>
        <w:footnoteRef/>
      </w:r>
      <w:r>
        <w:rPr/>
        <w:t xml:space="preserve"> </w:t>
      </w:r>
      <w:r>
        <w:rPr/>
        <w:t>Указанное условие включается в Договор, если в пункте 4.8 Договора установлена обязанность Поставщика предоставить Покупателю копию(-и) заключения(-ий) о подтверждении производства Товара на территории Российской Федерации, выданного(-ых) Минпромторгом России в соответствии с постановлением Правительства Российской Федерации от 17.07.2015 № 719 «О подтверждении производства промышленной продукции на территории Российской Федерации».</w:t>
      </w:r>
    </w:p>
  </w:footnote>
  <w:footnote w:id="14">
    <w:p>
      <w:pPr>
        <w:pStyle w:val="FootnoteText"/>
        <w:jc w:val="both"/>
        <w:rPr/>
      </w:pPr>
      <w:r>
        <w:rPr>
          <w:rStyle w:val="Style14"/>
        </w:rPr>
        <w:footnoteRef/>
      </w:r>
      <w:r>
        <w:rPr/>
        <w:t xml:space="preserve"> </w:t>
      </w:r>
      <w:r>
        <w:rPr>
          <w:highlight w:val="lightGray"/>
        </w:rPr>
        <w:t>Применяется в случае наличия между Сторонами заключенного соглашения о переходе на электронный юридически значимый документооборот (Соглашения об ЭДО)</w:t>
      </w:r>
      <w:r>
        <w:rPr/>
        <w:t>.</w:t>
      </w:r>
    </w:p>
  </w:footnote>
  <w:footnote w:id="15">
    <w:p>
      <w:pPr>
        <w:pStyle w:val="FootnoteText"/>
        <w:jc w:val="both"/>
        <w:rPr/>
      </w:pPr>
      <w:r>
        <w:rPr>
          <w:rStyle w:val="Style14"/>
        </w:rPr>
        <w:footnoteRef/>
      </w:r>
      <w:r>
        <w:rPr/>
        <w:t xml:space="preserve"> </w:t>
      </w:r>
      <w:r>
        <w:rPr/>
        <w:t>В случае если Поставщик является СМП,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6">
    <w:p>
      <w:pPr>
        <w:pStyle w:val="FootnoteText"/>
        <w:jc w:val="both"/>
        <w:rPr/>
      </w:pPr>
      <w:r>
        <w:rPr>
          <w:rStyle w:val="Style14"/>
        </w:rPr>
        <w:footnoteRef/>
      </w:r>
      <w:r>
        <w:rPr/>
        <w:t xml:space="preserve"> </w:t>
      </w:r>
      <w:r>
        <w:rPr>
          <w:highlight w:val="lightGray"/>
        </w:rPr>
        <w:t>Применяется в случае подписания собственноручно без использования усиленных квалифицированных электронных подписей (УКЭП).</w:t>
      </w:r>
    </w:p>
  </w:footnote>
  <w:footnote w:id="17">
    <w:p>
      <w:pPr>
        <w:pStyle w:val="FootnoteText"/>
        <w:jc w:val="both"/>
        <w:rPr/>
      </w:pPr>
      <w:r>
        <w:rPr>
          <w:rStyle w:val="Style14"/>
        </w:rPr>
        <w:footnoteRef/>
      </w:r>
      <w:r>
        <w:rPr/>
        <w:t xml:space="preserve"> </w:t>
      </w:r>
      <w:r>
        <w:rPr/>
        <w:t xml:space="preserve">В соответствии с Общероссийским классификатором стран мира (утв. постановлением Госстандарта России </w:t>
        <w:br/>
        <w:t>от 14.12.2001 № 529-ст).</w:t>
      </w:r>
    </w:p>
  </w:footnote>
  <w:footnote w:id="18">
    <w:p>
      <w:pPr>
        <w:pStyle w:val="FootnoteText"/>
        <w:jc w:val="both"/>
        <w:rPr/>
      </w:pPr>
      <w:r>
        <w:rPr>
          <w:rStyle w:val="Style14"/>
        </w:rPr>
        <w:footnoteRef/>
      </w:r>
      <w:r>
        <w:rPr>
          <w:highlight w:val="lightGray"/>
        </w:rPr>
        <w:t xml:space="preserve"> </w:t>
      </w:r>
      <w:r>
        <w:rPr>
          <w:highlight w:val="lightGray"/>
        </w:rPr>
        <w:t>Порядковый номер (номера) реестровой записи (реестровых записей), под которой (которыми) Товар включен в реестры, предусмотренные пунктом 2 постановления   Правительства РФ от 23 декабря 2024 года № 1875 называется «О мерах по предоставлен</w:t>
      </w:r>
      <w:bookmarkStart w:id="14" w:name="_GoBack_Копия_1"/>
      <w:bookmarkEnd w:id="14"/>
      <w:r>
        <w:rPr>
          <w:highlight w:val="lightGray"/>
        </w:rPr>
        <w:t>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19">
    <w:p>
      <w:pPr>
        <w:pStyle w:val="FootnoteText"/>
        <w:jc w:val="both"/>
        <w:rPr/>
      </w:pPr>
      <w:r>
        <w:rPr>
          <w:rStyle w:val="Style14"/>
        </w:rPr>
        <w:footnoteRef/>
      </w:r>
      <w:r>
        <w:rPr/>
        <w:t xml:space="preserve"> </w:t>
      </w:r>
      <w:r>
        <w:rPr/>
        <w:t xml:space="preserve">Не распространяются на договоры, заключенные по результатам конкурентной закупки товаров, работ, услуг в электронной форме только среди субъектов малого и среднего предпринимательства, требования к гарантам </w:t>
        <w:br/>
        <w:t>по которым предусмотрены федеральным законом от 18.07.2011 № 223-ФЗ «О закупках товаров, работ, услуг отдельными видами юридических лиц».</w:t>
      </w:r>
    </w:p>
  </w:footnote>
  <w:footnote w:id="20">
    <w:p>
      <w:pPr>
        <w:pStyle w:val="FootnoteText"/>
        <w:jc w:val="both"/>
        <w:rPr/>
      </w:pPr>
      <w:r>
        <w:rPr>
          <w:rStyle w:val="Style14"/>
        </w:rPr>
        <w:footnoteRef/>
      </w:r>
      <w:r>
        <w:rPr>
          <w:lang w:eastAsia="x-none"/>
        </w:rPr>
        <w:t xml:space="preserve"> </w:t>
      </w:r>
      <w:r>
        <w:rPr>
          <w:lang w:eastAsia="x-none"/>
        </w:rPr>
        <w:t xml:space="preserve">Актуальный Перечень Банков-Гарантов Группы РусГидро размещен на официальном сайте Заказчика </w:t>
      </w:r>
      <w:r>
        <w:rPr/>
        <w:t>http</w:t>
      </w:r>
      <w:r>
        <w:rPr>
          <w:lang w:eastAsia="x-none"/>
        </w:rPr>
        <w:t>://</w:t>
      </w:r>
      <w:r>
        <w:rPr/>
        <w:t>zakupki</w:t>
      </w:r>
      <w:r>
        <w:rPr>
          <w:lang w:eastAsia="x-none"/>
        </w:rPr>
        <w:t>.</w:t>
      </w:r>
      <w:r>
        <w:rPr/>
        <w:t>rushydro</w:t>
      </w:r>
      <w:r>
        <w:rPr>
          <w:lang w:eastAsia="x-none"/>
        </w:rPr>
        <w:t>.</w:t>
      </w:r>
      <w:r>
        <w:rPr/>
        <w:t>ru</w:t>
      </w:r>
      <w:r>
        <w:rPr>
          <w:lang w:eastAsia="x-none"/>
        </w:rPr>
        <w:t>/</w:t>
      </w:r>
      <w:r>
        <w:rPr/>
        <w:t>PublicContent</w:t>
      </w:r>
      <w:r>
        <w:rPr>
          <w:lang w:eastAsia="x-none"/>
        </w:rPr>
        <w:t>/</w:t>
      </w:r>
      <w:r>
        <w:rPr/>
        <w:t>Section</w:t>
      </w:r>
      <w:r>
        <w:rPr>
          <w:lang w:eastAsia="x-none"/>
        </w:rPr>
        <w:t>/.</w:t>
      </w:r>
    </w:p>
  </w:footnote>
  <w:footnote w:id="21">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из присвоенных (по данным сайта кредитной организации и /или рейтинговых агентств и/или 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 w:id="22">
    <w:p>
      <w:pPr>
        <w:pStyle w:val="FootnoteText"/>
        <w:jc w:val="both"/>
        <w:rPr/>
      </w:pPr>
      <w:r>
        <w:rPr>
          <w:rStyle w:val="Style14"/>
        </w:rPr>
        <w:footnoteRef/>
      </w:r>
      <w:r>
        <w:rPr>
          <w:lang w:eastAsia="x-none"/>
        </w:rPr>
        <w:t xml:space="preserve"> </w:t>
      </w:r>
      <w:r>
        <w:rPr>
          <w:lang w:eastAsia="x-none"/>
        </w:rPr>
        <w:t>Данное требование не применяется в отношении небанковских кредитных организаций.</w:t>
      </w:r>
    </w:p>
  </w:footnote>
  <w:footnote w:id="23">
    <w:p>
      <w:pPr>
        <w:pStyle w:val="FootnoteText"/>
        <w:jc w:val="both"/>
        <w:rPr/>
      </w:pPr>
      <w:r>
        <w:rPr>
          <w:rStyle w:val="Style14"/>
        </w:rPr>
        <w:footnoteRef/>
      </w:r>
      <w:r>
        <w:rPr>
          <w:lang w:eastAsia="x-none"/>
        </w:rPr>
        <w:t xml:space="preserve"> </w:t>
      </w:r>
      <w:r>
        <w:rPr>
          <w:lang w:eastAsia="x-none"/>
        </w:rPr>
        <w:t>При издании ПО организационно-распорядительного документа о ТФУ данный критерий может быть исключен.</w:t>
      </w:r>
    </w:p>
  </w:footnote>
  <w:footnote w:id="24">
    <w:p>
      <w:pPr>
        <w:pStyle w:val="FootnoteText"/>
        <w:jc w:val="both"/>
        <w:rPr/>
      </w:pPr>
      <w:r>
        <w:rPr>
          <w:rStyle w:val="Style14"/>
        </w:rPr>
        <w:footnoteRef/>
      </w:r>
      <w:r>
        <w:rPr>
          <w:lang w:eastAsia="x-none"/>
        </w:rPr>
        <w:t xml:space="preserve"> </w:t>
      </w:r>
      <w:r>
        <w:rPr>
          <w:lang w:eastAsia="x-none"/>
        </w:rPr>
        <w:t xml:space="preserve">Значение показателя округляется в большую или меньшую сторону до суммы, кратной 100 млн. руб. </w:t>
        <w:br/>
        <w:t>по правилам математического округления. В случае, если первая из отделяемых цифр меньше 5 - то значение показателя округляется в меньшую сторону; если первая из отделяемых цифр больше 5, то значение показателя округляется в большую сторону. Например, расчетное значение лимита - 5</w:t>
      </w:r>
      <w:r>
        <w:rPr/>
        <w:t> </w:t>
      </w:r>
      <w:r>
        <w:rPr>
          <w:lang w:eastAsia="x-none"/>
        </w:rPr>
        <w:t>440 млн. руб., лимит к установлению - 5</w:t>
      </w:r>
      <w:r>
        <w:rPr/>
        <w:t> </w:t>
      </w:r>
      <w:r>
        <w:rPr>
          <w:lang w:eastAsia="x-none"/>
        </w:rPr>
        <w:t>400 млн. руб.; расчетное значение лимита - 5</w:t>
      </w:r>
      <w:r>
        <w:rPr/>
        <w:t> </w:t>
      </w:r>
      <w:r>
        <w:rPr>
          <w:lang w:eastAsia="x-none"/>
        </w:rPr>
        <w:t>450 млн. руб., лимит к установлению - 5</w:t>
      </w:r>
      <w:r>
        <w:rPr/>
        <w:t> </w:t>
      </w:r>
      <w:r>
        <w:rPr>
          <w:lang w:eastAsia="x-none"/>
        </w:rPr>
        <w:t>500 млн. руб.</w:t>
      </w:r>
    </w:p>
  </w:footnote>
  <w:footnote w:id="25">
    <w:p>
      <w:pPr>
        <w:pStyle w:val="FootnoteText"/>
        <w:jc w:val="both"/>
        <w:rPr/>
      </w:pPr>
      <w:r>
        <w:rPr>
          <w:rStyle w:val="Style14"/>
        </w:rPr>
        <w:footnoteRef/>
      </w:r>
      <w:r>
        <w:rPr>
          <w:lang w:eastAsia="x-none"/>
        </w:rPr>
        <w:t xml:space="preserve"> </w:t>
      </w:r>
      <w:r>
        <w:rPr>
          <w:lang w:eastAsia="x-none"/>
        </w:rPr>
        <w:t xml:space="preserve">Если кредитная организация имеет рейтинги кредитоспособности разных уровней, присвоенные разными рейтинговыми агентствами, то в качестве рейтинга кредитоспособности принимается максимальный </w:t>
        <w:br/>
        <w:t xml:space="preserve">из присвоенных (по данным сайта кредитной организации и /или рейтинговых агентств и/или </w:t>
        <w:br/>
        <w:t xml:space="preserve">из информационных систем </w:t>
      </w:r>
      <w:r>
        <w:rPr/>
        <w:t>Reuters</w:t>
      </w:r>
      <w:r>
        <w:rPr>
          <w:lang w:eastAsia="x-none"/>
        </w:rPr>
        <w:t xml:space="preserve">, </w:t>
      </w:r>
      <w:r>
        <w:rPr/>
        <w:t>Bloomberg</w:t>
      </w:r>
      <w:r>
        <w:rPr>
          <w:lang w:eastAsia="x-none"/>
        </w:rPr>
        <w:t>, С</w:t>
      </w:r>
      <w:r>
        <w:rPr/>
        <w:t>bonds</w:t>
      </w:r>
      <w:r>
        <w:rPr>
          <w:lang w:eastAsia="x-none"/>
        </w:rPr>
        <w:t>)</w:t>
      </w:r>
    </w:p>
  </w:footnote>
</w:footnote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left" w:pos="1875" w:leader="none"/>
        <w:tab w:val="center" w:pos="4153" w:leader="none"/>
        <w:tab w:val="right" w:pos="8364" w:leader="none"/>
      </w:tabs>
      <w:ind w:left="8364" w:hanging="426"/>
      <w:rPr>
        <w:i/>
        <w:i/>
      </w:rPr>
    </w:pPr>
    <w:r>
      <w:rPr/>
      <w:t xml:space="preserve">ТФД № </w:t>
    </w:r>
    <w:r>
      <w:rPr>
        <w:lang w:val="en-US"/>
      </w:rPr>
      <w:t>2</w:t>
    </w:r>
    <w:r>
      <w:rPr/>
      <w:t>.2.3.</w: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right"/>
      <w:rPr/>
    </w:pPr>
    <w:r>
      <w:rPr/>
      <w:t xml:space="preserve"> </w:t>
    </w:r>
    <w:r>
      <w:rPr/>
      <w:t>ТФД № 2.2.3.</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decimal"/>
      <w:lvlText w:val="%1."/>
      <w:lvlJc w:val="left"/>
      <w:pPr>
        <w:tabs>
          <w:tab w:val="num" w:pos="360"/>
        </w:tabs>
        <w:ind w:left="360" w:hanging="360"/>
      </w:pPr>
      <w:rPr/>
    </w:lvl>
    <w:lvl w:ilvl="1">
      <w:start w:val="1"/>
      <w:numFmt w:val="decimal"/>
      <w:lvlText w:val="%1.%2."/>
      <w:lvlJc w:val="left"/>
      <w:pPr>
        <w:tabs>
          <w:tab w:val="num" w:pos="1851"/>
        </w:tabs>
        <w:ind w:left="1851" w:hanging="432"/>
      </w:pPr>
      <w:rPr>
        <w:sz w:val="24"/>
        <w:b w:val="false"/>
        <w:szCs w:val="24"/>
      </w:rPr>
    </w:lvl>
    <w:lvl w:ilvl="2">
      <w:start w:val="1"/>
      <w:numFmt w:val="decimal"/>
      <w:lvlText w:val="%1.%2.%3."/>
      <w:lvlJc w:val="left"/>
      <w:pPr>
        <w:tabs>
          <w:tab w:val="num" w:pos="1855"/>
        </w:tabs>
        <w:ind w:left="1639" w:hanging="504"/>
      </w:pPr>
      <w:rPr>
        <w:sz w:val="24"/>
      </w:rPr>
    </w:lvl>
    <w:lvl w:ilvl="3">
      <w:start w:val="1"/>
      <w:numFmt w:val="decimal"/>
      <w:lvlText w:val="%1.%2.%3.%4."/>
      <w:lvlJc w:val="left"/>
      <w:pPr>
        <w:tabs>
          <w:tab w:val="num" w:pos="2160"/>
        </w:tabs>
        <w:ind w:left="1728" w:hanging="648"/>
      </w:pPr>
      <w:rPr/>
    </w:lvl>
    <w:lvl w:ilvl="4">
      <w:start w:val="1"/>
      <w:numFmt w:val="decimal"/>
      <w:lvlText w:val="%1.%2.%3.%4.%5."/>
      <w:lvlJc w:val="left"/>
      <w:pPr>
        <w:tabs>
          <w:tab w:val="num" w:pos="2520"/>
        </w:tabs>
        <w:ind w:left="2232" w:hanging="792"/>
      </w:pPr>
      <w:rPr/>
    </w:lvl>
    <w:lvl w:ilvl="5">
      <w:start w:val="1"/>
      <w:numFmt w:val="decimal"/>
      <w:lvlText w:val="%1.%2.%3.%4.%5.%6."/>
      <w:lvlJc w:val="left"/>
      <w:pPr>
        <w:tabs>
          <w:tab w:val="num" w:pos="3240"/>
        </w:tabs>
        <w:ind w:left="2736" w:hanging="936"/>
      </w:pPr>
      <w:rPr/>
    </w:lvl>
    <w:lvl w:ilvl="6">
      <w:start w:val="1"/>
      <w:numFmt w:val="decimal"/>
      <w:lvlText w:val="%1.%2.%3.%4.%5.%6.%7."/>
      <w:lvlJc w:val="left"/>
      <w:pPr>
        <w:tabs>
          <w:tab w:val="num" w:pos="3960"/>
        </w:tabs>
        <w:ind w:left="3240" w:hanging="1080"/>
      </w:pPr>
      <w:rPr/>
    </w:lvl>
    <w:lvl w:ilvl="7">
      <w:start w:val="1"/>
      <w:numFmt w:val="decimal"/>
      <w:lvlText w:val="%1.%2.%3.%4.%5.%6.%7.%8."/>
      <w:lvlJc w:val="left"/>
      <w:pPr>
        <w:tabs>
          <w:tab w:val="num" w:pos="4320"/>
        </w:tabs>
        <w:ind w:left="3744" w:hanging="1224"/>
      </w:pPr>
      <w:rPr/>
    </w:lvl>
    <w:lvl w:ilvl="8">
      <w:start w:val="1"/>
      <w:numFmt w:val="decimal"/>
      <w:lvlText w:val="%1.%2.%3.%4.%5.%6.%7.%8.%9."/>
      <w:lvlJc w:val="left"/>
      <w:pPr>
        <w:tabs>
          <w:tab w:val="num" w:pos="5040"/>
        </w:tabs>
        <w:ind w:left="4320" w:hanging="1440"/>
      </w:pPr>
      <w:rPr/>
    </w:lvl>
  </w:abstractNum>
  <w:abstractNum w:abstractNumId="3">
    <w:lvl w:ilvl="0">
      <w:start w:val="1"/>
      <w:numFmt w:val="bullet"/>
      <w:lvlText w:val=""/>
      <w:lvlJc w:val="left"/>
      <w:pPr>
        <w:tabs>
          <w:tab w:val="num" w:pos="1353"/>
        </w:tabs>
        <w:ind w:left="1353" w:hanging="36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4">
    <w:lvl w:ilvl="0">
      <w:start w:val="1"/>
      <w:numFmt w:val="bullet"/>
      <w:lvlText w:val=""/>
      <w:lvlJc w:val="left"/>
      <w:pPr>
        <w:tabs>
          <w:tab w:val="num" w:pos="1778"/>
        </w:tabs>
        <w:ind w:left="1778" w:hanging="360"/>
      </w:pPr>
      <w:rPr>
        <w:rFonts w:ascii="Symbol" w:hAnsi="Symbol" w:cs="Symbol" w:hint="default"/>
      </w:rPr>
    </w:lvl>
    <w:lvl w:ilvl="1">
      <w:start w:val="1"/>
      <w:numFmt w:val="bullet"/>
      <w:lvlText w:val="o"/>
      <w:lvlJc w:val="left"/>
      <w:pPr>
        <w:tabs>
          <w:tab w:val="num" w:pos="2498"/>
        </w:tabs>
        <w:ind w:left="2498" w:hanging="360"/>
      </w:pPr>
      <w:rPr>
        <w:rFonts w:ascii="Courier New" w:hAnsi="Courier New" w:cs="Courier New" w:hint="default"/>
      </w:rPr>
    </w:lvl>
    <w:lvl w:ilvl="2">
      <w:start w:val="1"/>
      <w:numFmt w:val="bullet"/>
      <w:lvlText w:val=""/>
      <w:lvlJc w:val="left"/>
      <w:pPr>
        <w:tabs>
          <w:tab w:val="num" w:pos="3218"/>
        </w:tabs>
        <w:ind w:left="3218" w:hanging="360"/>
      </w:pPr>
      <w:rPr>
        <w:rFonts w:ascii="Wingdings" w:hAnsi="Wingdings" w:cs="Wingdings" w:hint="default"/>
      </w:rPr>
    </w:lvl>
    <w:lvl w:ilvl="3">
      <w:start w:val="1"/>
      <w:numFmt w:val="bullet"/>
      <w:lvlText w:val=""/>
      <w:lvlJc w:val="left"/>
      <w:pPr>
        <w:tabs>
          <w:tab w:val="num" w:pos="3938"/>
        </w:tabs>
        <w:ind w:left="3938" w:hanging="360"/>
      </w:pPr>
      <w:rPr>
        <w:rFonts w:ascii="Symbol" w:hAnsi="Symbol" w:cs="Symbol" w:hint="default"/>
      </w:rPr>
    </w:lvl>
    <w:lvl w:ilvl="4">
      <w:start w:val="1"/>
      <w:numFmt w:val="bullet"/>
      <w:lvlText w:val="o"/>
      <w:lvlJc w:val="left"/>
      <w:pPr>
        <w:tabs>
          <w:tab w:val="num" w:pos="4658"/>
        </w:tabs>
        <w:ind w:left="4658" w:hanging="360"/>
      </w:pPr>
      <w:rPr>
        <w:rFonts w:ascii="Courier New" w:hAnsi="Courier New" w:cs="Courier New" w:hint="default"/>
      </w:rPr>
    </w:lvl>
    <w:lvl w:ilvl="5">
      <w:start w:val="1"/>
      <w:numFmt w:val="bullet"/>
      <w:lvlText w:val=""/>
      <w:lvlJc w:val="left"/>
      <w:pPr>
        <w:tabs>
          <w:tab w:val="num" w:pos="5378"/>
        </w:tabs>
        <w:ind w:left="5378" w:hanging="360"/>
      </w:pPr>
      <w:rPr>
        <w:rFonts w:ascii="Wingdings" w:hAnsi="Wingdings" w:cs="Wingdings" w:hint="default"/>
      </w:rPr>
    </w:lvl>
    <w:lvl w:ilvl="6">
      <w:start w:val="1"/>
      <w:numFmt w:val="bullet"/>
      <w:lvlText w:val=""/>
      <w:lvlJc w:val="left"/>
      <w:pPr>
        <w:tabs>
          <w:tab w:val="num" w:pos="6098"/>
        </w:tabs>
        <w:ind w:left="6098" w:hanging="360"/>
      </w:pPr>
      <w:rPr>
        <w:rFonts w:ascii="Symbol" w:hAnsi="Symbol" w:cs="Symbol" w:hint="default"/>
      </w:rPr>
    </w:lvl>
    <w:lvl w:ilvl="7">
      <w:start w:val="1"/>
      <w:numFmt w:val="bullet"/>
      <w:lvlText w:val="o"/>
      <w:lvlJc w:val="left"/>
      <w:pPr>
        <w:tabs>
          <w:tab w:val="num" w:pos="6818"/>
        </w:tabs>
        <w:ind w:left="6818" w:hanging="360"/>
      </w:pPr>
      <w:rPr>
        <w:rFonts w:ascii="Courier New" w:hAnsi="Courier New" w:cs="Courier New" w:hint="default"/>
      </w:rPr>
    </w:lvl>
    <w:lvl w:ilvl="8">
      <w:start w:val="1"/>
      <w:numFmt w:val="bullet"/>
      <w:lvlText w:val=""/>
      <w:lvlJc w:val="left"/>
      <w:pPr>
        <w:tabs>
          <w:tab w:val="num" w:pos="7538"/>
        </w:tabs>
        <w:ind w:left="7538" w:hanging="360"/>
      </w:pPr>
      <w:rPr>
        <w:rFonts w:ascii="Wingdings" w:hAnsi="Wingdings" w:cs="Wingdings" w:hint="default"/>
      </w:rPr>
    </w:lvl>
  </w:abstractNum>
  <w:abstractNum w:abstractNumId="5">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6">
    <w:lvl w:ilvl="0">
      <w:start w:val="1"/>
      <w:numFmt w:val="bullet"/>
      <w:lvlText w:val=""/>
      <w:lvlJc w:val="left"/>
      <w:pPr>
        <w:tabs>
          <w:tab w:val="num" w:pos="0"/>
        </w:tabs>
        <w:ind w:left="1287" w:hanging="360"/>
      </w:pPr>
      <w:rPr>
        <w:rFonts w:ascii="Symbol" w:hAnsi="Symbol" w:cs="Symbol" w:hint="default"/>
      </w:rPr>
    </w:lvl>
    <w:lvl w:ilvl="1">
      <w:start w:val="1"/>
      <w:numFmt w:val="bullet"/>
      <w:lvlText w:val="o"/>
      <w:lvlJc w:val="left"/>
      <w:pPr>
        <w:tabs>
          <w:tab w:val="num" w:pos="0"/>
        </w:tabs>
        <w:ind w:left="2007" w:hanging="360"/>
      </w:pPr>
      <w:rPr>
        <w:rFonts w:ascii="Courier New" w:hAnsi="Courier New" w:cs="Courier New" w:hint="default"/>
      </w:rPr>
    </w:lvl>
    <w:lvl w:ilvl="2">
      <w:start w:val="1"/>
      <w:numFmt w:val="bullet"/>
      <w:lvlText w:val=""/>
      <w:lvlJc w:val="left"/>
      <w:pPr>
        <w:tabs>
          <w:tab w:val="num" w:pos="0"/>
        </w:tabs>
        <w:ind w:left="2727" w:hanging="360"/>
      </w:pPr>
      <w:rPr>
        <w:rFonts w:ascii="Wingdings" w:hAnsi="Wingdings" w:cs="Wingdings" w:hint="default"/>
      </w:rPr>
    </w:lvl>
    <w:lvl w:ilvl="3">
      <w:start w:val="1"/>
      <w:numFmt w:val="bullet"/>
      <w:lvlText w:val=""/>
      <w:lvlJc w:val="left"/>
      <w:pPr>
        <w:tabs>
          <w:tab w:val="num" w:pos="0"/>
        </w:tabs>
        <w:ind w:left="3447" w:hanging="360"/>
      </w:pPr>
      <w:rPr>
        <w:rFonts w:ascii="Symbol" w:hAnsi="Symbol" w:cs="Symbol" w:hint="default"/>
      </w:rPr>
    </w:lvl>
    <w:lvl w:ilvl="4">
      <w:start w:val="1"/>
      <w:numFmt w:val="bullet"/>
      <w:lvlText w:val="o"/>
      <w:lvlJc w:val="left"/>
      <w:pPr>
        <w:tabs>
          <w:tab w:val="num" w:pos="0"/>
        </w:tabs>
        <w:ind w:left="4167" w:hanging="360"/>
      </w:pPr>
      <w:rPr>
        <w:rFonts w:ascii="Courier New" w:hAnsi="Courier New" w:cs="Courier New" w:hint="default"/>
      </w:rPr>
    </w:lvl>
    <w:lvl w:ilvl="5">
      <w:start w:val="1"/>
      <w:numFmt w:val="bullet"/>
      <w:lvlText w:val=""/>
      <w:lvlJc w:val="left"/>
      <w:pPr>
        <w:tabs>
          <w:tab w:val="num" w:pos="0"/>
        </w:tabs>
        <w:ind w:left="4887" w:hanging="360"/>
      </w:pPr>
      <w:rPr>
        <w:rFonts w:ascii="Wingdings" w:hAnsi="Wingdings" w:cs="Wingdings" w:hint="default"/>
      </w:rPr>
    </w:lvl>
    <w:lvl w:ilvl="6">
      <w:start w:val="1"/>
      <w:numFmt w:val="bullet"/>
      <w:lvlText w:val=""/>
      <w:lvlJc w:val="left"/>
      <w:pPr>
        <w:tabs>
          <w:tab w:val="num" w:pos="0"/>
        </w:tabs>
        <w:ind w:left="5607" w:hanging="360"/>
      </w:pPr>
      <w:rPr>
        <w:rFonts w:ascii="Symbol" w:hAnsi="Symbol" w:cs="Symbol" w:hint="default"/>
      </w:rPr>
    </w:lvl>
    <w:lvl w:ilvl="7">
      <w:start w:val="1"/>
      <w:numFmt w:val="bullet"/>
      <w:lvlText w:val="o"/>
      <w:lvlJc w:val="left"/>
      <w:pPr>
        <w:tabs>
          <w:tab w:val="num" w:pos="0"/>
        </w:tabs>
        <w:ind w:left="6327" w:hanging="360"/>
      </w:pPr>
      <w:rPr>
        <w:rFonts w:ascii="Courier New" w:hAnsi="Courier New" w:cs="Courier New" w:hint="default"/>
      </w:rPr>
    </w:lvl>
    <w:lvl w:ilvl="8">
      <w:start w:val="1"/>
      <w:numFmt w:val="bullet"/>
      <w:lvlText w:val=""/>
      <w:lvlJc w:val="left"/>
      <w:pPr>
        <w:tabs>
          <w:tab w:val="num" w:pos="0"/>
        </w:tabs>
        <w:ind w:left="7047" w:hanging="360"/>
      </w:pPr>
      <w:rPr>
        <w:rFonts w:ascii="Wingdings" w:hAnsi="Wingdings" w:cs="Wingdings" w:hint="default"/>
      </w:rPr>
    </w:lvl>
  </w:abstractNum>
  <w:abstractNum w:abstractNumId="7">
    <w:lvl w:ilvl="0">
      <w:start w:val="1"/>
      <w:numFmt w:val="decimal"/>
      <w:lvlText w:val="%1."/>
      <w:lvlJc w:val="left"/>
      <w:pPr>
        <w:tabs>
          <w:tab w:val="num" w:pos="0"/>
        </w:tabs>
        <w:ind w:left="2204" w:hanging="360"/>
      </w:pPr>
      <w:rPr>
        <w:b/>
      </w:rPr>
    </w:lvl>
    <w:lvl w:ilvl="1">
      <w:start w:val="1"/>
      <w:numFmt w:val="bullet"/>
      <w:lvlText w:val=""/>
      <w:lvlJc w:val="left"/>
      <w:pPr>
        <w:tabs>
          <w:tab w:val="num" w:pos="0"/>
        </w:tabs>
        <w:ind w:left="1851" w:hanging="432"/>
      </w:pPr>
      <w:rPr>
        <w:rFonts w:ascii="Symbol" w:hAnsi="Symbol" w:cs="Symbol" w:hint="default"/>
        <w:u w:val="none"/>
        <w:b w:val="false"/>
      </w:rPr>
    </w:lvl>
    <w:lvl w:ilvl="2">
      <w:start w:val="1"/>
      <w:numFmt w:val="decimal"/>
      <w:lvlText w:val="%1.%2.%3."/>
      <w:lvlJc w:val="left"/>
      <w:pPr>
        <w:tabs>
          <w:tab w:val="num" w:pos="0"/>
        </w:tabs>
        <w:ind w:left="1355" w:hanging="504"/>
      </w:pPr>
      <w:rPr>
        <w:sz w:val="24"/>
        <w:b w:val="false"/>
        <w:szCs w:val="24"/>
      </w:rPr>
    </w:lvl>
    <w:lvl w:ilvl="3">
      <w:start w:val="1"/>
      <w:numFmt w:val="decimal"/>
      <w:lvlText w:val="%1.%2.%3.%4."/>
      <w:lvlJc w:val="left"/>
      <w:pPr>
        <w:tabs>
          <w:tab w:val="num" w:pos="0"/>
        </w:tabs>
        <w:ind w:left="2917"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8">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9">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12">
    <w:lvl w:ilvl="0">
      <w:start w:val="1"/>
      <w:numFmt w:val="bullet"/>
      <w:lvlText w:val=""/>
      <w:lvlJc w:val="left"/>
      <w:pPr>
        <w:tabs>
          <w:tab w:val="num" w:pos="0"/>
        </w:tabs>
        <w:ind w:left="1428" w:hanging="360"/>
      </w:pPr>
      <w:rPr>
        <w:rFonts w:ascii="Symbol" w:hAnsi="Symbol" w:cs="Symbol" w:hint="default"/>
      </w:rPr>
    </w:lvl>
    <w:lvl w:ilvl="1">
      <w:start w:val="1"/>
      <w:numFmt w:val="bullet"/>
      <w:lvlText w:val="o"/>
      <w:lvlJc w:val="left"/>
      <w:pPr>
        <w:tabs>
          <w:tab w:val="num" w:pos="0"/>
        </w:tabs>
        <w:ind w:left="2148" w:hanging="360"/>
      </w:pPr>
      <w:rPr>
        <w:rFonts w:ascii="Courier New" w:hAnsi="Courier New" w:cs="Courier New" w:hint="default"/>
      </w:rPr>
    </w:lvl>
    <w:lvl w:ilvl="2">
      <w:start w:val="1"/>
      <w:numFmt w:val="bullet"/>
      <w:lvlText w:val=""/>
      <w:lvlJc w:val="left"/>
      <w:pPr>
        <w:tabs>
          <w:tab w:val="num" w:pos="0"/>
        </w:tabs>
        <w:ind w:left="2868" w:hanging="360"/>
      </w:pPr>
      <w:rPr>
        <w:rFonts w:ascii="Wingdings" w:hAnsi="Wingdings" w:cs="Wingdings" w:hint="default"/>
      </w:rPr>
    </w:lvl>
    <w:lvl w:ilvl="3">
      <w:start w:val="1"/>
      <w:numFmt w:val="bullet"/>
      <w:lvlText w:val=""/>
      <w:lvlJc w:val="left"/>
      <w:pPr>
        <w:tabs>
          <w:tab w:val="num" w:pos="0"/>
        </w:tabs>
        <w:ind w:left="3588" w:hanging="360"/>
      </w:pPr>
      <w:rPr>
        <w:rFonts w:ascii="Symbol" w:hAnsi="Symbol" w:cs="Symbol" w:hint="default"/>
      </w:rPr>
    </w:lvl>
    <w:lvl w:ilvl="4">
      <w:start w:val="1"/>
      <w:numFmt w:val="bullet"/>
      <w:lvlText w:val="o"/>
      <w:lvlJc w:val="left"/>
      <w:pPr>
        <w:tabs>
          <w:tab w:val="num" w:pos="0"/>
        </w:tabs>
        <w:ind w:left="4308" w:hanging="360"/>
      </w:pPr>
      <w:rPr>
        <w:rFonts w:ascii="Courier New" w:hAnsi="Courier New" w:cs="Courier New" w:hint="default"/>
      </w:rPr>
    </w:lvl>
    <w:lvl w:ilvl="5">
      <w:start w:val="1"/>
      <w:numFmt w:val="bullet"/>
      <w:lvlText w:val=""/>
      <w:lvlJc w:val="left"/>
      <w:pPr>
        <w:tabs>
          <w:tab w:val="num" w:pos="0"/>
        </w:tabs>
        <w:ind w:left="5028" w:hanging="360"/>
      </w:pPr>
      <w:rPr>
        <w:rFonts w:ascii="Wingdings" w:hAnsi="Wingdings" w:cs="Wingdings" w:hint="default"/>
      </w:rPr>
    </w:lvl>
    <w:lvl w:ilvl="6">
      <w:start w:val="1"/>
      <w:numFmt w:val="bullet"/>
      <w:lvlText w:val=""/>
      <w:lvlJc w:val="left"/>
      <w:pPr>
        <w:tabs>
          <w:tab w:val="num" w:pos="0"/>
        </w:tabs>
        <w:ind w:left="5748" w:hanging="360"/>
      </w:pPr>
      <w:rPr>
        <w:rFonts w:ascii="Symbol" w:hAnsi="Symbol" w:cs="Symbol" w:hint="default"/>
      </w:rPr>
    </w:lvl>
    <w:lvl w:ilvl="7">
      <w:start w:val="1"/>
      <w:numFmt w:val="bullet"/>
      <w:lvlText w:val="o"/>
      <w:lvlJc w:val="left"/>
      <w:pPr>
        <w:tabs>
          <w:tab w:val="num" w:pos="0"/>
        </w:tabs>
        <w:ind w:left="6468" w:hanging="360"/>
      </w:pPr>
      <w:rPr>
        <w:rFonts w:ascii="Courier New" w:hAnsi="Courier New" w:cs="Courier New" w:hint="default"/>
      </w:rPr>
    </w:lvl>
    <w:lvl w:ilvl="8">
      <w:start w:val="1"/>
      <w:numFmt w:val="bullet"/>
      <w:lvlText w:val=""/>
      <w:lvlJc w:val="left"/>
      <w:pPr>
        <w:tabs>
          <w:tab w:val="num" w:pos="0"/>
        </w:tabs>
        <w:ind w:left="7188" w:hanging="360"/>
      </w:pPr>
      <w:rPr>
        <w:rFonts w:ascii="Wingdings" w:hAnsi="Wingdings" w:cs="Wingdings" w:hint="default"/>
      </w:rPr>
    </w:lvl>
  </w:abstractNum>
  <w:abstractNum w:abstractNumId="13">
    <w:lvl w:ilvl="0">
      <w:start w:val="2"/>
      <w:numFmt w:val="decimal"/>
      <w:lvlText w:val="%1."/>
      <w:lvlJc w:val="left"/>
      <w:pPr>
        <w:tabs>
          <w:tab w:val="num" w:pos="0"/>
        </w:tabs>
        <w:ind w:left="540" w:hanging="540"/>
      </w:pPr>
      <w:rPr/>
    </w:lvl>
    <w:lvl w:ilvl="1">
      <w:start w:val="3"/>
      <w:numFmt w:val="decimal"/>
      <w:lvlText w:val="%1.%2."/>
      <w:lvlJc w:val="left"/>
      <w:pPr>
        <w:tabs>
          <w:tab w:val="num" w:pos="0"/>
        </w:tabs>
        <w:ind w:left="1107" w:hanging="540"/>
      </w:pPr>
      <w:rPr/>
    </w:lvl>
    <w:lvl w:ilvl="2">
      <w:start w:val="2"/>
      <w:numFmt w:val="decimal"/>
      <w:lvlText w:val="%1.%2.%3."/>
      <w:lvlJc w:val="left"/>
      <w:pPr>
        <w:tabs>
          <w:tab w:val="num" w:pos="0"/>
        </w:tabs>
        <w:ind w:left="1854" w:hanging="720"/>
      </w:pPr>
      <w:rPr/>
    </w:lvl>
    <w:lvl w:ilvl="3">
      <w:start w:val="1"/>
      <w:numFmt w:val="decimal"/>
      <w:lvlText w:val="%1.%2.%3.%4."/>
      <w:lvlJc w:val="left"/>
      <w:pPr>
        <w:tabs>
          <w:tab w:val="num" w:pos="0"/>
        </w:tabs>
        <w:ind w:left="2421" w:hanging="72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3915" w:hanging="108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409" w:hanging="1440"/>
      </w:pPr>
      <w:rPr/>
    </w:lvl>
    <w:lvl w:ilvl="8">
      <w:start w:val="1"/>
      <w:numFmt w:val="decimal"/>
      <w:lvlText w:val="%1.%2.%3.%4.%5.%6.%7.%8.%9."/>
      <w:lvlJc w:val="left"/>
      <w:pPr>
        <w:tabs>
          <w:tab w:val="num" w:pos="0"/>
        </w:tabs>
        <w:ind w:left="6336" w:hanging="1800"/>
      </w:pPr>
      <w:rPr/>
    </w:lvl>
  </w:abstractNum>
  <w:abstractNum w:abstractNumId="14">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30" w:hanging="720"/>
      </w:pPr>
      <w:rPr>
        <w:rFonts w:cs="Times New Roman"/>
      </w:rPr>
    </w:lvl>
    <w:lvl w:ilvl="2">
      <w:start w:val="1"/>
      <w:numFmt w:val="decimal"/>
      <w:lvlText w:val="%1.%2.%3."/>
      <w:lvlJc w:val="left"/>
      <w:pPr>
        <w:tabs>
          <w:tab w:val="num" w:pos="0"/>
        </w:tabs>
        <w:ind w:left="1146" w:hanging="720"/>
      </w:pPr>
      <w:rPr>
        <w:b w:val="false"/>
        <w:rFonts w:cs="Times New Roman"/>
      </w:rPr>
    </w:lvl>
    <w:lvl w:ilvl="3">
      <w:start w:val="1"/>
      <w:numFmt w:val="decimal"/>
      <w:lvlText w:val="%1.%2.%3.%4."/>
      <w:lvlJc w:val="left"/>
      <w:pPr>
        <w:tabs>
          <w:tab w:val="num" w:pos="0"/>
        </w:tabs>
        <w:ind w:left="1506" w:hanging="1080"/>
      </w:pPr>
      <w:rPr>
        <w:rFonts w:cs="Times New Roman"/>
      </w:rPr>
    </w:lvl>
    <w:lvl w:ilvl="4">
      <w:start w:val="1"/>
      <w:numFmt w:val="decimal"/>
      <w:lvlText w:val="%1.%2.%3.%4.%5."/>
      <w:lvlJc w:val="left"/>
      <w:pPr>
        <w:tabs>
          <w:tab w:val="num" w:pos="0"/>
        </w:tabs>
        <w:ind w:left="1440" w:hanging="1080"/>
      </w:pPr>
      <w:rPr>
        <w:rFonts w:cs="Times New Roman"/>
      </w:rPr>
    </w:lvl>
    <w:lvl w:ilvl="5">
      <w:start w:val="1"/>
      <w:numFmt w:val="decimal"/>
      <w:lvlText w:val="%1.%2.%3.%4.%5.%6."/>
      <w:lvlJc w:val="left"/>
      <w:pPr>
        <w:tabs>
          <w:tab w:val="num" w:pos="0"/>
        </w:tabs>
        <w:ind w:left="1800" w:hanging="1440"/>
      </w:pPr>
      <w:rPr>
        <w:rFonts w:cs="Times New Roman"/>
      </w:rPr>
    </w:lvl>
    <w:lvl w:ilvl="6">
      <w:start w:val="1"/>
      <w:numFmt w:val="decimal"/>
      <w:lvlText w:val="%1.%2.%3.%4.%5.%6.%7."/>
      <w:lvlJc w:val="left"/>
      <w:pPr>
        <w:tabs>
          <w:tab w:val="num" w:pos="0"/>
        </w:tabs>
        <w:ind w:left="2160" w:hanging="1800"/>
      </w:pPr>
      <w:rPr>
        <w:rFonts w:cs="Times New Roman"/>
      </w:rPr>
    </w:lvl>
    <w:lvl w:ilvl="7">
      <w:start w:val="1"/>
      <w:numFmt w:val="decimal"/>
      <w:lvlText w:val="%1.%2.%3.%4.%5.%6.%7.%8."/>
      <w:lvlJc w:val="left"/>
      <w:pPr>
        <w:tabs>
          <w:tab w:val="num" w:pos="0"/>
        </w:tabs>
        <w:ind w:left="2160" w:hanging="1800"/>
      </w:pPr>
      <w:rPr>
        <w:rFonts w:cs="Times New Roman"/>
      </w:rPr>
    </w:lvl>
    <w:lvl w:ilvl="8">
      <w:start w:val="1"/>
      <w:numFmt w:val="decimal"/>
      <w:lvlText w:val="%1.%2.%3.%4.%5.%6.%7.%8.%9."/>
      <w:lvlJc w:val="left"/>
      <w:pPr>
        <w:tabs>
          <w:tab w:val="num" w:pos="0"/>
        </w:tabs>
        <w:ind w:left="2520" w:hanging="2160"/>
      </w:pPr>
      <w:rPr>
        <w:rFonts w:cs="Times New Roman"/>
      </w:rPr>
    </w:lvl>
  </w:abstractNum>
  <w:abstractNum w:abstractNumId="15">
    <w:lvl w:ilvl="0">
      <w:start w:val="9"/>
      <w:numFmt w:val="decimal"/>
      <w:lvlText w:val="%1."/>
      <w:lvlJc w:val="left"/>
      <w:pPr>
        <w:tabs>
          <w:tab w:val="num" w:pos="0"/>
        </w:tabs>
        <w:ind w:left="450" w:hanging="450"/>
      </w:pPr>
      <w:rPr>
        <w:rFonts w:cs="Times New Roman"/>
      </w:rPr>
    </w:lvl>
    <w:lvl w:ilvl="1">
      <w:start w:val="1"/>
      <w:numFmt w:val="decimal"/>
      <w:lvlText w:val="%1.%2."/>
      <w:lvlJc w:val="left"/>
      <w:pPr>
        <w:tabs>
          <w:tab w:val="num" w:pos="0"/>
        </w:tabs>
        <w:ind w:left="2136" w:hanging="720"/>
      </w:pPr>
      <w:rPr>
        <w:rFonts w:cs="Times New Roman"/>
      </w:rPr>
    </w:lvl>
    <w:lvl w:ilvl="2">
      <w:start w:val="1"/>
      <w:numFmt w:val="decimal"/>
      <w:lvlText w:val="%1.%2.%3."/>
      <w:lvlJc w:val="left"/>
      <w:pPr>
        <w:tabs>
          <w:tab w:val="num" w:pos="0"/>
        </w:tabs>
        <w:ind w:left="3552" w:hanging="720"/>
      </w:pPr>
      <w:rPr>
        <w:rFonts w:cs="Times New Roman"/>
      </w:rPr>
    </w:lvl>
    <w:lvl w:ilvl="3">
      <w:start w:val="1"/>
      <w:numFmt w:val="decimal"/>
      <w:lvlText w:val="%1.%2.%3.%4."/>
      <w:lvlJc w:val="left"/>
      <w:pPr>
        <w:tabs>
          <w:tab w:val="num" w:pos="0"/>
        </w:tabs>
        <w:ind w:left="5328" w:hanging="1080"/>
      </w:pPr>
      <w:rPr>
        <w:rFonts w:cs="Times New Roman"/>
      </w:rPr>
    </w:lvl>
    <w:lvl w:ilvl="4">
      <w:start w:val="1"/>
      <w:numFmt w:val="decimal"/>
      <w:lvlText w:val="%1.%2.%3.%4.%5."/>
      <w:lvlJc w:val="left"/>
      <w:pPr>
        <w:tabs>
          <w:tab w:val="num" w:pos="0"/>
        </w:tabs>
        <w:ind w:left="6744" w:hanging="1080"/>
      </w:pPr>
      <w:rPr>
        <w:rFonts w:cs="Times New Roman"/>
      </w:rPr>
    </w:lvl>
    <w:lvl w:ilvl="5">
      <w:start w:val="1"/>
      <w:numFmt w:val="decimal"/>
      <w:lvlText w:val="%1.%2.%3.%4.%5.%6."/>
      <w:lvlJc w:val="left"/>
      <w:pPr>
        <w:tabs>
          <w:tab w:val="num" w:pos="0"/>
        </w:tabs>
        <w:ind w:left="8520" w:hanging="1440"/>
      </w:pPr>
      <w:rPr>
        <w:rFonts w:cs="Times New Roman"/>
      </w:rPr>
    </w:lvl>
    <w:lvl w:ilvl="6">
      <w:start w:val="1"/>
      <w:numFmt w:val="decimal"/>
      <w:lvlText w:val="%1.%2.%3.%4.%5.%6.%7."/>
      <w:lvlJc w:val="left"/>
      <w:pPr>
        <w:tabs>
          <w:tab w:val="num" w:pos="0"/>
        </w:tabs>
        <w:ind w:left="10296" w:hanging="1800"/>
      </w:pPr>
      <w:rPr>
        <w:rFonts w:cs="Times New Roman"/>
      </w:rPr>
    </w:lvl>
    <w:lvl w:ilvl="7">
      <w:start w:val="1"/>
      <w:numFmt w:val="decimal"/>
      <w:lvlText w:val="%1.%2.%3.%4.%5.%6.%7.%8."/>
      <w:lvlJc w:val="left"/>
      <w:pPr>
        <w:tabs>
          <w:tab w:val="num" w:pos="0"/>
        </w:tabs>
        <w:ind w:left="11712" w:hanging="1800"/>
      </w:pPr>
      <w:rPr>
        <w:rFonts w:cs="Times New Roman"/>
      </w:rPr>
    </w:lvl>
    <w:lvl w:ilvl="8">
      <w:start w:val="1"/>
      <w:numFmt w:val="decimal"/>
      <w:lvlText w:val="%1.%2.%3.%4.%5.%6.%7.%8.%9."/>
      <w:lvlJc w:val="left"/>
      <w:pPr>
        <w:tabs>
          <w:tab w:val="num" w:pos="0"/>
        </w:tabs>
        <w:ind w:left="13488" w:hanging="2160"/>
      </w:pPr>
      <w:rPr>
        <w:rFonts w:cs="Times New Roman"/>
      </w:rPr>
    </w:lvl>
  </w:abstractNum>
  <w:abstractNum w:abstractNumId="16">
    <w:lvl w:ilvl="0">
      <w:start w:val="6"/>
      <w:numFmt w:val="decimal"/>
      <w:lvlText w:val="%1."/>
      <w:lvlJc w:val="left"/>
      <w:pPr>
        <w:tabs>
          <w:tab w:val="num" w:pos="0"/>
        </w:tabs>
        <w:ind w:left="360" w:hanging="360"/>
      </w:pPr>
      <w:rPr/>
    </w:lvl>
    <w:lvl w:ilvl="1">
      <w:start w:val="5"/>
      <w:numFmt w:val="decimal"/>
      <w:lvlText w:val="%1.%2."/>
      <w:lvlJc w:val="left"/>
      <w:pPr>
        <w:tabs>
          <w:tab w:val="num" w:pos="0"/>
        </w:tabs>
        <w:ind w:left="1069" w:hanging="360"/>
      </w:pPr>
      <w:rPr/>
    </w:lvl>
    <w:lvl w:ilvl="2">
      <w:start w:val="1"/>
      <w:numFmt w:val="decimal"/>
      <w:lvlText w:val="%1.%2.%3."/>
      <w:lvlJc w:val="left"/>
      <w:pPr>
        <w:tabs>
          <w:tab w:val="num" w:pos="0"/>
        </w:tabs>
        <w:ind w:left="2138" w:hanging="720"/>
      </w:pPr>
      <w:rPr/>
    </w:lvl>
    <w:lvl w:ilvl="3">
      <w:start w:val="1"/>
      <w:numFmt w:val="decimal"/>
      <w:lvlText w:val="%1.%2.%3.%4."/>
      <w:lvlJc w:val="left"/>
      <w:pPr>
        <w:tabs>
          <w:tab w:val="num" w:pos="0"/>
        </w:tabs>
        <w:ind w:left="2847" w:hanging="720"/>
      </w:pPr>
      <w:rPr/>
    </w:lvl>
    <w:lvl w:ilvl="4">
      <w:start w:val="1"/>
      <w:numFmt w:val="decimal"/>
      <w:lvlText w:val="%1.%2.%3.%4.%5."/>
      <w:lvlJc w:val="left"/>
      <w:pPr>
        <w:tabs>
          <w:tab w:val="num" w:pos="0"/>
        </w:tabs>
        <w:ind w:left="3916" w:hanging="1080"/>
      </w:pPr>
      <w:rPr/>
    </w:lvl>
    <w:lvl w:ilvl="5">
      <w:start w:val="1"/>
      <w:numFmt w:val="decimal"/>
      <w:lvlText w:val="%1.%2.%3.%4.%5.%6."/>
      <w:lvlJc w:val="left"/>
      <w:pPr>
        <w:tabs>
          <w:tab w:val="num" w:pos="0"/>
        </w:tabs>
        <w:ind w:left="4625" w:hanging="1080"/>
      </w:pPr>
      <w:rPr/>
    </w:lvl>
    <w:lvl w:ilvl="6">
      <w:start w:val="1"/>
      <w:numFmt w:val="decimal"/>
      <w:lvlText w:val="%1.%2.%3.%4.%5.%6.%7."/>
      <w:lvlJc w:val="left"/>
      <w:pPr>
        <w:tabs>
          <w:tab w:val="num" w:pos="0"/>
        </w:tabs>
        <w:ind w:left="5694" w:hanging="1440"/>
      </w:pPr>
      <w:rPr/>
    </w:lvl>
    <w:lvl w:ilvl="7">
      <w:start w:val="1"/>
      <w:numFmt w:val="decimal"/>
      <w:lvlText w:val="%1.%2.%3.%4.%5.%6.%7.%8."/>
      <w:lvlJc w:val="left"/>
      <w:pPr>
        <w:tabs>
          <w:tab w:val="num" w:pos="0"/>
        </w:tabs>
        <w:ind w:left="6403" w:hanging="1440"/>
      </w:pPr>
      <w:rPr/>
    </w:lvl>
    <w:lvl w:ilvl="8">
      <w:start w:val="1"/>
      <w:numFmt w:val="decimal"/>
      <w:lvlText w:val="%1.%2.%3.%4.%5.%6.%7.%8.%9."/>
      <w:lvlJc w:val="left"/>
      <w:pPr>
        <w:tabs>
          <w:tab w:val="num" w:pos="0"/>
        </w:tabs>
        <w:ind w:left="7472" w:hanging="180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w="http://schemas.openxmlformats.org/wordprocessingml/2006/main">
  <w:zoom w:percent="120"/>
  <w:defaultTabStop w:val="709"/>
  <w:autoHyphenation w:val="true"/>
  <w:footnotePr>
    <w:numFmt w:val="decimal"/>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umentProtection w:edit="trackedChanges" w:cryptProviderType="rsaAES" w:cryptAlgorithmClass="hash" w:cryptAlgorithmType="typeAny" w:cryptAlgorithmSid="" w:cryptSpinCount="0" w:hash="" w:sal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uiPriority="99"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99"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uiPriority="99"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99"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485ecf"/>
    <w:pPr>
      <w:widowControl w:val="false"/>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ing1">
    <w:name w:val="Heading 1"/>
    <w:basedOn w:val="Normal"/>
    <w:next w:val="Normal"/>
    <w:qFormat/>
    <w:rsid w:val="00a264b0"/>
    <w:pPr>
      <w:keepNext w:val="true"/>
      <w:spacing w:before="240" w:after="60"/>
      <w:outlineLvl w:val="0"/>
    </w:pPr>
    <w:rPr>
      <w:rFonts w:ascii="Arial" w:hAnsi="Arial" w:cs="Arial"/>
      <w:b/>
      <w:bCs/>
      <w:kern w:val="2"/>
      <w:sz w:val="32"/>
      <w:szCs w:val="32"/>
    </w:rPr>
  </w:style>
  <w:style w:type="paragraph" w:styleId="Heading3">
    <w:name w:val="Heading 3"/>
    <w:basedOn w:val="Normal"/>
    <w:next w:val="Normal"/>
    <w:link w:val="31"/>
    <w:qFormat/>
    <w:rsid w:val="001b1bd9"/>
    <w:pPr>
      <w:keepNext w:val="true"/>
      <w:keepLines/>
      <w:spacing w:before="200" w:after="0"/>
      <w:outlineLvl w:val="2"/>
    </w:pPr>
    <w:rPr>
      <w:rFonts w:ascii="Cambria" w:hAnsi="Cambria"/>
      <w:b/>
      <w:bCs/>
      <w:color w:val="4F81BD"/>
      <w:lang w:val="x-none" w:eastAsia="x-none"/>
    </w:rPr>
  </w:style>
  <w:style w:type="character" w:styleId="DefaultParagraphFont" w:default="1">
    <w:name w:val="Default Paragraph Font"/>
    <w:uiPriority w:val="1"/>
    <w:semiHidden/>
    <w:unhideWhenUsed/>
    <w:qFormat/>
    <w:rPr/>
  </w:style>
  <w:style w:type="character" w:styleId="Style7" w:customStyle="1">
    <w:name w:val="Заголовок Знак"/>
    <w:qFormat/>
    <w:locked/>
    <w:rsid w:val="00565582"/>
    <w:rPr>
      <w:b/>
      <w:bCs/>
      <w:sz w:val="24"/>
      <w:szCs w:val="24"/>
      <w:lang w:val="ru-RU" w:eastAsia="ru-RU" w:bidi="ar-SA"/>
    </w:rPr>
  </w:style>
  <w:style w:type="character" w:styleId="Style8" w:customStyle="1">
    <w:name w:val="Основной текст Знак"/>
    <w:qFormat/>
    <w:rsid w:val="00565582"/>
    <w:rPr>
      <w:lang w:val="ru-RU" w:eastAsia="ru-RU" w:bidi="ar-SA"/>
    </w:rPr>
  </w:style>
  <w:style w:type="character" w:styleId="Pagenumber">
    <w:name w:val="page number"/>
    <w:basedOn w:val="DefaultParagraphFont"/>
    <w:qFormat/>
    <w:rsid w:val="008b02a1"/>
    <w:rPr/>
  </w:style>
  <w:style w:type="character" w:styleId="3" w:customStyle="1">
    <w:name w:val="Основной текст 3 Знак"/>
    <w:link w:val="BodyText3"/>
    <w:qFormat/>
    <w:rsid w:val="005a0965"/>
    <w:rPr>
      <w:sz w:val="16"/>
      <w:szCs w:val="16"/>
    </w:rPr>
  </w:style>
  <w:style w:type="character" w:styleId="Annotationreference">
    <w:name w:val="annotation reference"/>
    <w:qFormat/>
    <w:rsid w:val="00d36934"/>
    <w:rPr>
      <w:sz w:val="16"/>
      <w:szCs w:val="16"/>
    </w:rPr>
  </w:style>
  <w:style w:type="character" w:styleId="Style9" w:customStyle="1">
    <w:name w:val="Текст примечания Знак"/>
    <w:basedOn w:val="DefaultParagraphFont"/>
    <w:link w:val="Annotationtext"/>
    <w:qFormat/>
    <w:rsid w:val="00d36934"/>
    <w:rPr/>
  </w:style>
  <w:style w:type="character" w:styleId="Style10" w:customStyle="1">
    <w:name w:val="Тема примечания Знак"/>
    <w:link w:val="Annotationsubject"/>
    <w:uiPriority w:val="99"/>
    <w:qFormat/>
    <w:rsid w:val="00d36934"/>
    <w:rPr>
      <w:b/>
      <w:bCs/>
    </w:rPr>
  </w:style>
  <w:style w:type="character" w:styleId="31" w:customStyle="1">
    <w:name w:val="Заголовок 3 Знак"/>
    <w:semiHidden/>
    <w:qFormat/>
    <w:rsid w:val="001b1bd9"/>
    <w:rPr>
      <w:rFonts w:ascii="Cambria" w:hAnsi="Cambria" w:eastAsia="Times New Roman" w:cs="Times New Roman"/>
      <w:b/>
      <w:bCs/>
      <w:color w:val="4F81BD"/>
    </w:rPr>
  </w:style>
  <w:style w:type="character" w:styleId="Style11" w:customStyle="1">
    <w:name w:val="Основной текст с отступом Знак"/>
    <w:basedOn w:val="DefaultParagraphFont"/>
    <w:qFormat/>
    <w:rsid w:val="00e00bca"/>
    <w:rPr/>
  </w:style>
  <w:style w:type="character" w:styleId="Style12" w:customStyle="1">
    <w:name w:val="комментарий"/>
    <w:uiPriority w:val="99"/>
    <w:qFormat/>
    <w:rsid w:val="00d562c0"/>
    <w:rPr>
      <w:rFonts w:cs="Times New Roman"/>
      <w:b/>
      <w:bCs/>
      <w:i/>
      <w:iCs/>
      <w:shd w:fill="FFFF99" w:val="clear"/>
    </w:rPr>
  </w:style>
  <w:style w:type="character" w:styleId="Style13" w:customStyle="1">
    <w:name w:val="Текст сноски Знак"/>
    <w:basedOn w:val="DefaultParagraphFont"/>
    <w:uiPriority w:val="99"/>
    <w:qFormat/>
    <w:rsid w:val="00f47c6a"/>
    <w:rPr/>
  </w:style>
  <w:style w:type="character" w:styleId="Style14">
    <w:name w:val="Символ сноски"/>
    <w:uiPriority w:val="99"/>
    <w:qFormat/>
    <w:rsid w:val="00f47c6a"/>
    <w:rPr>
      <w:vertAlign w:val="superscript"/>
    </w:rPr>
  </w:style>
  <w:style w:type="character" w:styleId="FootnoteReference">
    <w:name w:val="Footnote Reference"/>
    <w:rPr>
      <w:vertAlign w:val="superscript"/>
    </w:rPr>
  </w:style>
  <w:style w:type="character" w:styleId="Style15" w:customStyle="1">
    <w:name w:val="Верхний колонтитул Знак"/>
    <w:basedOn w:val="DefaultParagraphFont"/>
    <w:uiPriority w:val="99"/>
    <w:qFormat/>
    <w:rsid w:val="000449a5"/>
    <w:rPr/>
  </w:style>
  <w:style w:type="character" w:styleId="Hyperlink">
    <w:name w:val="Hyperlink"/>
    <w:rsid w:val="005e6f32"/>
    <w:rPr>
      <w:color w:val="0000FF"/>
      <w:u w:val="single"/>
    </w:rPr>
  </w:style>
  <w:style w:type="character" w:styleId="Style16" w:customStyle="1">
    <w:name w:val="Нижний колонтитул Знак"/>
    <w:uiPriority w:val="99"/>
    <w:qFormat/>
    <w:rsid w:val="00d925fb"/>
    <w:rPr/>
  </w:style>
  <w:style w:type="character" w:styleId="Style17" w:customStyle="1">
    <w:name w:val="Абзац списка Знак"/>
    <w:link w:val="ListParagraph"/>
    <w:uiPriority w:val="34"/>
    <w:qFormat/>
    <w:locked/>
    <w:rsid w:val="00182860"/>
    <w:rPr/>
  </w:style>
  <w:style w:type="character" w:styleId="EndnoteReference">
    <w:name w:val="Endnote Reference"/>
    <w:rPr>
      <w:vertAlign w:val="superscript"/>
    </w:rPr>
  </w:style>
  <w:style w:type="character" w:styleId="Style18">
    <w:name w:val="Символ концевой сноски"/>
    <w:qFormat/>
    <w:rPr/>
  </w:style>
  <w:style w:type="paragraph" w:styleId="Style19">
    <w:name w:val="Заголовок"/>
    <w:basedOn w:val="Normal"/>
    <w:next w:val="BodyText"/>
    <w:qFormat/>
    <w:pPr>
      <w:keepNext w:val="true"/>
      <w:spacing w:before="240" w:after="120"/>
    </w:pPr>
    <w:rPr>
      <w:rFonts w:ascii="Liberation Sans" w:hAnsi="Liberation Sans" w:eastAsia="Arial Unicode MS" w:cs="Arial Unicode MS"/>
      <w:sz w:val="28"/>
      <w:szCs w:val="28"/>
    </w:rPr>
  </w:style>
  <w:style w:type="paragraph" w:styleId="BodyText">
    <w:name w:val="Body Text"/>
    <w:basedOn w:val="Normal"/>
    <w:link w:val="Style8"/>
    <w:rsid w:val="00084bde"/>
    <w:pPr>
      <w:spacing w:before="0" w:after="120"/>
    </w:pPr>
    <w:rPr/>
  </w:style>
  <w:style w:type="paragraph" w:styleId="List">
    <w:name w:val="List"/>
    <w:basedOn w:val="BodyText"/>
    <w:pPr/>
    <w:rPr/>
  </w:style>
  <w:style w:type="paragraph" w:styleId="Caption">
    <w:name w:val="Caption"/>
    <w:basedOn w:val="Normal"/>
    <w:qFormat/>
    <w:pPr>
      <w:suppressLineNumbers/>
      <w:spacing w:before="120" w:after="120"/>
    </w:pPr>
    <w:rPr>
      <w:i/>
      <w:iCs/>
      <w:sz w:val="24"/>
      <w:szCs w:val="24"/>
    </w:rPr>
  </w:style>
  <w:style w:type="paragraph" w:styleId="Style20">
    <w:name w:val="Указатель"/>
    <w:basedOn w:val="Normal"/>
    <w:qFormat/>
    <w:pPr>
      <w:suppressLineNumbers/>
    </w:pPr>
    <w:rPr/>
  </w:style>
  <w:style w:type="paragraph" w:styleId="Title">
    <w:name w:val="Title"/>
    <w:basedOn w:val="Normal"/>
    <w:link w:val="Style7"/>
    <w:qFormat/>
    <w:rsid w:val="00a264b0"/>
    <w:pPr>
      <w:jc w:val="center"/>
    </w:pPr>
    <w:rPr>
      <w:b/>
      <w:bCs/>
      <w:sz w:val="24"/>
      <w:szCs w:val="24"/>
    </w:rPr>
  </w:style>
  <w:style w:type="paragraph" w:styleId="Style21" w:customStyle="1">
    <w:name w:val="Таблицы (моноширинный)"/>
    <w:basedOn w:val="Normal"/>
    <w:next w:val="Normal"/>
    <w:qFormat/>
    <w:rsid w:val="00a264b0"/>
    <w:pPr>
      <w:jc w:val="both"/>
    </w:pPr>
    <w:rPr>
      <w:rFonts w:ascii="Courier New" w:hAnsi="Courier New" w:cs="Courier New"/>
    </w:rPr>
  </w:style>
  <w:style w:type="paragraph" w:styleId="BodyTextIndent2">
    <w:name w:val="Body Text Indent 2"/>
    <w:basedOn w:val="Normal"/>
    <w:qFormat/>
    <w:rsid w:val="00a264b0"/>
    <w:pPr>
      <w:ind w:left="1843" w:hanging="0"/>
      <w:jc w:val="both"/>
    </w:pPr>
    <w:rPr>
      <w:sz w:val="24"/>
    </w:rPr>
  </w:style>
  <w:style w:type="paragraph" w:styleId="BalloonText">
    <w:name w:val="Balloon Text"/>
    <w:basedOn w:val="Normal"/>
    <w:semiHidden/>
    <w:qFormat/>
    <w:rsid w:val="00080acb"/>
    <w:pPr/>
    <w:rPr>
      <w:rFonts w:ascii="Tahoma" w:hAnsi="Tahoma" w:cs="Tahoma"/>
      <w:sz w:val="16"/>
      <w:szCs w:val="16"/>
    </w:rPr>
  </w:style>
  <w:style w:type="paragraph" w:styleId="BodyText2">
    <w:name w:val="Body Text 2"/>
    <w:basedOn w:val="Normal"/>
    <w:qFormat/>
    <w:rsid w:val="006257f9"/>
    <w:pPr>
      <w:widowControl/>
      <w:spacing w:lineRule="auto" w:line="480" w:before="0" w:after="120"/>
    </w:pPr>
    <w:rPr>
      <w:sz w:val="24"/>
      <w:szCs w:val="24"/>
    </w:rPr>
  </w:style>
  <w:style w:type="paragraph" w:styleId="Style22">
    <w:name w:val="Колонтитул"/>
    <w:basedOn w:val="Normal"/>
    <w:qFormat/>
    <w:pPr/>
    <w:rPr/>
  </w:style>
  <w:style w:type="paragraph" w:styleId="Footer">
    <w:name w:val="Footer"/>
    <w:basedOn w:val="Normal"/>
    <w:link w:val="Style16"/>
    <w:uiPriority w:val="99"/>
    <w:rsid w:val="008b02a1"/>
    <w:pPr>
      <w:tabs>
        <w:tab w:val="clear" w:pos="709"/>
        <w:tab w:val="center" w:pos="4677" w:leader="none"/>
        <w:tab w:val="right" w:pos="9355" w:leader="none"/>
      </w:tabs>
    </w:pPr>
    <w:rPr/>
  </w:style>
  <w:style w:type="paragraph" w:styleId="BodyText3">
    <w:name w:val="Body Text 3"/>
    <w:basedOn w:val="Normal"/>
    <w:link w:val="3"/>
    <w:qFormat/>
    <w:rsid w:val="005a0965"/>
    <w:pPr>
      <w:spacing w:before="0" w:after="120"/>
    </w:pPr>
    <w:rPr>
      <w:sz w:val="16"/>
      <w:szCs w:val="16"/>
      <w:lang w:val="x-none" w:eastAsia="x-none"/>
    </w:rPr>
  </w:style>
  <w:style w:type="paragraph" w:styleId="Annotationtext">
    <w:name w:val="annotation text"/>
    <w:basedOn w:val="Normal"/>
    <w:link w:val="Style9"/>
    <w:qFormat/>
    <w:rsid w:val="00d36934"/>
    <w:pPr/>
    <w:rPr/>
  </w:style>
  <w:style w:type="paragraph" w:styleId="Annotationsubject">
    <w:name w:val="annotation subject"/>
    <w:basedOn w:val="Annotationtext"/>
    <w:next w:val="Annotationtext"/>
    <w:link w:val="Style10"/>
    <w:uiPriority w:val="99"/>
    <w:qFormat/>
    <w:rsid w:val="00d36934"/>
    <w:pPr/>
    <w:rPr>
      <w:b/>
      <w:bCs/>
      <w:lang w:val="x-none" w:eastAsia="x-none"/>
    </w:rPr>
  </w:style>
  <w:style w:type="paragraph" w:styleId="ListParagraph">
    <w:name w:val="List Paragraph"/>
    <w:basedOn w:val="Normal"/>
    <w:link w:val="Style17"/>
    <w:uiPriority w:val="34"/>
    <w:qFormat/>
    <w:rsid w:val="00ec6e7d"/>
    <w:pPr>
      <w:spacing w:before="0" w:after="0"/>
      <w:ind w:left="720" w:hanging="0"/>
      <w:contextualSpacing/>
    </w:pPr>
    <w:rPr/>
  </w:style>
  <w:style w:type="paragraph" w:styleId="Style23" w:customStyle="1">
    <w:name w:val="Знак Знак Знак Знак Знак Знак Знак Знак Знак"/>
    <w:basedOn w:val="Normal"/>
    <w:uiPriority w:val="99"/>
    <w:qFormat/>
    <w:rsid w:val="00d31bfd"/>
    <w:pPr>
      <w:widowControl/>
      <w:spacing w:lineRule="exact" w:line="240" w:before="0" w:after="160"/>
      <w:jc w:val="both"/>
    </w:pPr>
    <w:rPr>
      <w:rFonts w:ascii="Verdana" w:hAnsi="Verdana"/>
      <w:sz w:val="22"/>
      <w:lang w:val="en-US" w:eastAsia="en-US"/>
    </w:rPr>
  </w:style>
  <w:style w:type="paragraph" w:styleId="Style24" w:customStyle="1">
    <w:name w:val="Подпункт договора"/>
    <w:basedOn w:val="Normal"/>
    <w:qFormat/>
    <w:rsid w:val="00d31bfd"/>
    <w:pPr>
      <w:widowControl/>
      <w:tabs>
        <w:tab w:val="clear" w:pos="709"/>
        <w:tab w:val="left" w:pos="360" w:leader="none"/>
      </w:tabs>
      <w:jc w:val="both"/>
    </w:pPr>
    <w:rPr>
      <w:rFonts w:ascii="Arial" w:hAnsi="Arial"/>
    </w:rPr>
  </w:style>
  <w:style w:type="paragraph" w:styleId="ConsNormal" w:customStyle="1">
    <w:name w:val="ConsNormal"/>
    <w:qFormat/>
    <w:rsid w:val="00b53021"/>
    <w:pPr>
      <w:widowControl/>
      <w:bidi w:val="0"/>
      <w:spacing w:before="0" w:after="0"/>
      <w:ind w:right="19772" w:firstLine="720"/>
      <w:jc w:val="left"/>
    </w:pPr>
    <w:rPr>
      <w:rFonts w:ascii="Arial" w:hAnsi="Arial" w:eastAsia="Times New Roman" w:cs="Times New Roman"/>
      <w:color w:val="auto"/>
      <w:kern w:val="0"/>
      <w:sz w:val="32"/>
      <w:szCs w:val="20"/>
      <w:lang w:eastAsia="en-US" w:val="ru-RU" w:bidi="ar-SA"/>
    </w:rPr>
  </w:style>
  <w:style w:type="paragraph" w:styleId="BodyTextIndent">
    <w:name w:val="Body Text Indent"/>
    <w:basedOn w:val="Normal"/>
    <w:link w:val="Style11"/>
    <w:rsid w:val="00e00bca"/>
    <w:pPr>
      <w:spacing w:before="0" w:after="120"/>
      <w:ind w:left="283" w:hanging="0"/>
    </w:pPr>
    <w:rPr/>
  </w:style>
  <w:style w:type="paragraph" w:styleId="Style25" w:customStyle="1">
    <w:name w:val="Знак"/>
    <w:basedOn w:val="Normal"/>
    <w:qFormat/>
    <w:rsid w:val="00d562c0"/>
    <w:pPr>
      <w:widowControl/>
      <w:spacing w:lineRule="exact" w:line="240" w:before="0" w:after="160"/>
    </w:pPr>
    <w:rPr>
      <w:rFonts w:ascii="Verdana" w:hAnsi="Verdana" w:cs="Verdana"/>
      <w:lang w:val="en-US" w:eastAsia="en-US"/>
    </w:rPr>
  </w:style>
  <w:style w:type="paragraph" w:styleId="FootnoteText">
    <w:name w:val="Footnote Text"/>
    <w:basedOn w:val="Normal"/>
    <w:link w:val="Style13"/>
    <w:uiPriority w:val="99"/>
    <w:rsid w:val="00f47c6a"/>
    <w:pPr/>
    <w:rPr/>
  </w:style>
  <w:style w:type="paragraph" w:styleId="ListBullet3">
    <w:name w:val="List Bullet 3"/>
    <w:basedOn w:val="Normal"/>
    <w:uiPriority w:val="99"/>
    <w:unhideWhenUsed/>
    <w:qFormat/>
    <w:rsid w:val="00fa3bf9"/>
    <w:pPr>
      <w:widowControl/>
      <w:tabs>
        <w:tab w:val="clear" w:pos="709"/>
        <w:tab w:val="left" w:pos="1418" w:leader="none"/>
      </w:tabs>
      <w:spacing w:lineRule="auto" w:line="360" w:before="120" w:after="0"/>
      <w:ind w:firstLine="720"/>
      <w:jc w:val="both"/>
    </w:pPr>
    <w:rPr>
      <w:rFonts w:eastAsia="Calibri"/>
      <w:i/>
      <w:iCs/>
      <w:sz w:val="24"/>
      <w:szCs w:val="24"/>
    </w:rPr>
  </w:style>
  <w:style w:type="paragraph" w:styleId="-" w:customStyle="1">
    <w:name w:val="Контракт-пункт"/>
    <w:basedOn w:val="Normal"/>
    <w:qFormat/>
    <w:rsid w:val="00fa3bf9"/>
    <w:pPr>
      <w:widowControl/>
      <w:tabs>
        <w:tab w:val="clear" w:pos="709"/>
        <w:tab w:val="left" w:pos="851" w:leader="none"/>
      </w:tabs>
      <w:spacing w:lineRule="auto" w:line="360"/>
      <w:ind w:left="851" w:hanging="851"/>
      <w:jc w:val="both"/>
    </w:pPr>
    <w:rPr>
      <w:rFonts w:eastAsia="Calibri"/>
      <w:sz w:val="28"/>
      <w:szCs w:val="28"/>
    </w:rPr>
  </w:style>
  <w:style w:type="paragraph" w:styleId="DocumentMap">
    <w:name w:val="Document Map"/>
    <w:basedOn w:val="Normal"/>
    <w:semiHidden/>
    <w:qFormat/>
    <w:rsid w:val="00936d2a"/>
    <w:pPr>
      <w:shd w:val="clear" w:color="auto" w:fill="000080"/>
    </w:pPr>
    <w:rPr>
      <w:rFonts w:ascii="Tahoma" w:hAnsi="Tahoma" w:cs="Tahoma"/>
    </w:rPr>
  </w:style>
  <w:style w:type="paragraph" w:styleId="Revision">
    <w:name w:val="Revision"/>
    <w:uiPriority w:val="99"/>
    <w:semiHidden/>
    <w:qFormat/>
    <w:rsid w:val="00f2582e"/>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Header">
    <w:name w:val="Header"/>
    <w:basedOn w:val="Normal"/>
    <w:link w:val="Style15"/>
    <w:uiPriority w:val="99"/>
    <w:rsid w:val="000449a5"/>
    <w:pPr>
      <w:tabs>
        <w:tab w:val="clear" w:pos="709"/>
        <w:tab w:val="center" w:pos="4677" w:leader="none"/>
        <w:tab w:val="right" w:pos="9355" w:leader="none"/>
      </w:tabs>
    </w:pPr>
    <w:rPr/>
  </w:style>
  <w:style w:type="paragraph" w:styleId="Style26" w:customStyle="1">
    <w:name w:val="Пункт договора"/>
    <w:basedOn w:val="Normal"/>
    <w:qFormat/>
    <w:rsid w:val="00e65842"/>
    <w:pPr>
      <w:jc w:val="both"/>
    </w:pPr>
    <w:rPr>
      <w:rFonts w:ascii="Arial" w:hAnsi="Arial"/>
    </w:rPr>
  </w:style>
  <w:style w:type="paragraph" w:styleId="1" w:customStyle="1">
    <w:name w:val="Знак Знак Знак Знак Знак Знак Знак Знак Знак1"/>
    <w:basedOn w:val="Normal"/>
    <w:qFormat/>
    <w:rsid w:val="007d41d8"/>
    <w:pPr>
      <w:widowControl/>
      <w:spacing w:lineRule="exact" w:line="240" w:before="0" w:after="160"/>
      <w:jc w:val="both"/>
    </w:pPr>
    <w:rPr>
      <w:rFonts w:ascii="Verdana" w:hAnsi="Verdana"/>
      <w:sz w:val="22"/>
      <w:lang w:val="en-US" w:eastAsia="en-US"/>
    </w:rPr>
  </w:style>
  <w:style w:type="paragraph" w:styleId="11" w:customStyle="1">
    <w:name w:val="Обычный1"/>
    <w:qFormat/>
    <w:rsid w:val="0073039c"/>
    <w:pPr>
      <w:widowControl/>
      <w:bidi w:val="0"/>
      <w:spacing w:before="0" w:after="0"/>
      <w:jc w:val="left"/>
    </w:pPr>
    <w:rPr>
      <w:rFonts w:ascii="Times New Roman" w:hAnsi="Times New Roman" w:eastAsia="Times New Roman" w:cs="Times New Roman"/>
      <w:color w:val="auto"/>
      <w:kern w:val="0"/>
      <w:sz w:val="20"/>
      <w:szCs w:val="20"/>
      <w:lang w:val="ru-RU" w:eastAsia="ru-RU" w:bidi="ar-SA"/>
    </w:rPr>
  </w:style>
  <w:style w:type="paragraph" w:styleId="ConsPlusNormal" w:customStyle="1">
    <w:name w:val="ConsPlusNormal"/>
    <w:qFormat/>
    <w:rsid w:val="00a510bb"/>
    <w:pPr>
      <w:widowControl w:val="false"/>
      <w:bidi w:val="0"/>
      <w:spacing w:before="0" w:after="0"/>
      <w:jc w:val="left"/>
    </w:pPr>
    <w:rPr>
      <w:rFonts w:ascii="Calibri" w:hAnsi="Calibri" w:cs="Calibri" w:eastAsia="Times New Roman"/>
      <w:color w:val="auto"/>
      <w:kern w:val="0"/>
      <w:sz w:val="22"/>
      <w:szCs w:val="20"/>
      <w:lang w:val="ru-RU" w:eastAsia="ru-RU" w:bidi="ar-SA"/>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9">
    <w:name w:val="Table Grid"/>
    <w:basedOn w:val="a1"/>
    <w:rsid w:val="00084bde"/>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consultantplus://offline/ref=94D5CE8889791A29DE57299515463A9D6134D8237B999C803E6F853513x2A2P" TargetMode="External"/><Relationship Id="rId3" Type="http://schemas.openxmlformats.org/officeDocument/2006/relationships/hyperlink" Target="consultantplus://offline/ref=94D5CE8889791A29DE57299515463A9D6135D2287D929C803E6F853513x2A2P" TargetMode="External"/><Relationship Id="rId4" Type="http://schemas.openxmlformats.org/officeDocument/2006/relationships/hyperlink" Target="consultantplus://offline/ref=79440D5123ABA6A25F43346AB59DBAAC7032C8E1556DA64FAED62E167F76889C2B7C475C32EFC59BJ8rDH"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hyperlink" Target="http://www.cbr.ru/" TargetMode="External"/><Relationship Id="rId9" Type="http://schemas.openxmlformats.org/officeDocument/2006/relationships/header" Target="header3.xml"/><Relationship Id="rId10" Type="http://schemas.openxmlformats.org/officeDocument/2006/relationships/header" Target="header4.xml"/><Relationship Id="rId11" Type="http://schemas.openxmlformats.org/officeDocument/2006/relationships/footer" Target="footer2.xml"/><Relationship Id="rId12" Type="http://schemas.openxmlformats.org/officeDocument/2006/relationships/footer" Target="footer3.xml"/><Relationship Id="rId13" Type="http://schemas.openxmlformats.org/officeDocument/2006/relationships/footnotes" Target="footnotes.xml"/><Relationship Id="rId14" Type="http://schemas.openxmlformats.org/officeDocument/2006/relationships/numbering" Target="numbering.xml"/><Relationship Id="rId15" Type="http://schemas.openxmlformats.org/officeDocument/2006/relationships/fontTable" Target="fontTable.xml"/><Relationship Id="rId16" Type="http://schemas.openxmlformats.org/officeDocument/2006/relationships/settings" Target="settings.xml"/><Relationship Id="rId17" Type="http://schemas.openxmlformats.org/officeDocument/2006/relationships/theme" Target="theme/theme1.xml"/><Relationship Id="rId18" Type="http://schemas.openxmlformats.org/officeDocument/2006/relationships/customXml" Target="../customXml/item1.xml"/><Relationship Id="rId19" Type="http://schemas.openxmlformats.org/officeDocument/2006/relationships/customXml" Target="../customXml/item2.xml"/><Relationship Id="rId20" Type="http://schemas.openxmlformats.org/officeDocument/2006/relationships/customXml" Target="../customXml/item3.xml"/><Relationship Id="rId21" Type="http://schemas.openxmlformats.org/officeDocument/2006/relationships/customXml" Target="../customXml/item4.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_rels/item4.xml.rels><?xml version="1.0" encoding="UTF-8"?>
<Relationships xmlns="http://schemas.openxmlformats.org/package/2006/relationships"><Relationship Id="rId1" Type="http://schemas.openxmlformats.org/officeDocument/2006/relationships/customXmlProps" Target="itemProps4.xml"/>
</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2C53DD04-4B6B-4529-B36F-FC5B24606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Application>AlterOffice/3.4.0.9$Linux_X86_64 LibreOffice_project/b8daf9e823b1a5463a2f48435ddc2e8696e7d4fc</Application>
  <AppVersion>15.0000</AppVersion>
  <Pages>26</Pages>
  <Words>9616</Words>
  <Characters>69191</Characters>
  <CharactersWithSpaces>78523</CharactersWithSpaces>
  <Paragraphs>438</Paragraphs>
  <Company>Inter RAO UES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2024-04-03T13:12:00Z</dcterms:created>
  <dc:creator>tsypilev_ag</dc:creator>
  <dc:description/>
  <dc:language>ru-RU</dc:language>
  <cp:lastModifiedBy>shefersv@corp.gidroogk.com</cp:lastModifiedBy>
  <cp:lastPrinted>2018-05-22T09:46:00Z</cp:lastPrinted>
  <dcterms:modified xsi:type="dcterms:W3CDTF">2026-09-28T14:06:03Z</dcterms:modified>
  <cp:revision>54</cp:revision>
  <dc:subject/>
  <dc:title>Договор № _________</dc:title>
</cp:coreProperties>
</file>

<file path=docProps/custom.xml><?xml version="1.0" encoding="utf-8"?>
<Properties xmlns="http://schemas.openxmlformats.org/officeDocument/2006/custom-properties" xmlns:vt="http://schemas.openxmlformats.org/officeDocument/2006/docPropsVTypes"/>
</file>