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_rels/document.xml.rels" ContentType="application/vnd.openxmlformats-package.relationships+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header4.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1.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numbering.xml" ContentType="application/vnd.openxmlformats-officedocument.wordprocessingml.numbering+xml"/>
  <Override PartName="/word/document.xml" ContentType="application/vnd.openxmlformats-officedocument.wordprocessingml.document.main+xml"/>
  <Override PartName="/customXml/_rels/item4.xml.rels" ContentType="application/vnd.openxmlformats-package.relationships+xml"/>
  <Override PartName="/customXml/_rels/item3.xml.rels" ContentType="application/vnd.openxmlformats-package.relationships+xml"/>
  <Override PartName="/customXml/_rels/item2.xml.rels" ContentType="application/vnd.openxmlformats-package.relationship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Override PartName="/customXml/item2.xml" ContentType="application/xml"/>
  <Override PartName="/customXml/itemProps2.xml" ContentType="application/vnd.openxmlformats-officedocument.customXmlProperties+xml"/>
  <Override PartName="/customXml/item3.xml" ContentType="application/xml"/>
  <Override PartName="/customXml/itemProps3.xml" ContentType="application/vnd.openxmlformats-officedocument.customXmlProperties+xml"/>
  <Override PartName="/customXml/item4.xml" ContentType="application/xml"/>
  <Override PartName="/customXml/itemProps4.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hd w:val="clear" w:color="auto" w:fill="FFFFFF"/>
        <w:tabs>
          <w:tab w:val="clear" w:pos="708"/>
          <w:tab w:val="left" w:pos="6926" w:leader="none"/>
        </w:tabs>
        <w:jc w:val="center"/>
        <w:rPr>
          <w:b/>
          <w:bCs/>
          <w:sz w:val="24"/>
          <w:szCs w:val="24"/>
        </w:rPr>
      </w:pPr>
      <w:r>
        <w:rPr>
          <w:b/>
          <w:bCs/>
          <w:sz w:val="24"/>
          <w:szCs w:val="24"/>
        </w:rPr>
        <w:t xml:space="preserve">Договор поставки </w:t>
      </w:r>
    </w:p>
    <w:p>
      <w:pPr>
        <w:pStyle w:val="Normal"/>
        <w:shd w:val="clear" w:color="auto" w:fill="FFFFFF"/>
        <w:tabs>
          <w:tab w:val="clear" w:pos="708"/>
          <w:tab w:val="left" w:pos="6926" w:leader="none"/>
        </w:tabs>
        <w:jc w:val="center"/>
        <w:rPr>
          <w:b/>
          <w:sz w:val="24"/>
          <w:szCs w:val="24"/>
        </w:rPr>
      </w:pPr>
      <w:r>
        <w:rPr>
          <w:b/>
          <w:bCs/>
          <w:sz w:val="24"/>
          <w:szCs w:val="24"/>
        </w:rPr>
        <w:t>№</w:t>
      </w:r>
    </w:p>
    <w:p>
      <w:pPr>
        <w:pStyle w:val="Normal"/>
        <w:shd w:val="clear" w:color="auto" w:fill="FFFFFF"/>
        <w:rPr>
          <w:b/>
          <w:bCs/>
          <w:sz w:val="24"/>
          <w:szCs w:val="24"/>
        </w:rPr>
      </w:pPr>
      <w:r>
        <w:rPr>
          <w:b/>
          <w:bCs/>
          <w:sz w:val="24"/>
          <w:szCs w:val="24"/>
        </w:rPr>
      </w:r>
    </w:p>
    <w:p>
      <w:pPr>
        <w:pStyle w:val="Normal"/>
        <w:shd w:val="clear" w:color="auto" w:fill="FFFFFF"/>
        <w:tabs>
          <w:tab w:val="clear" w:pos="708"/>
          <w:tab w:val="right" w:pos="9639" w:leader="none"/>
        </w:tabs>
        <w:jc w:val="right"/>
        <w:rPr>
          <w:bCs/>
          <w:sz w:val="24"/>
          <w:szCs w:val="24"/>
        </w:rPr>
      </w:pPr>
      <w:r>
        <w:rPr>
          <w:bCs/>
          <w:sz w:val="24"/>
          <w:szCs w:val="24"/>
        </w:rPr>
        <w:t>г. Саяногорск, рп. Черемушки</w:t>
        <w:tab/>
        <w:t xml:space="preserve">   «___» _________ 2026 г.</w:t>
      </w:r>
    </w:p>
    <w:p>
      <w:pPr>
        <w:pStyle w:val="Normal"/>
        <w:shd w:val="clear" w:color="auto" w:fill="FFFFFF"/>
        <w:tabs>
          <w:tab w:val="clear" w:pos="708"/>
          <w:tab w:val="right" w:pos="9639" w:leader="none"/>
        </w:tabs>
        <w:jc w:val="right"/>
        <w:rPr>
          <w:bCs/>
          <w:sz w:val="24"/>
          <w:szCs w:val="24"/>
        </w:rPr>
      </w:pPr>
      <w:r>
        <w:rPr>
          <w:bCs/>
          <w:sz w:val="24"/>
          <w:szCs w:val="24"/>
        </w:rPr>
      </w:r>
    </w:p>
    <w:p>
      <w:pPr>
        <w:pStyle w:val="Normal"/>
        <w:ind w:firstLine="709"/>
        <w:jc w:val="both"/>
        <w:rPr>
          <w:spacing w:val="10"/>
          <w:sz w:val="24"/>
          <w:szCs w:val="24"/>
        </w:rPr>
      </w:pPr>
      <w:r>
        <w:rPr>
          <w:b/>
          <w:sz w:val="24"/>
          <w:szCs w:val="24"/>
        </w:rPr>
        <w:t xml:space="preserve">Публичное акционерное общество «Федеральная гидрогенерирующая компания – РусГидро» </w:t>
      </w:r>
      <w:r>
        <w:rPr>
          <w:sz w:val="24"/>
          <w:szCs w:val="24"/>
        </w:rPr>
        <w:t>(ПАО «РусГидро»)</w:t>
      </w:r>
      <w:r>
        <w:rPr>
          <w:spacing w:val="2"/>
          <w:sz w:val="24"/>
          <w:szCs w:val="24"/>
        </w:rPr>
        <w:t xml:space="preserve">, (далее – </w:t>
      </w:r>
      <w:r>
        <w:rPr>
          <w:sz w:val="24"/>
          <w:szCs w:val="24"/>
        </w:rPr>
        <w:t>«Покупатель»), в лице _____________________</w:t>
      </w:r>
      <w:r>
        <w:rPr>
          <w:spacing w:val="4"/>
          <w:sz w:val="24"/>
          <w:szCs w:val="24"/>
        </w:rPr>
        <w:t>, действующего на основании ________, с одной стороны, и</w:t>
      </w:r>
      <w:r>
        <w:rPr>
          <w:spacing w:val="10"/>
          <w:sz w:val="24"/>
          <w:szCs w:val="24"/>
        </w:rPr>
        <w:t xml:space="preserve"> </w:t>
      </w:r>
    </w:p>
    <w:p>
      <w:pPr>
        <w:pStyle w:val="Normal"/>
        <w:ind w:firstLine="709"/>
        <w:jc w:val="both"/>
        <w:rPr>
          <w:sz w:val="24"/>
          <w:szCs w:val="24"/>
        </w:rPr>
      </w:pPr>
      <w:r>
        <w:rPr>
          <w:b/>
          <w:spacing w:val="10"/>
          <w:sz w:val="24"/>
          <w:szCs w:val="24"/>
        </w:rPr>
        <w:t>____________________</w:t>
      </w:r>
      <w:r>
        <w:rPr>
          <w:bCs/>
          <w:sz w:val="24"/>
          <w:szCs w:val="24"/>
        </w:rPr>
        <w:t xml:space="preserve"> </w:t>
      </w:r>
      <w:r>
        <w:rPr>
          <w:sz w:val="24"/>
          <w:szCs w:val="24"/>
        </w:rPr>
        <w:t xml:space="preserve">(далее – «Поставщик»), в лице _________________________, действующего на основании ___________________, с другой стороны, </w:t>
      </w:r>
    </w:p>
    <w:p>
      <w:pPr>
        <w:pStyle w:val="Normal"/>
        <w:ind w:firstLine="709"/>
        <w:jc w:val="both"/>
        <w:rPr>
          <w:spacing w:val="10"/>
          <w:sz w:val="24"/>
          <w:szCs w:val="24"/>
        </w:rPr>
      </w:pPr>
      <w:r>
        <w:rPr>
          <w:sz w:val="24"/>
          <w:szCs w:val="24"/>
        </w:rPr>
        <w:t>совместно в дальнейшем именуемые «Стороны», а по отдельности – «Сторона», заключили настоящий договор поставки (далее – «Договор») о нижеследующем:</w:t>
      </w:r>
    </w:p>
    <w:p>
      <w:pPr>
        <w:pStyle w:val="Normal"/>
        <w:shd w:val="clear" w:color="auto" w:fill="FFFFFF"/>
        <w:rPr>
          <w:bCs/>
          <w:sz w:val="24"/>
          <w:szCs w:val="24"/>
        </w:rPr>
      </w:pPr>
      <w:r>
        <w:rPr>
          <w:bCs/>
          <w:sz w:val="24"/>
          <w:szCs w:val="24"/>
        </w:rPr>
      </w:r>
    </w:p>
    <w:p>
      <w:pPr>
        <w:pStyle w:val="Normal"/>
        <w:shd w:val="clear" w:color="auto" w:fill="FFFFFF"/>
        <w:jc w:val="center"/>
        <w:rPr>
          <w:b/>
          <w:bCs/>
          <w:sz w:val="24"/>
          <w:szCs w:val="24"/>
        </w:rPr>
      </w:pPr>
      <w:r>
        <w:rPr>
          <w:b/>
          <w:bCs/>
          <w:sz w:val="24"/>
          <w:szCs w:val="24"/>
        </w:rPr>
        <w:t>Термины и определения</w:t>
      </w:r>
    </w:p>
    <w:p>
      <w:pPr>
        <w:pStyle w:val="Normal"/>
        <w:shd w:val="clear" w:color="auto" w:fill="FFFFFF"/>
        <w:ind w:firstLine="709"/>
        <w:jc w:val="both"/>
        <w:rPr>
          <w:bCs/>
          <w:sz w:val="24"/>
          <w:szCs w:val="24"/>
        </w:rPr>
      </w:pPr>
      <w:r>
        <w:rPr>
          <w:bCs/>
          <w:sz w:val="24"/>
          <w:szCs w:val="24"/>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pPr>
        <w:pStyle w:val="ListParagraph"/>
        <w:shd w:val="clear" w:color="auto" w:fill="FFFFFF"/>
        <w:tabs>
          <w:tab w:val="clear" w:pos="708"/>
          <w:tab w:val="left" w:pos="0" w:leader="none"/>
        </w:tabs>
        <w:overflowPunct w:val="false"/>
        <w:ind w:firstLine="709" w:left="0"/>
        <w:jc w:val="both"/>
        <w:textAlignment w:val="baseline"/>
        <w:rPr>
          <w:sz w:val="24"/>
          <w:szCs w:val="24"/>
          <w:lang w:eastAsia="en-US"/>
        </w:rPr>
      </w:pPr>
      <w:r>
        <w:rPr>
          <w:b/>
          <w:sz w:val="24"/>
          <w:szCs w:val="24"/>
          <w:lang w:eastAsia="en-US"/>
        </w:rPr>
        <w:t>«Акт рекламации»</w:t>
      </w:r>
      <w:r>
        <w:rPr>
          <w:sz w:val="24"/>
          <w:szCs w:val="24"/>
          <w:lang w:eastAsia="en-US"/>
        </w:rPr>
        <w:t xml:space="preserve"> – документ, оформляемый по унифицированным формам </w:t>
        <w:br/>
        <w:t xml:space="preserve">№ ТОРГ-2 «Акт об установленном расхождении по количеству и качеству при приемке товарно-материальных ценностей» и № ТОРГ-3 «Акт об установленном расхождении </w:t>
        <w:br/>
        <w:t>по количеству и качеству при приемке импортных товаров», утвержденным постановлением Госкомстата РФ от 25.12.1998 № 132, подписываемый Сторонами при приемке поставленного Товара.</w:t>
      </w:r>
    </w:p>
    <w:p>
      <w:pPr>
        <w:pStyle w:val="ListParagraph"/>
        <w:shd w:val="clear" w:color="auto" w:fill="FFFFFF"/>
        <w:tabs>
          <w:tab w:val="clear" w:pos="708"/>
          <w:tab w:val="left" w:pos="567" w:leader="none"/>
          <w:tab w:val="left" w:pos="1134" w:leader="none"/>
        </w:tabs>
        <w:overflowPunct w:val="false"/>
        <w:ind w:firstLine="708" w:left="0"/>
        <w:jc w:val="both"/>
        <w:textAlignment w:val="baseline"/>
        <w:rPr>
          <w:sz w:val="24"/>
          <w:szCs w:val="24"/>
          <w:lang w:eastAsia="en-US"/>
        </w:rPr>
      </w:pPr>
      <w:r>
        <w:rPr>
          <w:b/>
          <w:sz w:val="24"/>
          <w:szCs w:val="24"/>
          <w:lang w:eastAsia="en-US"/>
        </w:rPr>
        <w:t xml:space="preserve"> </w:t>
      </w:r>
      <w:r>
        <w:rPr>
          <w:b/>
          <w:sz w:val="24"/>
          <w:szCs w:val="24"/>
          <w:lang w:eastAsia="en-US"/>
        </w:rPr>
        <w:t>«Гарантийный срок»</w:t>
      </w:r>
      <w:r>
        <w:rPr>
          <w:sz w:val="24"/>
          <w:szCs w:val="24"/>
        </w:rPr>
        <w:t xml:space="preserve"> </w:t>
      </w:r>
      <w:r>
        <w:rPr>
          <w:sz w:val="24"/>
          <w:szCs w:val="24"/>
          <w:lang w:eastAsia="en-US"/>
        </w:rPr>
        <w:t>– период, в течение которого качество поставленного Товара должно соответствовать требованиям Договора и Применимого права, и Поставщик обязуется устранять все выявленные Покупателем недостатки, несоответствия и / или дефекты за свой счет. Гарантийный срок, если иное прямо не предусмотрено Договором, распространяется на все составляющие Товара.</w:t>
      </w:r>
    </w:p>
    <w:p>
      <w:pPr>
        <w:pStyle w:val="ListParagraph"/>
        <w:shd w:val="clear" w:color="auto" w:fill="FFFFFF"/>
        <w:tabs>
          <w:tab w:val="clear" w:pos="708"/>
          <w:tab w:val="left" w:pos="0" w:leader="none"/>
        </w:tabs>
        <w:overflowPunct w:val="false"/>
        <w:ind w:firstLine="709" w:left="0"/>
        <w:jc w:val="both"/>
        <w:textAlignment w:val="baseline"/>
        <w:rPr>
          <w:sz w:val="24"/>
          <w:szCs w:val="24"/>
          <w:lang w:eastAsia="en-US"/>
        </w:rPr>
      </w:pPr>
      <w:r>
        <w:rPr>
          <w:b/>
          <w:sz w:val="24"/>
          <w:szCs w:val="24"/>
          <w:lang w:eastAsia="en-US"/>
        </w:rPr>
        <w:t>«Договор»</w:t>
      </w:r>
      <w:r>
        <w:rPr>
          <w:sz w:val="24"/>
          <w:szCs w:val="24"/>
          <w:lang w:eastAsia="en-US"/>
        </w:rPr>
        <w:t xml:space="preserve"> – настоящий договор, подписанный Покупателем и Поставщиком, включая все приложения к нему, а также дополнительные соглашения к Договору при условии, </w:t>
        <w:br/>
        <w:t>что они заключены надлежащим образом, и из них явно следует, что они составляют часть Договора.</w:t>
      </w:r>
    </w:p>
    <w:p>
      <w:pPr>
        <w:pStyle w:val="ListParagraph"/>
        <w:shd w:val="clear" w:color="auto" w:fill="FFFFFF"/>
        <w:tabs>
          <w:tab w:val="clear" w:pos="708"/>
          <w:tab w:val="left" w:pos="0" w:leader="none"/>
        </w:tabs>
        <w:overflowPunct w:val="false"/>
        <w:ind w:firstLine="709" w:left="0"/>
        <w:jc w:val="both"/>
        <w:textAlignment w:val="baseline"/>
        <w:rPr>
          <w:sz w:val="24"/>
          <w:szCs w:val="24"/>
          <w:lang w:eastAsia="en-US"/>
        </w:rPr>
      </w:pPr>
      <w:r>
        <w:rPr>
          <w:b/>
          <w:sz w:val="24"/>
          <w:szCs w:val="24"/>
          <w:lang w:eastAsia="en-US"/>
        </w:rPr>
        <w:t>«Коммерческая тайна»</w:t>
      </w:r>
      <w:r>
        <w:rPr>
          <w:sz w:val="24"/>
          <w:szCs w:val="24"/>
          <w:lang w:eastAsia="en-US"/>
        </w:rPr>
        <w:t xml:space="preserve"> – режим конфиденциальности информации, позволяющий </w:t>
        <w:br/>
        <w:t xml:space="preserve">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w:t>
        <w:br/>
        <w:t xml:space="preserve">или получить иную коммерческую выгоду. </w:t>
      </w:r>
    </w:p>
    <w:p>
      <w:pPr>
        <w:pStyle w:val="ListParagraph"/>
        <w:shd w:val="clear" w:color="auto" w:fill="FFFFFF"/>
        <w:tabs>
          <w:tab w:val="clear" w:pos="708"/>
          <w:tab w:val="left" w:pos="0" w:leader="none"/>
        </w:tabs>
        <w:overflowPunct w:val="false"/>
        <w:ind w:firstLine="709" w:left="0"/>
        <w:jc w:val="both"/>
        <w:textAlignment w:val="baseline"/>
        <w:rPr>
          <w:b/>
          <w:sz w:val="24"/>
          <w:szCs w:val="24"/>
          <w:lang w:eastAsia="en-US"/>
        </w:rPr>
      </w:pPr>
      <w:r>
        <w:rPr>
          <w:b/>
          <w:sz w:val="24"/>
          <w:szCs w:val="24"/>
          <w:lang w:eastAsia="en-US"/>
        </w:rPr>
        <w:t xml:space="preserve">«Накладная ТОРГ-12» </w:t>
      </w:r>
      <w:r>
        <w:rPr>
          <w:sz w:val="24"/>
          <w:szCs w:val="24"/>
          <w:lang w:eastAsia="en-US"/>
        </w:rPr>
        <w:t>–</w:t>
      </w:r>
      <w:r>
        <w:rPr>
          <w:b/>
          <w:sz w:val="24"/>
          <w:szCs w:val="24"/>
          <w:lang w:eastAsia="en-US"/>
        </w:rPr>
        <w:t xml:space="preserve"> </w:t>
      </w:r>
      <w:r>
        <w:rPr>
          <w:sz w:val="24"/>
          <w:szCs w:val="24"/>
          <w:lang w:eastAsia="en-US"/>
        </w:rPr>
        <w:t xml:space="preserve">документ, оформляемый по унифицированной форме </w:t>
        <w:br/>
        <w:t xml:space="preserve">№ ТОРГ-12 «Товарная накладная», утвержденной постановлением Госкомстата РФ </w:t>
        <w:br/>
        <w:t>от 25.12.1998 № 132, подписываемый Сторонами после завершения приемки Товара по количеству, качеству и комплектности.</w:t>
      </w:r>
    </w:p>
    <w:p>
      <w:pPr>
        <w:pStyle w:val="ListParagraph"/>
        <w:shd w:val="clear" w:color="auto" w:fill="FFFFFF"/>
        <w:tabs>
          <w:tab w:val="clear" w:pos="708"/>
          <w:tab w:val="left" w:pos="0" w:leader="none"/>
        </w:tabs>
        <w:overflowPunct w:val="false"/>
        <w:ind w:firstLine="709" w:left="0"/>
        <w:jc w:val="both"/>
        <w:textAlignment w:val="baseline"/>
        <w:rPr>
          <w:sz w:val="24"/>
          <w:szCs w:val="24"/>
          <w:lang w:eastAsia="en-US"/>
        </w:rPr>
      </w:pPr>
      <w:r>
        <w:rPr>
          <w:b/>
          <w:sz w:val="24"/>
          <w:szCs w:val="24"/>
          <w:lang w:eastAsia="en-US"/>
        </w:rPr>
        <w:t xml:space="preserve">«Отказ от Договора» </w:t>
      </w:r>
      <w:r>
        <w:rPr>
          <w:sz w:val="24"/>
          <w:szCs w:val="24"/>
          <w:lang w:eastAsia="en-US"/>
        </w:rPr>
        <w:t xml:space="preserve">– односторонний внесудебный отказ от исполнения Договора, совершенный Стороной в соответствии со статьей 450.1 ГК РФ в случаях, установленных Договором. </w:t>
      </w:r>
    </w:p>
    <w:p>
      <w:pPr>
        <w:pStyle w:val="Heading3"/>
        <w:keepNext w:val="false"/>
        <w:tabs>
          <w:tab w:val="clear" w:pos="708"/>
          <w:tab w:val="left" w:pos="0" w:leader="none"/>
        </w:tabs>
        <w:overflowPunct w:val="false"/>
        <w:spacing w:before="0" w:after="0"/>
        <w:ind w:firstLine="709"/>
        <w:jc w:val="both"/>
        <w:textAlignment w:val="baseline"/>
        <w:rPr>
          <w:rFonts w:ascii="Times New Roman" w:hAnsi="Times New Roman"/>
          <w:b w:val="false"/>
          <w:color w:val="auto"/>
          <w:sz w:val="24"/>
          <w:szCs w:val="24"/>
          <w:lang w:eastAsia="en-US"/>
        </w:rPr>
      </w:pPr>
      <w:r>
        <w:rPr>
          <w:b w:val="false"/>
          <w:sz w:val="24"/>
          <w:szCs w:val="24"/>
          <w:lang w:eastAsia="en-US"/>
        </w:rPr>
        <w:t xml:space="preserve"> </w:t>
      </w:r>
      <w:r>
        <w:rPr>
          <w:rFonts w:ascii="Times New Roman" w:hAnsi="Times New Roman"/>
          <w:color w:val="auto"/>
          <w:sz w:val="24"/>
          <w:szCs w:val="24"/>
          <w:lang w:eastAsia="en-US"/>
        </w:rPr>
        <w:t>«Применимое право»</w:t>
      </w:r>
      <w:r>
        <w:rPr>
          <w:rFonts w:ascii="Times New Roman" w:hAnsi="Times New Roman"/>
          <w:b w:val="false"/>
          <w:color w:val="auto"/>
          <w:sz w:val="24"/>
          <w:szCs w:val="24"/>
          <w:lang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Товару.</w:t>
      </w:r>
    </w:p>
    <w:p>
      <w:pPr>
        <w:pStyle w:val="Normal"/>
        <w:ind w:firstLine="708"/>
        <w:jc w:val="both"/>
        <w:rPr>
          <w:sz w:val="24"/>
          <w:szCs w:val="24"/>
          <w:lang w:eastAsia="en-US"/>
        </w:rPr>
      </w:pPr>
      <w:r>
        <w:rPr>
          <w:b/>
          <w:sz w:val="24"/>
          <w:szCs w:val="24"/>
          <w:lang w:eastAsia="en-US"/>
        </w:rPr>
        <w:t xml:space="preserve"> </w:t>
      </w:r>
      <w:r>
        <w:rPr>
          <w:b/>
          <w:sz w:val="24"/>
          <w:szCs w:val="24"/>
          <w:lang w:eastAsia="en-US"/>
        </w:rPr>
        <w:t>«Рабочий день»</w:t>
      </w:r>
      <w:r>
        <w:rPr>
          <w:sz w:val="24"/>
          <w:szCs w:val="24"/>
          <w:lang w:eastAsia="en-US"/>
        </w:rPr>
        <w:t xml:space="preserve"> – день, который в соответствии с Применимым правом, является рабочим днем в Российской Федерации.</w:t>
      </w:r>
    </w:p>
    <w:p>
      <w:pPr>
        <w:pStyle w:val="Heading3"/>
        <w:keepNext w:val="false"/>
        <w:tabs>
          <w:tab w:val="clear" w:pos="708"/>
          <w:tab w:val="left" w:pos="0" w:leader="none"/>
        </w:tabs>
        <w:overflowPunct w:val="false"/>
        <w:spacing w:before="0" w:after="0"/>
        <w:ind w:firstLine="708"/>
        <w:jc w:val="both"/>
        <w:textAlignment w:val="baseline"/>
        <w:rPr>
          <w:rFonts w:ascii="Times New Roman" w:hAnsi="Times New Roman"/>
          <w:b w:val="false"/>
          <w:color w:val="auto"/>
          <w:sz w:val="24"/>
          <w:szCs w:val="24"/>
          <w:lang w:eastAsia="en-US"/>
        </w:rPr>
      </w:pPr>
      <w:r>
        <w:rPr>
          <w:rFonts w:ascii="Times New Roman" w:hAnsi="Times New Roman"/>
          <w:color w:val="auto"/>
          <w:sz w:val="24"/>
          <w:szCs w:val="24"/>
          <w:lang w:eastAsia="en-US"/>
        </w:rPr>
        <w:t>«Цена Договора»</w:t>
      </w:r>
      <w:r>
        <w:rPr>
          <w:rFonts w:ascii="Times New Roman" w:hAnsi="Times New Roman"/>
          <w:b w:val="false"/>
          <w:color w:val="auto"/>
          <w:sz w:val="24"/>
          <w:szCs w:val="24"/>
          <w:lang w:eastAsia="en-US"/>
        </w:rPr>
        <w:t xml:space="preserve"> – определяемая в соответствии с разделом 2 Договора сумма, которую Покупатель обязуется уплатить Поставщику в порядке и на условиях, установленных Договором, включающая компенсацию всех издержек Поставщика и причитающееся ему вознаграждение, а также инфляционные риски на весь период действия Договора. </w:t>
      </w:r>
    </w:p>
    <w:p>
      <w:pPr>
        <w:pStyle w:val="Normal"/>
        <w:shd w:val="clear" w:color="auto" w:fill="FFFFFF"/>
        <w:ind w:firstLine="709"/>
        <w:jc w:val="center"/>
        <w:rPr>
          <w:bCs/>
          <w:sz w:val="24"/>
          <w:szCs w:val="24"/>
        </w:rPr>
      </w:pPr>
      <w:r>
        <w:rPr>
          <w:bCs/>
          <w:sz w:val="24"/>
          <w:szCs w:val="24"/>
        </w:rPr>
      </w:r>
    </w:p>
    <w:p>
      <w:pPr>
        <w:pStyle w:val="Normal"/>
        <w:numPr>
          <w:ilvl w:val="0"/>
          <w:numId w:val="2"/>
        </w:numPr>
        <w:shd w:val="clear" w:color="auto" w:fill="FFFFFF"/>
        <w:tabs>
          <w:tab w:val="clear" w:pos="708"/>
          <w:tab w:val="left" w:pos="284" w:leader="none"/>
        </w:tabs>
        <w:ind w:hanging="0" w:left="0"/>
        <w:jc w:val="center"/>
        <w:rPr>
          <w:b/>
          <w:bCs/>
          <w:sz w:val="24"/>
          <w:szCs w:val="24"/>
        </w:rPr>
      </w:pPr>
      <w:r>
        <w:rPr>
          <w:b/>
          <w:bCs/>
          <w:sz w:val="24"/>
          <w:szCs w:val="24"/>
        </w:rPr>
        <w:t>Предмет Договора</w:t>
      </w:r>
    </w:p>
    <w:p>
      <w:pPr>
        <w:pStyle w:val="Normal"/>
        <w:numPr>
          <w:ilvl w:val="1"/>
          <w:numId w:val="2"/>
        </w:numPr>
        <w:shd w:val="clear" w:color="auto" w:fill="FFFFFF"/>
        <w:tabs>
          <w:tab w:val="clear" w:pos="708"/>
          <w:tab w:val="left" w:pos="1134" w:leader="none"/>
        </w:tabs>
        <w:ind w:firstLine="709" w:left="0"/>
        <w:jc w:val="both"/>
        <w:rPr>
          <w:bCs/>
          <w:sz w:val="24"/>
          <w:szCs w:val="24"/>
        </w:rPr>
      </w:pPr>
      <w:r>
        <w:rPr>
          <w:bCs/>
          <w:sz w:val="24"/>
          <w:szCs w:val="24"/>
        </w:rPr>
        <w:t>Поставщик обязуется в порядке и сроки, установленные Договором, передать в собственность Покупателю</w:t>
      </w:r>
      <w:r>
        <w:rPr>
          <w:rFonts w:eastAsia="Calibri"/>
          <w:bCs/>
          <w:sz w:val="24"/>
          <w:szCs w:val="24"/>
          <w:lang w:eastAsia="en-US"/>
        </w:rPr>
        <w:t xml:space="preserve"> расходные материалы и комплектующие для персональных компьютеров</w:t>
      </w:r>
      <w:r>
        <w:rPr>
          <w:bCs/>
          <w:i/>
          <w:sz w:val="24"/>
          <w:szCs w:val="24"/>
        </w:rPr>
        <w:t xml:space="preserve"> </w:t>
      </w:r>
      <w:r>
        <w:rPr>
          <w:bCs/>
          <w:sz w:val="24"/>
          <w:szCs w:val="24"/>
        </w:rPr>
        <w:t>(далее – «Товар») в соответствии со Спецификацией (Приложение № 1 к Договору), а Покупатель обязуется принять Товар и уплатить Цену Договора.</w:t>
      </w:r>
    </w:p>
    <w:p>
      <w:pPr>
        <w:pStyle w:val="Normal"/>
        <w:numPr>
          <w:ilvl w:val="1"/>
          <w:numId w:val="2"/>
        </w:numPr>
        <w:shd w:val="clear" w:color="auto" w:fill="FFFFFF"/>
        <w:tabs>
          <w:tab w:val="clear" w:pos="708"/>
          <w:tab w:val="left" w:pos="0" w:leader="none"/>
          <w:tab w:val="left" w:pos="1134" w:leader="none"/>
        </w:tabs>
        <w:ind w:firstLine="709" w:left="0"/>
        <w:jc w:val="both"/>
        <w:rPr>
          <w:bCs/>
          <w:sz w:val="24"/>
          <w:szCs w:val="24"/>
        </w:rPr>
      </w:pPr>
      <w:r>
        <w:rPr>
          <w:bCs/>
          <w:sz w:val="24"/>
          <w:szCs w:val="24"/>
        </w:rPr>
        <w:t>Поставка Товара по Договору осуществляется для нужд филиала ПАО «РусГидро» - «Саяно-Шушенская ГЭС имени П.С. Непорожнего».</w:t>
      </w:r>
    </w:p>
    <w:p>
      <w:pPr>
        <w:pStyle w:val="Normal"/>
        <w:numPr>
          <w:ilvl w:val="1"/>
          <w:numId w:val="2"/>
        </w:numPr>
        <w:shd w:val="clear" w:color="auto" w:fill="FFFFFF"/>
        <w:tabs>
          <w:tab w:val="clear" w:pos="708"/>
          <w:tab w:val="left" w:pos="0" w:leader="none"/>
          <w:tab w:val="left" w:pos="1134" w:leader="none"/>
        </w:tabs>
        <w:ind w:firstLine="709" w:left="0"/>
        <w:jc w:val="both"/>
        <w:rPr>
          <w:bCs/>
          <w:sz w:val="24"/>
          <w:szCs w:val="24"/>
        </w:rPr>
      </w:pPr>
      <w:r>
        <w:rPr>
          <w:bCs/>
          <w:sz w:val="24"/>
          <w:szCs w:val="24"/>
        </w:rPr>
        <w:t xml:space="preserve">Место поставки Товара: </w:t>
      </w:r>
      <w:r>
        <w:rPr>
          <w:sz w:val="24"/>
          <w:szCs w:val="24"/>
        </w:rPr>
        <w:t>Республика Хакасия, г. Саяногорск, рп. Черемушки, 106, БГСО (далее – «Место поставки»).</w:t>
      </w:r>
    </w:p>
    <w:p>
      <w:pPr>
        <w:pStyle w:val="Normal"/>
        <w:numPr>
          <w:ilvl w:val="1"/>
          <w:numId w:val="2"/>
        </w:numPr>
        <w:shd w:val="clear" w:color="auto" w:fill="FFFFFF"/>
        <w:tabs>
          <w:tab w:val="clear" w:pos="708"/>
          <w:tab w:val="left" w:pos="0" w:leader="none"/>
          <w:tab w:val="left" w:pos="540" w:leader="none"/>
          <w:tab w:val="left" w:pos="1134" w:leader="none"/>
        </w:tabs>
        <w:ind w:firstLine="709" w:left="0"/>
        <w:jc w:val="both"/>
        <w:rPr>
          <w:bCs/>
          <w:sz w:val="24"/>
          <w:szCs w:val="24"/>
        </w:rPr>
      </w:pPr>
      <w:r>
        <w:rPr>
          <w:bCs/>
          <w:sz w:val="24"/>
          <w:szCs w:val="24"/>
        </w:rPr>
        <w:t xml:space="preserve">Общий срок поставки Товара: в течении </w:t>
      </w:r>
      <w:r>
        <w:rPr>
          <w:bCs/>
          <w:sz w:val="24"/>
          <w:szCs w:val="24"/>
        </w:rPr>
        <w:t>15</w:t>
      </w:r>
      <w:r>
        <w:rPr>
          <w:bCs/>
          <w:sz w:val="24"/>
          <w:szCs w:val="24"/>
        </w:rPr>
        <w:t xml:space="preserve"> календарных дней с даты заключения договора. </w:t>
      </w:r>
    </w:p>
    <w:p>
      <w:pPr>
        <w:pStyle w:val="Normal"/>
        <w:shd w:val="clear" w:color="auto" w:fill="FFFFFF"/>
        <w:tabs>
          <w:tab w:val="clear" w:pos="708"/>
          <w:tab w:val="left" w:pos="540" w:leader="none"/>
        </w:tabs>
        <w:ind w:hanging="0" w:left="1134"/>
        <w:jc w:val="both"/>
        <w:rPr>
          <w:sz w:val="24"/>
          <w:szCs w:val="24"/>
        </w:rPr>
      </w:pPr>
      <w:r>
        <w:rPr>
          <w:sz w:val="24"/>
          <w:szCs w:val="24"/>
        </w:rPr>
      </w:r>
    </w:p>
    <w:p>
      <w:pPr>
        <w:pStyle w:val="Normal"/>
        <w:numPr>
          <w:ilvl w:val="0"/>
          <w:numId w:val="2"/>
        </w:numPr>
        <w:shd w:val="clear" w:color="auto" w:fill="FFFFFF"/>
        <w:tabs>
          <w:tab w:val="clear" w:pos="708"/>
          <w:tab w:val="left" w:pos="284" w:leader="none"/>
        </w:tabs>
        <w:ind w:hanging="0" w:left="0"/>
        <w:jc w:val="center"/>
        <w:rPr>
          <w:b/>
          <w:bCs/>
          <w:sz w:val="24"/>
          <w:szCs w:val="24"/>
        </w:rPr>
      </w:pPr>
      <w:r>
        <w:rPr>
          <w:b/>
          <w:bCs/>
          <w:sz w:val="24"/>
          <w:szCs w:val="24"/>
        </w:rPr>
        <w:t>Цена Договора и порядок расчетов</w:t>
      </w:r>
    </w:p>
    <w:p>
      <w:pPr>
        <w:pStyle w:val="Normal"/>
        <w:numPr>
          <w:ilvl w:val="1"/>
          <w:numId w:val="2"/>
        </w:numPr>
        <w:shd w:val="clear" w:color="auto" w:fill="FFFFFF"/>
        <w:tabs>
          <w:tab w:val="clear" w:pos="708"/>
          <w:tab w:val="left" w:pos="709" w:leader="none"/>
        </w:tabs>
        <w:ind w:firstLine="709" w:left="0"/>
        <w:jc w:val="both"/>
        <w:rPr/>
      </w:pPr>
      <w:r>
        <w:rPr>
          <w:sz w:val="24"/>
          <w:szCs w:val="24"/>
        </w:rPr>
        <w:t xml:space="preserve">Цена Договора в соответствии со Спецификацией (Приложение № 1 к Договору) является твердой  и составляет _________________________, без учета НДС, </w:t>
      </w:r>
      <w:r>
        <w:rPr>
          <w:bCs/>
          <w:sz w:val="24"/>
          <w:szCs w:val="24"/>
        </w:rPr>
        <w:t>исчисляется дополнительно по ставке, установленной ст. 164 Налогового Кодекса РФ.</w:t>
      </w:r>
    </w:p>
    <w:p>
      <w:pPr>
        <w:pStyle w:val="Normal"/>
        <w:numPr>
          <w:ilvl w:val="1"/>
          <w:numId w:val="2"/>
        </w:numPr>
        <w:shd w:val="clear" w:color="auto" w:fill="FFFFFF"/>
        <w:tabs>
          <w:tab w:val="clear" w:pos="708"/>
          <w:tab w:val="left" w:pos="1134" w:leader="none"/>
        </w:tabs>
        <w:ind w:firstLine="709" w:left="0"/>
        <w:jc w:val="both"/>
        <w:rPr>
          <w:bCs/>
          <w:sz w:val="24"/>
          <w:szCs w:val="24"/>
        </w:rPr>
      </w:pPr>
      <w:r>
        <w:rPr>
          <w:bCs/>
          <w:sz w:val="24"/>
          <w:szCs w:val="24"/>
        </w:rPr>
        <w:t xml:space="preserve">Цена Договора включает в себя прибыль Поставщика, а также все расходы и затраты Поставщика на: </w:t>
      </w:r>
    </w:p>
    <w:p>
      <w:pPr>
        <w:pStyle w:val="Normal"/>
        <w:numPr>
          <w:ilvl w:val="2"/>
          <w:numId w:val="2"/>
        </w:numPr>
        <w:shd w:val="clear" w:color="auto" w:fill="FFFFFF"/>
        <w:tabs>
          <w:tab w:val="clear" w:pos="708"/>
          <w:tab w:val="left" w:pos="1418" w:leader="none"/>
        </w:tabs>
        <w:ind w:firstLine="709" w:left="0"/>
        <w:jc w:val="both"/>
        <w:rPr>
          <w:bCs/>
          <w:sz w:val="24"/>
          <w:szCs w:val="24"/>
        </w:rPr>
      </w:pPr>
      <w:r>
        <w:rPr>
          <w:bCs/>
          <w:sz w:val="24"/>
          <w:szCs w:val="24"/>
        </w:rPr>
        <w:t>производство и / или приобретение Товара;</w:t>
      </w:r>
    </w:p>
    <w:p>
      <w:pPr>
        <w:pStyle w:val="ListParagraph"/>
        <w:numPr>
          <w:ilvl w:val="2"/>
          <w:numId w:val="10"/>
        </w:numPr>
        <w:shd w:val="clear" w:color="auto" w:fill="FFFFFF"/>
        <w:tabs>
          <w:tab w:val="clear" w:pos="708"/>
          <w:tab w:val="left" w:pos="567" w:leader="none"/>
        </w:tabs>
        <w:ind w:firstLine="720" w:left="0"/>
        <w:jc w:val="both"/>
        <w:rPr>
          <w:bCs/>
          <w:sz w:val="24"/>
          <w:szCs w:val="24"/>
        </w:rPr>
      </w:pPr>
      <w:r>
        <w:rPr>
          <w:bCs/>
          <w:sz w:val="24"/>
          <w:szCs w:val="24"/>
        </w:rPr>
        <w:t xml:space="preserve">транспортировку Товара до Места поставки, погрузку, разгрузку, стоимость тары и упаковки, лицензий, необходимых для использования Товара (если применимо); </w:t>
      </w:r>
    </w:p>
    <w:p>
      <w:pPr>
        <w:pStyle w:val="Normal"/>
        <w:shd w:val="clear" w:color="auto" w:fill="FFFFFF"/>
        <w:tabs>
          <w:tab w:val="clear" w:pos="708"/>
          <w:tab w:val="left" w:pos="1418" w:leader="none"/>
        </w:tabs>
        <w:jc w:val="both"/>
        <w:rPr>
          <w:bCs/>
          <w:sz w:val="24"/>
          <w:szCs w:val="24"/>
        </w:rPr>
      </w:pPr>
      <w:r>
        <w:rPr>
          <w:bCs/>
          <w:sz w:val="24"/>
          <w:szCs w:val="24"/>
        </w:rPr>
        <w:t xml:space="preserve">           </w:t>
      </w:r>
      <w:r>
        <w:rPr>
          <w:bCs/>
          <w:sz w:val="24"/>
          <w:szCs w:val="24"/>
        </w:rPr>
        <w:t>2.2.3. подлежащие уплате налоги, сборы и пошлины (в том числе по таможенному оформлению Товара, если применимо);</w:t>
      </w:r>
    </w:p>
    <w:p>
      <w:pPr>
        <w:pStyle w:val="Normal"/>
        <w:shd w:val="clear" w:color="auto" w:fill="FFFFFF"/>
        <w:tabs>
          <w:tab w:val="clear" w:pos="708"/>
          <w:tab w:val="left" w:pos="1418" w:leader="none"/>
        </w:tabs>
        <w:jc w:val="both"/>
        <w:rPr>
          <w:bCs/>
          <w:sz w:val="24"/>
          <w:szCs w:val="24"/>
        </w:rPr>
      </w:pPr>
      <w:r>
        <w:rPr>
          <w:bCs/>
          <w:sz w:val="24"/>
          <w:szCs w:val="24"/>
        </w:rPr>
        <w:t xml:space="preserve">           </w:t>
      </w:r>
      <w:r>
        <w:rPr>
          <w:bCs/>
          <w:sz w:val="24"/>
          <w:szCs w:val="24"/>
        </w:rPr>
        <w:t xml:space="preserve">2.2.4. заработную плату, накладные и командировочные расходы, перемещение и размещение персонала Поставщика; </w:t>
      </w:r>
    </w:p>
    <w:p>
      <w:pPr>
        <w:pStyle w:val="Normal"/>
        <w:shd w:val="clear" w:color="auto" w:fill="FFFFFF"/>
        <w:tabs>
          <w:tab w:val="clear" w:pos="708"/>
          <w:tab w:val="left" w:pos="1418" w:leader="none"/>
        </w:tabs>
        <w:jc w:val="both"/>
        <w:rPr>
          <w:bCs/>
          <w:sz w:val="24"/>
          <w:szCs w:val="24"/>
        </w:rPr>
      </w:pPr>
      <w:r>
        <w:rPr>
          <w:bCs/>
          <w:sz w:val="24"/>
          <w:szCs w:val="24"/>
        </w:rPr>
        <w:t xml:space="preserve">           </w:t>
      </w:r>
      <w:r>
        <w:rPr>
          <w:bCs/>
          <w:sz w:val="24"/>
          <w:szCs w:val="24"/>
        </w:rPr>
        <w:t xml:space="preserve">2.2.5. все прочие затраты и расходы Поставщика, связанные с поставкой Товара и исполнением иных обязательств по Договору, а также все непредвиденные расходы, которые могут возникнуть у Поставщика в течение срока действия Договора. </w:t>
      </w:r>
    </w:p>
    <w:p>
      <w:pPr>
        <w:pStyle w:val="Normal"/>
        <w:numPr>
          <w:ilvl w:val="1"/>
          <w:numId w:val="2"/>
        </w:numPr>
        <w:shd w:val="clear" w:color="auto" w:fill="FFFFFF"/>
        <w:tabs>
          <w:tab w:val="clear" w:pos="708"/>
          <w:tab w:val="left" w:pos="568" w:leader="none"/>
          <w:tab w:val="left" w:pos="1134" w:leader="none"/>
        </w:tabs>
        <w:ind w:firstLine="709" w:left="0"/>
        <w:jc w:val="both"/>
        <w:rPr>
          <w:sz w:val="24"/>
          <w:szCs w:val="24"/>
        </w:rPr>
      </w:pPr>
      <w:r>
        <w:rPr>
          <w:sz w:val="24"/>
          <w:szCs w:val="24"/>
        </w:rPr>
        <w:t>Изменение стоимости Товара по Договору не требует заключения дополнительного соглашения к Договору только в случае, когда оно вызвано изменением ставки российского НДС.</w:t>
      </w:r>
    </w:p>
    <w:p>
      <w:pPr>
        <w:pStyle w:val="Normal"/>
        <w:numPr>
          <w:ilvl w:val="1"/>
          <w:numId w:val="2"/>
        </w:numPr>
        <w:shd w:val="clear" w:color="auto" w:fill="FFFFFF"/>
        <w:tabs>
          <w:tab w:val="clear" w:pos="708"/>
          <w:tab w:val="left" w:pos="0" w:leader="none"/>
          <w:tab w:val="left" w:pos="1134" w:leader="none"/>
        </w:tabs>
        <w:ind w:firstLine="709" w:left="0"/>
        <w:jc w:val="both"/>
        <w:rPr>
          <w:sz w:val="24"/>
          <w:szCs w:val="24"/>
        </w:rPr>
      </w:pPr>
      <w:r>
        <w:rPr>
          <w:sz w:val="24"/>
          <w:szCs w:val="24"/>
        </w:rPr>
        <w:t xml:space="preserve">Оплата по Договору осуществляется Покупателем в следующем порядке: </w:t>
      </w:r>
    </w:p>
    <w:p>
      <w:pPr>
        <w:pStyle w:val="ListParagraph"/>
        <w:widowControl/>
        <w:numPr>
          <w:ilvl w:val="2"/>
          <w:numId w:val="2"/>
        </w:numPr>
        <w:shd w:val="clear" w:color="auto" w:fill="FFFFFF"/>
        <w:tabs>
          <w:tab w:val="clear" w:pos="708"/>
          <w:tab w:val="left" w:pos="0" w:leader="none"/>
          <w:tab w:val="left" w:pos="1418" w:leader="none"/>
        </w:tabs>
        <w:ind w:firstLine="709" w:left="0"/>
        <w:jc w:val="both"/>
        <w:rPr>
          <w:sz w:val="24"/>
          <w:szCs w:val="24"/>
        </w:rPr>
      </w:pPr>
      <w:r>
        <w:rPr>
          <w:sz w:val="24"/>
          <w:szCs w:val="24"/>
        </w:rPr>
        <w:t>Авансовый платеж в размере 100 (сто) процентов от стоимости Товара выплачивается Поставщику в течение 10 (десяти) календарных дней с даты получения Покупателем счета, выставленного Поставщиком.</w:t>
      </w:r>
      <w:bookmarkStart w:id="0" w:name="_GoBack"/>
      <w:bookmarkEnd w:id="0"/>
    </w:p>
    <w:p>
      <w:pPr>
        <w:pStyle w:val="ListParagraph"/>
        <w:widowControl/>
        <w:numPr>
          <w:ilvl w:val="2"/>
          <w:numId w:val="2"/>
        </w:numPr>
        <w:shd w:val="clear" w:color="auto" w:fill="FFFFFF"/>
        <w:tabs>
          <w:tab w:val="clear" w:pos="708"/>
          <w:tab w:val="left" w:pos="0" w:leader="none"/>
          <w:tab w:val="left" w:pos="1418" w:leader="none"/>
        </w:tabs>
        <w:ind w:firstLine="709" w:left="0"/>
        <w:jc w:val="both"/>
        <w:rPr>
          <w:sz w:val="24"/>
          <w:szCs w:val="24"/>
        </w:rPr>
      </w:pPr>
      <w:r>
        <w:rPr>
          <w:sz w:val="24"/>
          <w:szCs w:val="24"/>
        </w:rPr>
        <w:t>В случае выставления Поставщиком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Покупателем не принимается и подлежит замене Поставщиком независимо от его фактического вручения Покупателю. В случае выставления Поставщиком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Покупателем.</w:t>
      </w:r>
    </w:p>
    <w:p>
      <w:pPr>
        <w:pStyle w:val="ListParagraph"/>
        <w:widowControl/>
        <w:numPr>
          <w:ilvl w:val="1"/>
          <w:numId w:val="2"/>
        </w:numPr>
        <w:shd w:val="clear" w:color="auto" w:fill="FFFFFF"/>
        <w:tabs>
          <w:tab w:val="clear" w:pos="708"/>
          <w:tab w:val="left" w:pos="0" w:leader="none"/>
          <w:tab w:val="left" w:pos="1134" w:leader="none"/>
        </w:tabs>
        <w:ind w:firstLine="709" w:left="0"/>
        <w:jc w:val="both"/>
        <w:rPr>
          <w:bCs/>
          <w:sz w:val="24"/>
          <w:szCs w:val="24"/>
        </w:rPr>
      </w:pPr>
      <w:r>
        <w:rPr>
          <w:bCs/>
          <w:sz w:val="24"/>
          <w:szCs w:val="24"/>
        </w:rPr>
        <w:t>Расчеты по Договору осуществляются в валюте Российской Федерации. Оплата производится Покупателем путем перечисления денежных средств на расчетный счет Поставщика, указанный в Договоре. Обязательство Покупателя по осуществлению платежа считается исполненным с даты списания денежных средств с расчетного счета Покупателя.</w:t>
      </w:r>
    </w:p>
    <w:p>
      <w:pPr>
        <w:pStyle w:val="Normal"/>
        <w:numPr>
          <w:ilvl w:val="1"/>
          <w:numId w:val="2"/>
        </w:numPr>
        <w:shd w:val="clear" w:color="auto" w:fill="FFFFFF"/>
        <w:tabs>
          <w:tab w:val="clear" w:pos="708"/>
          <w:tab w:val="left" w:pos="0" w:leader="none"/>
          <w:tab w:val="left" w:pos="567" w:leader="none"/>
          <w:tab w:val="left" w:pos="716" w:leader="none"/>
          <w:tab w:val="left" w:pos="1134" w:leader="none"/>
        </w:tabs>
        <w:ind w:firstLine="709" w:left="0"/>
        <w:jc w:val="both"/>
        <w:rPr>
          <w:sz w:val="24"/>
          <w:szCs w:val="24"/>
        </w:rPr>
      </w:pPr>
      <w:r>
        <w:rPr>
          <w:sz w:val="24"/>
          <w:szCs w:val="24"/>
        </w:rPr>
        <w:t>Индексация Цены Договора не допускается.</w:t>
      </w:r>
    </w:p>
    <w:p>
      <w:pPr>
        <w:pStyle w:val="Normal"/>
        <w:numPr>
          <w:ilvl w:val="1"/>
          <w:numId w:val="2"/>
        </w:numPr>
        <w:shd w:val="clear" w:color="auto" w:fill="FFFFFF"/>
        <w:tabs>
          <w:tab w:val="clear" w:pos="708"/>
          <w:tab w:val="left" w:pos="0" w:leader="none"/>
          <w:tab w:val="left" w:pos="567" w:leader="none"/>
          <w:tab w:val="left" w:pos="716" w:leader="none"/>
          <w:tab w:val="left" w:pos="1134" w:leader="none"/>
        </w:tabs>
        <w:ind w:firstLine="709" w:left="0"/>
        <w:jc w:val="both"/>
        <w:rPr>
          <w:sz w:val="24"/>
          <w:szCs w:val="24"/>
        </w:rPr>
      </w:pPr>
      <w:r>
        <w:rPr>
          <w:sz w:val="24"/>
          <w:szCs w:val="24"/>
        </w:rPr>
        <w:t>Поставщик обязан представить Покупателю счета-фактуры, выставленные в сроки и оформленные в порядке, установленном законодательством Российской Федерации. В случае нарушения Поставщиком данного требования, он обязан произвести замену счета-фактуры в течение 3 (трех) рабочих дней с даты получения соответствующего письменного требования Покупателя. В случае непредставления Поставщиком в течение 5 (пяти) календарных дней с даты получения авансового платежа счета-фактуры, подтверждающего право Покупателя на вычет НДС, уплаченного дополнительно к такому авансу, Поставщик обязан в тот же срок возвратить Покупателю разницу между суммой, фактически перечисленной Покупателем, и суммой соответствующего авансового платежа, взятого без учета НДС.</w:t>
      </w:r>
    </w:p>
    <w:p>
      <w:pPr>
        <w:pStyle w:val="Normal"/>
        <w:numPr>
          <w:ilvl w:val="1"/>
          <w:numId w:val="2"/>
        </w:numPr>
        <w:shd w:val="clear" w:color="auto" w:fill="FFFFFF"/>
        <w:tabs>
          <w:tab w:val="clear" w:pos="708"/>
          <w:tab w:val="left" w:pos="0" w:leader="none"/>
          <w:tab w:val="left" w:pos="567" w:leader="none"/>
          <w:tab w:val="left" w:pos="716" w:leader="none"/>
          <w:tab w:val="left" w:pos="1134" w:leader="none"/>
        </w:tabs>
        <w:ind w:firstLine="709" w:left="0"/>
        <w:jc w:val="both"/>
        <w:rPr>
          <w:sz w:val="24"/>
          <w:szCs w:val="24"/>
        </w:rPr>
      </w:pPr>
      <w:r>
        <w:rPr>
          <w:sz w:val="24"/>
          <w:szCs w:val="24"/>
        </w:rPr>
        <w:t>Поставщик обязан подписать акты сверки взаимных расчетов, направленные Покупателем в 2 (двух) экземплярах, и вернуть 1 (один) экземпляр Покупателю в течение 5 (пяти) рабочих дней с даты получения экземпляров актов сверки расчетов от Покупателя.</w:t>
      </w:r>
    </w:p>
    <w:p>
      <w:pPr>
        <w:pStyle w:val="ListParagraph"/>
        <w:numPr>
          <w:ilvl w:val="1"/>
          <w:numId w:val="2"/>
        </w:numPr>
        <w:tabs>
          <w:tab w:val="clear" w:pos="708"/>
          <w:tab w:val="left" w:pos="1134" w:leader="none"/>
        </w:tabs>
        <w:ind w:firstLine="709" w:left="0"/>
        <w:jc w:val="both"/>
        <w:rPr>
          <w:sz w:val="24"/>
          <w:szCs w:val="24"/>
        </w:rPr>
      </w:pPr>
      <w:r>
        <w:rPr>
          <w:sz w:val="24"/>
        </w:rPr>
        <w:t xml:space="preserve">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w:t>
      </w:r>
      <w:r>
        <w:rPr>
          <w:iCs/>
          <w:sz w:val="24"/>
          <w:szCs w:val="24"/>
        </w:rPr>
        <w:t>Поставщика перед Покупателем</w:t>
      </w:r>
      <w:r>
        <w:rPr>
          <w:sz w:val="24"/>
        </w:rPr>
        <w:t>,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Товара, поставленного Поставщиком.</w:t>
      </w:r>
    </w:p>
    <w:p>
      <w:pPr>
        <w:pStyle w:val="Normal"/>
        <w:tabs>
          <w:tab w:val="clear" w:pos="708"/>
          <w:tab w:val="left" w:pos="1134" w:leader="none"/>
        </w:tabs>
        <w:ind w:firstLine="709"/>
        <w:jc w:val="both"/>
        <w:rPr>
          <w:sz w:val="24"/>
          <w:szCs w:val="24"/>
        </w:rPr>
      </w:pPr>
      <w:r>
        <w:rPr>
          <w:sz w:val="24"/>
          <w:szCs w:val="24"/>
        </w:rPr>
        <w:t>Покупатель направляет Поставщику уведомление о проведении сальдо взаимных обязательств Сторон по Договору.</w:t>
      </w:r>
    </w:p>
    <w:p>
      <w:pPr>
        <w:pStyle w:val="Normal"/>
        <w:tabs>
          <w:tab w:val="clear" w:pos="708"/>
          <w:tab w:val="left" w:pos="1134" w:leader="none"/>
        </w:tabs>
        <w:ind w:firstLine="709"/>
        <w:jc w:val="both"/>
        <w:rPr>
          <w:sz w:val="24"/>
          <w:szCs w:val="24"/>
        </w:rPr>
      </w:pPr>
      <w:r>
        <w:rPr>
          <w:sz w:val="24"/>
          <w:szCs w:val="24"/>
        </w:rPr>
      </w:r>
    </w:p>
    <w:p>
      <w:pPr>
        <w:pStyle w:val="Normal"/>
        <w:tabs>
          <w:tab w:val="clear" w:pos="708"/>
          <w:tab w:val="left" w:pos="1134" w:leader="none"/>
        </w:tabs>
        <w:ind w:firstLine="709"/>
        <w:jc w:val="both"/>
        <w:rPr>
          <w:sz w:val="24"/>
          <w:szCs w:val="24"/>
        </w:rPr>
      </w:pPr>
      <w:r>
        <w:rPr>
          <w:sz w:val="24"/>
          <w:szCs w:val="24"/>
        </w:rPr>
      </w:r>
    </w:p>
    <w:p>
      <w:pPr>
        <w:pStyle w:val="Normal"/>
        <w:rPr>
          <w:sz w:val="24"/>
          <w:szCs w:val="24"/>
        </w:rPr>
      </w:pPr>
      <w:r>
        <w:rPr>
          <w:sz w:val="24"/>
          <w:szCs w:val="24"/>
        </w:rPr>
      </w:r>
    </w:p>
    <w:p>
      <w:pPr>
        <w:pStyle w:val="Normal"/>
        <w:numPr>
          <w:ilvl w:val="0"/>
          <w:numId w:val="2"/>
        </w:numPr>
        <w:shd w:val="clear" w:color="auto" w:fill="FFFFFF"/>
        <w:tabs>
          <w:tab w:val="clear" w:pos="708"/>
          <w:tab w:val="left" w:pos="284" w:leader="none"/>
        </w:tabs>
        <w:ind w:hanging="0" w:left="0"/>
        <w:jc w:val="center"/>
        <w:rPr>
          <w:b/>
          <w:bCs/>
          <w:sz w:val="24"/>
          <w:szCs w:val="24"/>
        </w:rPr>
      </w:pPr>
      <w:r>
        <w:rPr>
          <w:b/>
          <w:bCs/>
          <w:sz w:val="24"/>
          <w:szCs w:val="24"/>
        </w:rPr>
        <w:t>Порядок поставки и приемки Товара</w:t>
      </w:r>
    </w:p>
    <w:p>
      <w:pPr>
        <w:pStyle w:val="ListParagraph"/>
        <w:widowControl/>
        <w:numPr>
          <w:ilvl w:val="1"/>
          <w:numId w:val="2"/>
        </w:numPr>
        <w:shd w:val="clear" w:color="auto" w:fill="FFFFFF"/>
        <w:tabs>
          <w:tab w:val="clear" w:pos="708"/>
          <w:tab w:val="left" w:pos="1134" w:leader="none"/>
        </w:tabs>
        <w:ind w:firstLine="709" w:left="0"/>
        <w:jc w:val="both"/>
        <w:rPr>
          <w:bCs/>
          <w:sz w:val="24"/>
          <w:szCs w:val="24"/>
        </w:rPr>
      </w:pPr>
      <w:r>
        <w:rPr>
          <w:sz w:val="24"/>
          <w:szCs w:val="24"/>
        </w:rPr>
        <w:t>Поставка Товара осуществляется в Место поставки, указанное в пункте 1.3 Договора.</w:t>
      </w:r>
    </w:p>
    <w:p>
      <w:pPr>
        <w:pStyle w:val="ListParagraph"/>
        <w:widowControl/>
        <w:numPr>
          <w:ilvl w:val="1"/>
          <w:numId w:val="2"/>
        </w:numPr>
        <w:shd w:val="clear" w:color="auto" w:fill="FFFFFF"/>
        <w:tabs>
          <w:tab w:val="clear" w:pos="708"/>
          <w:tab w:val="left" w:pos="1134" w:leader="none"/>
        </w:tabs>
        <w:ind w:firstLine="709" w:left="0"/>
        <w:jc w:val="both"/>
        <w:rPr>
          <w:bCs/>
          <w:sz w:val="24"/>
          <w:szCs w:val="24"/>
        </w:rPr>
      </w:pPr>
      <w:r>
        <w:rPr>
          <w:bCs/>
          <w:sz w:val="24"/>
          <w:szCs w:val="24"/>
        </w:rPr>
        <w:t>Качество, комплектность, количество и ассортимент поставляемого по Договору Товара должны соответствовать требованиям Договора и Покупателя,</w:t>
      </w:r>
      <w:r>
        <w:rPr>
          <w:b/>
          <w:bCs/>
          <w:sz w:val="24"/>
          <w:szCs w:val="24"/>
        </w:rPr>
        <w:t xml:space="preserve"> </w:t>
      </w:r>
      <w:r>
        <w:rPr>
          <w:bCs/>
          <w:sz w:val="24"/>
          <w:szCs w:val="24"/>
        </w:rPr>
        <w:t>в том числе, указанным в Спецификации (Приложение № 1 к Договору), а также Применимого права.</w:t>
      </w:r>
    </w:p>
    <w:p>
      <w:pPr>
        <w:pStyle w:val="ListParagraph"/>
        <w:widowControl/>
        <w:numPr>
          <w:ilvl w:val="1"/>
          <w:numId w:val="2"/>
        </w:numPr>
        <w:shd w:val="clear" w:color="auto" w:fill="FFFFFF"/>
        <w:tabs>
          <w:tab w:val="clear" w:pos="708"/>
          <w:tab w:val="left" w:pos="1134" w:leader="none"/>
        </w:tabs>
        <w:ind w:firstLine="709" w:left="0"/>
        <w:jc w:val="both"/>
        <w:rPr>
          <w:bCs/>
          <w:sz w:val="24"/>
          <w:szCs w:val="24"/>
        </w:rPr>
      </w:pPr>
      <w:r>
        <w:rPr>
          <w:bCs/>
          <w:sz w:val="24"/>
          <w:szCs w:val="24"/>
        </w:rPr>
        <w:t>Поставляемый Товар должен быть новым, не бывшим в употреблении, пригодным для использования по своему назначению. Поставщик гарантирует, что Товар принадлежит ему на законном основании, в споре, залоге или под арестом не состоит, и не обременен правами третьих лиц.</w:t>
      </w:r>
    </w:p>
    <w:p>
      <w:pPr>
        <w:pStyle w:val="ListParagraph"/>
        <w:widowControl/>
        <w:numPr>
          <w:ilvl w:val="1"/>
          <w:numId w:val="2"/>
        </w:numPr>
        <w:shd w:val="clear" w:color="auto" w:fill="FFFFFF"/>
        <w:tabs>
          <w:tab w:val="clear" w:pos="708"/>
          <w:tab w:val="left" w:pos="1134" w:leader="none"/>
        </w:tabs>
        <w:ind w:firstLine="709" w:left="0"/>
        <w:jc w:val="both"/>
        <w:rPr>
          <w:bCs/>
          <w:sz w:val="24"/>
          <w:szCs w:val="24"/>
        </w:rPr>
      </w:pPr>
      <w:r>
        <w:rPr>
          <w:bCs/>
          <w:sz w:val="24"/>
          <w:szCs w:val="24"/>
        </w:rPr>
        <w:t xml:space="preserve">Одновременно с передачей Товара Поставщик обязан передать Покупателю оригиналы следующих относящихся к Товару документов: </w:t>
      </w:r>
    </w:p>
    <w:p>
      <w:pPr>
        <w:pStyle w:val="Normal"/>
        <w:numPr>
          <w:ilvl w:val="0"/>
          <w:numId w:val="4"/>
        </w:numPr>
        <w:tabs>
          <w:tab w:val="clear" w:pos="708"/>
          <w:tab w:val="left" w:pos="1418" w:leader="none"/>
        </w:tabs>
        <w:ind w:firstLine="709" w:left="0"/>
        <w:jc w:val="both"/>
        <w:rPr>
          <w:sz w:val="24"/>
          <w:szCs w:val="24"/>
        </w:rPr>
      </w:pPr>
      <w:r>
        <w:rPr>
          <w:sz w:val="24"/>
          <w:szCs w:val="24"/>
        </w:rPr>
        <w:t>сертификат качества в 1 (одном) экз.;</w:t>
      </w:r>
    </w:p>
    <w:p>
      <w:pPr>
        <w:pStyle w:val="Normal"/>
        <w:numPr>
          <w:ilvl w:val="0"/>
          <w:numId w:val="4"/>
        </w:numPr>
        <w:tabs>
          <w:tab w:val="clear" w:pos="708"/>
          <w:tab w:val="left" w:pos="1418" w:leader="none"/>
        </w:tabs>
        <w:ind w:firstLine="709" w:left="0"/>
        <w:jc w:val="both"/>
        <w:rPr>
          <w:sz w:val="24"/>
          <w:szCs w:val="24"/>
        </w:rPr>
      </w:pPr>
      <w:r>
        <w:rPr>
          <w:sz w:val="24"/>
          <w:szCs w:val="24"/>
        </w:rPr>
        <w:t>технический паспорт на русском языке в 1 (одном) экз.;</w:t>
      </w:r>
    </w:p>
    <w:p>
      <w:pPr>
        <w:pStyle w:val="Normal"/>
        <w:numPr>
          <w:ilvl w:val="0"/>
          <w:numId w:val="4"/>
        </w:numPr>
        <w:tabs>
          <w:tab w:val="clear" w:pos="708"/>
          <w:tab w:val="left" w:pos="1418" w:leader="none"/>
        </w:tabs>
        <w:ind w:firstLine="709" w:left="0"/>
        <w:jc w:val="both"/>
        <w:rPr>
          <w:sz w:val="24"/>
          <w:szCs w:val="24"/>
        </w:rPr>
      </w:pPr>
      <w:r>
        <w:rPr>
          <w:sz w:val="24"/>
          <w:szCs w:val="24"/>
        </w:rPr>
        <w:t>инструкция по эксплуатации на русском языке в 1 (одном)экз.;</w:t>
      </w:r>
    </w:p>
    <w:p>
      <w:pPr>
        <w:pStyle w:val="Normal"/>
        <w:numPr>
          <w:ilvl w:val="0"/>
          <w:numId w:val="4"/>
        </w:numPr>
        <w:tabs>
          <w:tab w:val="clear" w:pos="708"/>
          <w:tab w:val="left" w:pos="1418" w:leader="none"/>
        </w:tabs>
        <w:ind w:firstLine="709" w:left="0"/>
        <w:jc w:val="both"/>
        <w:rPr>
          <w:sz w:val="24"/>
          <w:szCs w:val="24"/>
        </w:rPr>
      </w:pPr>
      <w:r>
        <w:rPr>
          <w:sz w:val="24"/>
          <w:szCs w:val="24"/>
        </w:rPr>
        <w:t>упаковочный лист в 1 (одном) экз.;</w:t>
      </w:r>
    </w:p>
    <w:p>
      <w:pPr>
        <w:pStyle w:val="Normal"/>
        <w:numPr>
          <w:ilvl w:val="0"/>
          <w:numId w:val="3"/>
        </w:numPr>
        <w:tabs>
          <w:tab w:val="clear" w:pos="708"/>
          <w:tab w:val="left" w:pos="1418" w:leader="none"/>
        </w:tabs>
        <w:ind w:firstLine="709" w:left="0"/>
        <w:jc w:val="both"/>
        <w:rPr>
          <w:sz w:val="24"/>
          <w:szCs w:val="24"/>
        </w:rPr>
      </w:pPr>
      <w:r>
        <w:rPr>
          <w:sz w:val="24"/>
          <w:szCs w:val="24"/>
        </w:rPr>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сертификат о происхождении товара и т.п.) в зависимости от номенклатуры поставляемого Товара;</w:t>
      </w:r>
    </w:p>
    <w:p>
      <w:pPr>
        <w:pStyle w:val="Normal"/>
        <w:numPr>
          <w:ilvl w:val="0"/>
          <w:numId w:val="3"/>
        </w:numPr>
        <w:shd w:val="clear" w:color="auto" w:fill="FFFFFF"/>
        <w:tabs>
          <w:tab w:val="clear" w:pos="708"/>
          <w:tab w:val="left" w:pos="1418" w:leader="none"/>
        </w:tabs>
        <w:ind w:firstLine="709" w:left="0"/>
        <w:jc w:val="both"/>
        <w:rPr>
          <w:sz w:val="24"/>
          <w:szCs w:val="24"/>
        </w:rPr>
      </w:pPr>
      <w:r>
        <w:rPr>
          <w:sz w:val="24"/>
          <w:szCs w:val="24"/>
        </w:rPr>
        <w:t>товарно-транспортная накладная формы № 1-Т (для учета товарно-материальных ценностей и расчетов за их перевозки) или транспортная железнодорожная накладная (форма № ГУ-27) в 2 (двух) экз.;</w:t>
      </w:r>
    </w:p>
    <w:p>
      <w:pPr>
        <w:pStyle w:val="Normal"/>
        <w:numPr>
          <w:ilvl w:val="0"/>
          <w:numId w:val="3"/>
        </w:numPr>
        <w:shd w:val="clear" w:color="auto" w:fill="FFFFFF"/>
        <w:tabs>
          <w:tab w:val="clear" w:pos="708"/>
          <w:tab w:val="left" w:pos="1418" w:leader="none"/>
        </w:tabs>
        <w:ind w:firstLine="709" w:left="0"/>
        <w:jc w:val="both"/>
        <w:rPr>
          <w:sz w:val="24"/>
          <w:szCs w:val="24"/>
        </w:rPr>
      </w:pPr>
      <w:r>
        <w:rPr>
          <w:sz w:val="24"/>
          <w:szCs w:val="24"/>
        </w:rPr>
        <w:t>накладная ТОРГ-12 в 2 (двух) экз.</w:t>
      </w:r>
    </w:p>
    <w:p>
      <w:pPr>
        <w:pStyle w:val="ListParagraph"/>
        <w:widowControl/>
        <w:numPr>
          <w:ilvl w:val="1"/>
          <w:numId w:val="2"/>
        </w:numPr>
        <w:shd w:val="clear" w:color="auto" w:fill="FFFFFF"/>
        <w:tabs>
          <w:tab w:val="clear" w:pos="708"/>
          <w:tab w:val="left" w:pos="1134" w:leader="none"/>
          <w:tab w:val="left" w:pos="1418" w:leader="none"/>
        </w:tabs>
        <w:ind w:firstLine="709" w:left="0"/>
        <w:jc w:val="both"/>
        <w:rPr>
          <w:bCs/>
          <w:sz w:val="24"/>
          <w:szCs w:val="24"/>
        </w:rPr>
      </w:pPr>
      <w:r>
        <w:rPr>
          <w:bCs/>
          <w:sz w:val="24"/>
          <w:szCs w:val="24"/>
        </w:rPr>
        <w:t xml:space="preserve">Поставщик обязан обеспечить присутствие во время приемки Товара и в Месте поставки своего представителя, уполномоченного надлежащим образом оформленной доверенностью на передачу Товара Покупателю, подписание Акта рекламации. При отсутствии представителя Поставщика или отсутствии у такого представителя надлежащим образом оформленной доверенности Покупатель вправе отказаться от приемки Товара, при этом такой отказ не будет являться нарушением обязательств Покупателя по Договору. Стороны будут рассматривать неявку представителя Поставщика как просрочку поставки. </w:t>
      </w:r>
    </w:p>
    <w:p>
      <w:pPr>
        <w:pStyle w:val="ListParagraph"/>
        <w:shd w:val="clear" w:color="auto" w:fill="FFFFFF"/>
        <w:tabs>
          <w:tab w:val="clear" w:pos="708"/>
          <w:tab w:val="left" w:pos="1134" w:leader="none"/>
          <w:tab w:val="left" w:pos="1418" w:leader="none"/>
        </w:tabs>
        <w:ind w:firstLine="709" w:left="0"/>
        <w:jc w:val="both"/>
        <w:rPr>
          <w:bCs/>
          <w:sz w:val="24"/>
          <w:szCs w:val="24"/>
        </w:rPr>
      </w:pPr>
      <w:r>
        <w:rPr>
          <w:bCs/>
          <w:sz w:val="24"/>
          <w:szCs w:val="24"/>
        </w:rPr>
        <w:t>Оригинал доверенности представителя Поставщика подлежит передаче Покупателю.</w:t>
      </w:r>
    </w:p>
    <w:p>
      <w:pPr>
        <w:pStyle w:val="ListParagraph"/>
        <w:widowControl/>
        <w:numPr>
          <w:ilvl w:val="1"/>
          <w:numId w:val="2"/>
        </w:numPr>
        <w:shd w:val="clear" w:color="auto" w:fill="FFFFFF"/>
        <w:tabs>
          <w:tab w:val="clear" w:pos="708"/>
          <w:tab w:val="left" w:pos="1134" w:leader="none"/>
          <w:tab w:val="left" w:pos="1418" w:leader="none"/>
        </w:tabs>
        <w:ind w:firstLine="709" w:left="0"/>
        <w:jc w:val="both"/>
        <w:rPr>
          <w:bCs/>
          <w:sz w:val="24"/>
          <w:szCs w:val="24"/>
        </w:rPr>
      </w:pPr>
      <w:r>
        <w:rPr>
          <w:bCs/>
          <w:sz w:val="24"/>
          <w:szCs w:val="24"/>
        </w:rPr>
        <w:t>В случае неявки представителя Поставщика и / или его отказа от подписания Акта рекламации при приемке Товара, составленный и подписанный Покупателем в одностороннем порядке Акт рекламации будет являться достаточным основанием для применения к Поставщику мер ответственности, установленных Договором.</w:t>
      </w:r>
    </w:p>
    <w:p>
      <w:pPr>
        <w:pStyle w:val="ListParagraph"/>
        <w:widowControl/>
        <w:numPr>
          <w:ilvl w:val="1"/>
          <w:numId w:val="2"/>
        </w:numPr>
        <w:shd w:val="clear" w:color="auto" w:fill="FFFFFF"/>
        <w:tabs>
          <w:tab w:val="clear" w:pos="708"/>
          <w:tab w:val="left" w:pos="1134" w:leader="none"/>
          <w:tab w:val="left" w:pos="1418" w:leader="none"/>
        </w:tabs>
        <w:ind w:firstLine="709" w:left="0"/>
        <w:jc w:val="both"/>
        <w:rPr>
          <w:bCs/>
          <w:sz w:val="24"/>
          <w:szCs w:val="24"/>
        </w:rPr>
      </w:pPr>
      <w:bookmarkStart w:id="1" w:name="_Ref361408474"/>
      <w:r>
        <w:rPr>
          <w:bCs/>
          <w:sz w:val="24"/>
          <w:szCs w:val="24"/>
        </w:rPr>
        <w:t>Товар должен отгружаться Поставщиком в таре и упаковке, обеспечивающих полную сохранность Товара от всякого рода повреждений и порчи, с учетом возможных перегрузок и длительного хранения.</w:t>
      </w:r>
      <w:bookmarkEnd w:id="1"/>
      <w:r>
        <w:rPr>
          <w:bCs/>
          <w:sz w:val="24"/>
          <w:szCs w:val="24"/>
        </w:rPr>
        <w:t xml:space="preserve"> Поставщик обязан сообщить Покупателю условия длительного хранения поставленного Товара (допускается определение условий хранения в сопроводительных документах). </w:t>
      </w:r>
    </w:p>
    <w:p>
      <w:pPr>
        <w:pStyle w:val="ListParagraph"/>
        <w:shd w:val="clear" w:color="auto" w:fill="FFFFFF"/>
        <w:tabs>
          <w:tab w:val="clear" w:pos="708"/>
          <w:tab w:val="left" w:pos="1418" w:leader="none"/>
        </w:tabs>
        <w:ind w:firstLine="709" w:left="0"/>
        <w:jc w:val="both"/>
        <w:rPr>
          <w:bCs/>
          <w:sz w:val="24"/>
          <w:szCs w:val="24"/>
        </w:rPr>
      </w:pPr>
      <w:r>
        <w:rPr>
          <w:bCs/>
          <w:sz w:val="24"/>
          <w:szCs w:val="24"/>
        </w:rPr>
        <w:t xml:space="preserve">Отдельные требования к упаковке и маркировке негабаритного Товара, </w:t>
        <w:br/>
        <w:t xml:space="preserve">а также любые другие специальные требования, помимо установленных в настоящем пункте Договора, указываются Сторонами в Спецификации (Приложение № 1 к Договору). </w:t>
      </w:r>
    </w:p>
    <w:p>
      <w:pPr>
        <w:pStyle w:val="ListParagraph"/>
        <w:shd w:val="clear" w:color="auto" w:fill="FFFFFF"/>
        <w:tabs>
          <w:tab w:val="clear" w:pos="708"/>
          <w:tab w:val="left" w:pos="1418" w:leader="none"/>
        </w:tabs>
        <w:ind w:firstLine="709" w:left="0"/>
        <w:jc w:val="both"/>
        <w:rPr>
          <w:bCs/>
          <w:sz w:val="24"/>
          <w:szCs w:val="24"/>
        </w:rPr>
      </w:pPr>
      <w:r>
        <w:rPr>
          <w:bCs/>
          <w:sz w:val="24"/>
          <w:szCs w:val="24"/>
        </w:rPr>
        <w:t xml:space="preserve">Стоимость тары и упаковки включена в стоимость Товара. Тара и упаковка возврату </w:t>
        <w:br/>
        <w:t xml:space="preserve">не подлежат. </w:t>
      </w:r>
    </w:p>
    <w:p>
      <w:pPr>
        <w:pStyle w:val="ListParagraph"/>
        <w:widowControl/>
        <w:numPr>
          <w:ilvl w:val="1"/>
          <w:numId w:val="2"/>
        </w:numPr>
        <w:shd w:val="clear" w:color="auto" w:fill="FFFFFF"/>
        <w:tabs>
          <w:tab w:val="clear" w:pos="708"/>
          <w:tab w:val="left" w:pos="1134" w:leader="none"/>
          <w:tab w:val="left" w:pos="1418" w:leader="none"/>
        </w:tabs>
        <w:ind w:firstLine="709" w:left="0"/>
        <w:jc w:val="both"/>
        <w:rPr>
          <w:sz w:val="24"/>
          <w:szCs w:val="24"/>
        </w:rPr>
      </w:pPr>
      <w:r>
        <w:rPr>
          <w:sz w:val="24"/>
          <w:szCs w:val="24"/>
        </w:rPr>
        <w:t xml:space="preserve">Погрузка, доставка, разгрузка </w:t>
      </w:r>
      <w:r>
        <w:rPr>
          <w:bCs/>
          <w:sz w:val="24"/>
          <w:szCs w:val="24"/>
        </w:rPr>
        <w:t>осуществляется</w:t>
      </w:r>
      <w:r>
        <w:rPr>
          <w:sz w:val="24"/>
          <w:szCs w:val="24"/>
        </w:rPr>
        <w:t xml:space="preserve"> Поставщиком. Стоимость погрузки, доставки, разгрузки включена в стоимость Товара.</w:t>
      </w:r>
    </w:p>
    <w:p>
      <w:pPr>
        <w:pStyle w:val="ListParagraph"/>
        <w:widowControl/>
        <w:numPr>
          <w:ilvl w:val="1"/>
          <w:numId w:val="2"/>
        </w:numPr>
        <w:shd w:val="clear" w:color="auto" w:fill="FFFFFF"/>
        <w:tabs>
          <w:tab w:val="clear" w:pos="708"/>
          <w:tab w:val="left" w:pos="1134" w:leader="none"/>
        </w:tabs>
        <w:ind w:firstLine="709" w:left="0"/>
        <w:jc w:val="both"/>
        <w:rPr>
          <w:sz w:val="24"/>
          <w:szCs w:val="24"/>
        </w:rPr>
      </w:pPr>
      <w:r>
        <w:rPr>
          <w:sz w:val="24"/>
          <w:szCs w:val="24"/>
        </w:rPr>
        <w:t xml:space="preserve">Досрочная поставка Товара допускается только при условии получения Поставщиком письменного согласия Покупателя. </w:t>
      </w:r>
    </w:p>
    <w:p>
      <w:pPr>
        <w:pStyle w:val="ListParagraph"/>
        <w:widowControl/>
        <w:numPr>
          <w:ilvl w:val="1"/>
          <w:numId w:val="2"/>
        </w:numPr>
        <w:shd w:val="clear" w:color="auto" w:fill="FFFFFF"/>
        <w:tabs>
          <w:tab w:val="clear" w:pos="708"/>
          <w:tab w:val="left" w:pos="1418" w:leader="none"/>
        </w:tabs>
        <w:ind w:firstLine="709" w:left="0"/>
        <w:jc w:val="both"/>
        <w:rPr>
          <w:sz w:val="24"/>
          <w:szCs w:val="24"/>
        </w:rPr>
      </w:pPr>
      <w:bookmarkStart w:id="2" w:name="_Ref361396594"/>
      <w:r>
        <w:rPr>
          <w:sz w:val="24"/>
          <w:szCs w:val="24"/>
        </w:rPr>
        <w:t xml:space="preserve">Датой поставки Товара является дата подписания Сторонами накладной </w:t>
        <w:br/>
        <w:t>ТОРГ-12.</w:t>
      </w:r>
      <w:bookmarkEnd w:id="2"/>
      <w:r>
        <w:rPr>
          <w:sz w:val="24"/>
          <w:szCs w:val="24"/>
        </w:rPr>
        <w:t xml:space="preserve"> </w:t>
      </w:r>
    </w:p>
    <w:p>
      <w:pPr>
        <w:pStyle w:val="ListParagraph"/>
        <w:widowControl/>
        <w:numPr>
          <w:ilvl w:val="1"/>
          <w:numId w:val="2"/>
        </w:numPr>
        <w:shd w:val="clear" w:color="auto" w:fill="FFFFFF"/>
        <w:tabs>
          <w:tab w:val="clear" w:pos="708"/>
          <w:tab w:val="left" w:pos="1418" w:leader="none"/>
        </w:tabs>
        <w:ind w:firstLine="709" w:left="0"/>
        <w:jc w:val="both"/>
        <w:rPr>
          <w:sz w:val="24"/>
          <w:szCs w:val="24"/>
        </w:rPr>
      </w:pPr>
      <w:r>
        <w:rPr>
          <w:sz w:val="24"/>
          <w:szCs w:val="24"/>
        </w:rPr>
        <w:t xml:space="preserve">Приемка Товара по количеству тар и упаковок, в которых производилась отгрузка Товара, осуществляется Покупателем в день поставки в присутствии представителя Поставщика согласно представленным транспортным и сопроводительным документам, указанным в пункте 3.4 Договора. По результатам проверки количества упаковочных мест Покупатель подписывает представленные транспортные документы. </w:t>
      </w:r>
    </w:p>
    <w:p>
      <w:pPr>
        <w:pStyle w:val="ListParagraph"/>
        <w:widowControl/>
        <w:numPr>
          <w:ilvl w:val="1"/>
          <w:numId w:val="2"/>
        </w:numPr>
        <w:shd w:val="clear" w:color="auto" w:fill="FFFFFF"/>
        <w:tabs>
          <w:tab w:val="clear" w:pos="708"/>
          <w:tab w:val="left" w:pos="1418" w:leader="none"/>
        </w:tabs>
        <w:ind w:firstLine="709" w:left="0"/>
        <w:jc w:val="both"/>
        <w:rPr>
          <w:sz w:val="24"/>
          <w:szCs w:val="24"/>
        </w:rPr>
      </w:pPr>
      <w:r>
        <w:rPr>
          <w:sz w:val="24"/>
          <w:szCs w:val="24"/>
        </w:rPr>
        <w:t xml:space="preserve">При обнаружении фактов некомплектности, недопоставки Товара, отсутствия необходимых принадлежностей и / или документов, относящихся к Товару, Покупатель вправе прекратить приемку Товара до момента устранения выявленных нарушений. Поставщик обязан в течение 5 (пяти) календарных дней с даты выявления указанных нарушений представить Покупателю необходимые принадлежности и / или документы, а также восполнить недопоставку Товара в срок, письменно согласованный с Покупателем. </w:t>
      </w:r>
    </w:p>
    <w:p>
      <w:pPr>
        <w:pStyle w:val="ListParagraph"/>
        <w:shd w:val="clear" w:color="auto" w:fill="FFFFFF"/>
        <w:tabs>
          <w:tab w:val="clear" w:pos="708"/>
          <w:tab w:val="left" w:pos="1418" w:leader="none"/>
        </w:tabs>
        <w:ind w:firstLine="709" w:left="0"/>
        <w:jc w:val="both"/>
        <w:rPr>
          <w:sz w:val="24"/>
          <w:szCs w:val="24"/>
        </w:rPr>
      </w:pPr>
      <w:bookmarkStart w:id="3" w:name="_Ref361408232"/>
      <w:r>
        <w:rPr>
          <w:sz w:val="24"/>
          <w:szCs w:val="24"/>
        </w:rPr>
        <w:t>Устранение допущенных нарушений не освобождает Поставщика от ответственности за убытки, причиненные Покупателю нарушением условий поставки.</w:t>
      </w:r>
      <w:bookmarkEnd w:id="3"/>
      <w:r>
        <w:rPr>
          <w:sz w:val="24"/>
          <w:szCs w:val="24"/>
        </w:rPr>
        <w:t xml:space="preserve"> </w:t>
      </w:r>
    </w:p>
    <w:p>
      <w:pPr>
        <w:pStyle w:val="ListParagraph"/>
        <w:widowControl/>
        <w:numPr>
          <w:ilvl w:val="1"/>
          <w:numId w:val="2"/>
        </w:numPr>
        <w:shd w:val="clear" w:color="auto" w:fill="FFFFFF"/>
        <w:tabs>
          <w:tab w:val="clear" w:pos="708"/>
          <w:tab w:val="left" w:pos="1418" w:leader="none"/>
        </w:tabs>
        <w:ind w:firstLine="709" w:left="0"/>
        <w:jc w:val="both"/>
        <w:rPr>
          <w:sz w:val="24"/>
          <w:szCs w:val="24"/>
        </w:rPr>
      </w:pPr>
      <w:r>
        <w:rPr>
          <w:sz w:val="24"/>
          <w:szCs w:val="24"/>
        </w:rPr>
        <w:t xml:space="preserve">Приемка Товара со вскрытием тары и упаковки производится Покупателем в присутствии представителя Поставщика в течение 10 (десяти) рабочих дней </w:t>
        <w:br/>
        <w:t>с даты подписания Покупателем транспортных документов. В случае отсутствия замечаний Покупатель подписывает накладную ТОРГ-12.</w:t>
      </w:r>
    </w:p>
    <w:p>
      <w:pPr>
        <w:pStyle w:val="Normal"/>
        <w:numPr>
          <w:ilvl w:val="1"/>
          <w:numId w:val="2"/>
        </w:numPr>
        <w:shd w:val="clear" w:color="auto" w:fill="FFFFFF"/>
        <w:tabs>
          <w:tab w:val="clear" w:pos="708"/>
          <w:tab w:val="left" w:pos="568" w:leader="none"/>
          <w:tab w:val="left" w:pos="1134" w:leader="none"/>
          <w:tab w:val="left" w:pos="1418" w:leader="none"/>
        </w:tabs>
        <w:ind w:firstLine="709" w:left="0"/>
        <w:jc w:val="both"/>
        <w:rPr>
          <w:sz w:val="24"/>
          <w:szCs w:val="24"/>
        </w:rPr>
      </w:pPr>
      <w:r>
        <w:rPr>
          <w:sz w:val="24"/>
          <w:szCs w:val="24"/>
        </w:rPr>
        <w:t xml:space="preserve">В случае обнаружения внутри тары и упаковки недопоставки, некомплектности, недостатков, несоответствий и / или дефектов Товара, а также в случае отсутствия необходимых принадлежностей, относящихся к Товару, Стороны составляют Акт рекламации. В Акте рекламации Сторонами указываются, в том числе, сроки и способ устранения недостатков, несоответствий и / или дефектов Товара. </w:t>
      </w:r>
    </w:p>
    <w:p>
      <w:pPr>
        <w:pStyle w:val="Normal"/>
        <w:shd w:val="clear" w:color="auto" w:fill="FFFFFF"/>
        <w:tabs>
          <w:tab w:val="clear" w:pos="708"/>
          <w:tab w:val="left" w:pos="1134" w:leader="none"/>
          <w:tab w:val="left" w:pos="1418" w:leader="none"/>
          <w:tab w:val="left" w:pos="1851" w:leader="none"/>
        </w:tabs>
        <w:ind w:firstLine="709"/>
        <w:jc w:val="both"/>
        <w:rPr>
          <w:sz w:val="24"/>
          <w:szCs w:val="24"/>
        </w:rPr>
      </w:pPr>
      <w:r>
        <w:rPr>
          <w:sz w:val="24"/>
          <w:szCs w:val="24"/>
        </w:rPr>
        <w:t>Поставщик обязан своими силами и за свой счет устранить выявленные недостатки, несоответствия и / или дефекты Товара, в том числе путем его замены на новый, в течение 10 (десяти) календарных дней со дня составления Сторонами Акта рекламации, если иной способ и сроки не согласованы Сторонами. После устранения недостатков, несоответствий и / или дефектов Товара его приемка осуществляется в соответствии с настоящим разделом Договора.</w:t>
      </w:r>
    </w:p>
    <w:p>
      <w:pPr>
        <w:pStyle w:val="Normal"/>
        <w:shd w:val="clear" w:color="auto" w:fill="FFFFFF"/>
        <w:tabs>
          <w:tab w:val="clear" w:pos="708"/>
          <w:tab w:val="left" w:pos="1134" w:leader="none"/>
          <w:tab w:val="left" w:pos="1418" w:leader="none"/>
          <w:tab w:val="left" w:pos="1851" w:leader="none"/>
        </w:tabs>
        <w:ind w:firstLine="709"/>
        <w:jc w:val="both"/>
        <w:rPr>
          <w:sz w:val="24"/>
          <w:szCs w:val="24"/>
        </w:rPr>
      </w:pPr>
      <w:r>
        <w:rPr>
          <w:sz w:val="24"/>
          <w:szCs w:val="24"/>
        </w:rPr>
        <w:t>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 а Поставщик лишается права ссылаться на отсутствие платежа при просрочке поставки Товара.</w:t>
      </w:r>
    </w:p>
    <w:p>
      <w:pPr>
        <w:pStyle w:val="Normal"/>
        <w:numPr>
          <w:ilvl w:val="1"/>
          <w:numId w:val="2"/>
        </w:numPr>
        <w:shd w:val="clear" w:color="auto" w:fill="FFFFFF"/>
        <w:tabs>
          <w:tab w:val="clear" w:pos="708"/>
          <w:tab w:val="left" w:pos="1418" w:leader="none"/>
        </w:tabs>
        <w:ind w:firstLine="709" w:left="0"/>
        <w:jc w:val="both"/>
        <w:rPr>
          <w:sz w:val="24"/>
          <w:szCs w:val="24"/>
        </w:rPr>
      </w:pPr>
      <w:r>
        <w:rPr>
          <w:sz w:val="24"/>
          <w:szCs w:val="24"/>
        </w:rPr>
        <w:t>В случае неисполнения Поставщиком обязательств по устранению выявленных недостатков, несоответствий и / или дефектов Товара в порядке, предусмотренном пунктами 3.12, 3.14 Договора, Покупатель вправе отказаться от приемки Товара, направив соответствующее письменное уведомление Поставщику. Поставщик не позднее 5 (пяти) рабочих дней с даты получения уведомления обязан обеспечить вывоз Товара, от которого отказался Покупатель, возвратить его стоимость (ранее полученный авансовый платеж), а также возместить убытки, причиненные Покупателю ненадлежащим исполнением Договора, в том числе расходы на хранение Товара.</w:t>
      </w:r>
    </w:p>
    <w:p>
      <w:pPr>
        <w:pStyle w:val="Normal"/>
        <w:shd w:val="clear" w:color="auto" w:fill="FFFFFF"/>
        <w:tabs>
          <w:tab w:val="clear" w:pos="708"/>
          <w:tab w:val="left" w:pos="1283" w:leader="none"/>
          <w:tab w:val="left" w:pos="1851" w:leader="none"/>
        </w:tabs>
        <w:ind w:firstLine="709"/>
        <w:jc w:val="both"/>
        <w:rPr>
          <w:sz w:val="24"/>
          <w:szCs w:val="24"/>
        </w:rPr>
      </w:pPr>
      <w:r>
        <w:rPr>
          <w:sz w:val="24"/>
          <w:szCs w:val="24"/>
        </w:rPr>
        <w:t>Если Поставщик не вывезет Товар в указанный срок, Покупатель вправе самостоятельно возвратить Товар Поставщику. Расходы, понесенные Покупателем в связи с возвратом Товара, подлежат возмещению Поставщиком.</w:t>
      </w:r>
    </w:p>
    <w:p>
      <w:pPr>
        <w:pStyle w:val="ListParagraph"/>
        <w:widowControl/>
        <w:numPr>
          <w:ilvl w:val="1"/>
          <w:numId w:val="2"/>
        </w:numPr>
        <w:shd w:val="clear" w:color="auto" w:fill="FFFFFF"/>
        <w:tabs>
          <w:tab w:val="clear" w:pos="708"/>
          <w:tab w:val="left" w:pos="1134" w:leader="none"/>
          <w:tab w:val="left" w:pos="1418" w:leader="none"/>
        </w:tabs>
        <w:ind w:firstLine="709" w:left="0"/>
        <w:jc w:val="both"/>
        <w:rPr>
          <w:b/>
          <w:color w:val="000000"/>
          <w:sz w:val="24"/>
          <w:szCs w:val="24"/>
        </w:rPr>
      </w:pPr>
      <w:r>
        <w:rPr>
          <w:sz w:val="24"/>
          <w:szCs w:val="24"/>
        </w:rPr>
        <w:t>По иным вопросам, касающимся приемки Товара по количеству, качеству и комплектности, в части не противоречащей законодательству Российской Федерации и условиям Договора, Стороны руководствуются Инструкцией Госарбитража при Совете Министров СССР от 15.06.1965 № П-6 (за исключением пунктов 18, 21, 29-32), Инструкцией Госарбитража при Совете Министров СССР от 25.04.1966 № П-7 (за исключением пунктов 20, 23, абз.3 пункта 30, 35, 38-42).</w:t>
      </w:r>
      <w:r>
        <w:rPr>
          <w:b/>
          <w:bCs/>
          <w:color w:val="000000"/>
          <w:sz w:val="24"/>
          <w:szCs w:val="24"/>
        </w:rPr>
        <w:t xml:space="preserve"> </w:t>
      </w:r>
    </w:p>
    <w:p>
      <w:pPr>
        <w:pStyle w:val="ListParagraph"/>
        <w:widowControl/>
        <w:numPr>
          <w:ilvl w:val="1"/>
          <w:numId w:val="2"/>
        </w:numPr>
        <w:shd w:val="clear" w:color="auto" w:fill="FFFFFF"/>
        <w:tabs>
          <w:tab w:val="clear" w:pos="708"/>
          <w:tab w:val="left" w:pos="1134" w:leader="none"/>
          <w:tab w:val="left" w:pos="1418" w:leader="none"/>
        </w:tabs>
        <w:ind w:firstLine="709" w:left="0"/>
        <w:jc w:val="both"/>
        <w:rPr>
          <w:sz w:val="24"/>
          <w:szCs w:val="24"/>
        </w:rPr>
      </w:pPr>
      <w:r>
        <w:rPr>
          <w:sz w:val="24"/>
          <w:szCs w:val="24"/>
        </w:rPr>
        <w:t>Право собственности на Товар, а также риск его случайной гибели или случайного повреждения переходит от Поставщика к Покупателю с момента подписания Сторонами накладной ТОРГ-12.</w:t>
      </w:r>
    </w:p>
    <w:p>
      <w:pPr>
        <w:pStyle w:val="Normal"/>
        <w:shd w:val="clear" w:color="auto" w:fill="FFFFFF"/>
        <w:jc w:val="both"/>
        <w:rPr>
          <w:sz w:val="24"/>
          <w:szCs w:val="24"/>
        </w:rPr>
      </w:pPr>
      <w:r>
        <w:rPr>
          <w:sz w:val="24"/>
          <w:szCs w:val="24"/>
        </w:rPr>
      </w:r>
    </w:p>
    <w:p>
      <w:pPr>
        <w:pStyle w:val="ListParagraph"/>
        <w:numPr>
          <w:ilvl w:val="0"/>
          <w:numId w:val="2"/>
        </w:numPr>
        <w:shd w:val="clear" w:color="auto" w:fill="FFFFFF"/>
        <w:tabs>
          <w:tab w:val="clear" w:pos="708"/>
          <w:tab w:val="left" w:pos="284" w:leader="none"/>
        </w:tabs>
        <w:ind w:hanging="0" w:left="0"/>
        <w:jc w:val="center"/>
        <w:rPr>
          <w:b/>
          <w:sz w:val="24"/>
          <w:szCs w:val="24"/>
        </w:rPr>
      </w:pPr>
      <w:r>
        <w:rPr>
          <w:b/>
          <w:sz w:val="24"/>
          <w:szCs w:val="24"/>
        </w:rPr>
        <w:t>Гарантийный срок</w:t>
      </w:r>
    </w:p>
    <w:p>
      <w:pPr>
        <w:pStyle w:val="ListParagraph"/>
        <w:numPr>
          <w:ilvl w:val="1"/>
          <w:numId w:val="2"/>
        </w:numPr>
        <w:tabs>
          <w:tab w:val="clear" w:pos="708"/>
          <w:tab w:val="left" w:pos="709" w:leader="none"/>
          <w:tab w:val="left" w:pos="1134" w:leader="none"/>
        </w:tabs>
        <w:ind w:firstLine="709" w:left="0"/>
        <w:jc w:val="both"/>
        <w:rPr>
          <w:sz w:val="24"/>
          <w:szCs w:val="24"/>
        </w:rPr>
      </w:pPr>
      <w:r>
        <w:rPr>
          <w:sz w:val="24"/>
          <w:szCs w:val="24"/>
        </w:rPr>
        <w:t>Гарантийный срок на Товар, поставленный по Договору, составляет 12 (двенадцать) месяцев и начинает течь с даты подписания Сторонами накладной ТОРГ-12.</w:t>
      </w:r>
      <w:r>
        <w:rPr/>
        <w:t xml:space="preserve"> </w:t>
      </w:r>
      <w:r>
        <w:rPr>
          <w:sz w:val="24"/>
          <w:szCs w:val="24"/>
        </w:rPr>
        <w:t xml:space="preserve">Гарантийный срок может быть продлен в соответствии с условиями Договора. </w:t>
      </w:r>
    </w:p>
    <w:p>
      <w:pPr>
        <w:pStyle w:val="ListParagraph"/>
        <w:tabs>
          <w:tab w:val="clear" w:pos="708"/>
          <w:tab w:val="left" w:pos="1134" w:leader="none"/>
          <w:tab w:val="left" w:pos="1851" w:leader="none"/>
        </w:tabs>
        <w:ind w:firstLine="709" w:left="0"/>
        <w:jc w:val="both"/>
        <w:rPr>
          <w:sz w:val="24"/>
          <w:szCs w:val="24"/>
        </w:rPr>
      </w:pPr>
      <w:r>
        <w:rPr>
          <w:sz w:val="24"/>
          <w:szCs w:val="24"/>
        </w:rPr>
        <w:t>Установленный в отношении Товара гарантийный срок распространяется на все составные части и комплектующие Товара.</w:t>
      </w:r>
    </w:p>
    <w:p>
      <w:pPr>
        <w:pStyle w:val="Normal"/>
        <w:numPr>
          <w:ilvl w:val="1"/>
          <w:numId w:val="2"/>
        </w:numPr>
        <w:shd w:val="clear" w:color="auto" w:fill="FFFFFF"/>
        <w:tabs>
          <w:tab w:val="clear" w:pos="708"/>
          <w:tab w:val="left" w:pos="1134" w:leader="none"/>
        </w:tabs>
        <w:ind w:firstLine="709" w:left="0"/>
        <w:jc w:val="both"/>
        <w:rPr>
          <w:sz w:val="24"/>
          <w:szCs w:val="24"/>
        </w:rPr>
      </w:pPr>
      <w:r>
        <w:rPr>
          <w:sz w:val="24"/>
          <w:szCs w:val="24"/>
        </w:rPr>
        <w:t xml:space="preserve">В течение Гарантийного срока Поставщик гарантирует соответствие качества Товара требованиям Договора, технического паспорта и иных документов, относящихся к Товару, и Применимого права, возможность эксплуатации (использования) Товара в соответствии с его целевым назначением, а также несет безусловную ответственность за обнаруженные недостатки, несоответствия и / или дефекты Товара, если не докажет, что такие недостатки, несоответствия и / или дефекты явились следствием несоблюдения Покупателем требований по использованию Товара, установленных в инструкциях и иных документах, переданных Покупателю в соответствии с пунктом 3.4 Договора. </w:t>
      </w:r>
    </w:p>
    <w:p>
      <w:pPr>
        <w:pStyle w:val="Normal"/>
        <w:numPr>
          <w:ilvl w:val="1"/>
          <w:numId w:val="2"/>
        </w:numPr>
        <w:shd w:val="clear" w:color="auto" w:fill="FFFFFF"/>
        <w:tabs>
          <w:tab w:val="clear" w:pos="708"/>
          <w:tab w:val="left" w:pos="1134" w:leader="none"/>
        </w:tabs>
        <w:ind w:firstLine="709" w:left="0"/>
        <w:jc w:val="both"/>
        <w:rPr>
          <w:sz w:val="24"/>
          <w:szCs w:val="24"/>
        </w:rPr>
      </w:pPr>
      <w:r>
        <w:rPr>
          <w:sz w:val="24"/>
          <w:szCs w:val="24"/>
        </w:rPr>
        <w:t>В случае обнаружения в течение Гарантийного срока недостатков, несоответствий и / или (дефектов) Товара Покупатель направляет Поставщику соответствующее письменное уведомление, в котором указывает перечень выявленных недостатков (дефектов) Товара и разумный срок на их устранение. Поставщик, в случае наличия разногласий, в течение 3 (трех) рабочих дней с даты получения письменного уведомления Покупателя, направляет своего уполномоченного представителя для составления Акта о недостатках, несоответствиях и / или дефектах. Если к указанному в настоящем пункте сроку представитель Поставщика не прибудет, Акт о недостатках, несоответствиях и / или дефектах будет составлен Покупателем в одностороннем порядке и будет признан Сторонами действительным.</w:t>
      </w:r>
    </w:p>
    <w:p>
      <w:pPr>
        <w:pStyle w:val="Normal"/>
        <w:numPr>
          <w:ilvl w:val="1"/>
          <w:numId w:val="2"/>
        </w:numPr>
        <w:shd w:val="clear" w:color="auto" w:fill="FFFFFF"/>
        <w:tabs>
          <w:tab w:val="clear" w:pos="708"/>
          <w:tab w:val="left" w:pos="1134" w:leader="none"/>
        </w:tabs>
        <w:ind w:firstLine="709" w:left="0"/>
        <w:jc w:val="both"/>
        <w:rPr>
          <w:sz w:val="24"/>
          <w:szCs w:val="24"/>
        </w:rPr>
      </w:pPr>
      <w:r>
        <w:rPr>
          <w:sz w:val="24"/>
          <w:szCs w:val="24"/>
        </w:rPr>
        <w:t xml:space="preserve">Поставщик обязан своими силами и за свой счет устранить недостатки, несоответствия и / или дефекты Товара, обнаруженные Покупателем в течение Гарантийного срока, в срок, указанный </w:t>
      </w:r>
      <w:bookmarkStart w:id="4" w:name="OLE_LINK5"/>
      <w:bookmarkStart w:id="5" w:name="OLE_LINK6"/>
      <w:r>
        <w:rPr>
          <w:sz w:val="24"/>
          <w:szCs w:val="24"/>
        </w:rPr>
        <w:t>Покупателем в соответствии с пунктом 4.3 Договора</w:t>
      </w:r>
      <w:bookmarkEnd w:id="4"/>
      <w:bookmarkEnd w:id="5"/>
      <w:r>
        <w:rPr>
          <w:sz w:val="24"/>
          <w:szCs w:val="24"/>
        </w:rPr>
        <w:t xml:space="preserve">, путем замены или ремонта Товара. </w:t>
      </w:r>
    </w:p>
    <w:p>
      <w:pPr>
        <w:pStyle w:val="Normal"/>
        <w:shd w:val="clear" w:color="auto" w:fill="FFFFFF"/>
        <w:ind w:firstLine="709"/>
        <w:jc w:val="both"/>
        <w:rPr>
          <w:sz w:val="24"/>
          <w:szCs w:val="24"/>
        </w:rPr>
      </w:pPr>
      <w:r>
        <w:rPr>
          <w:sz w:val="24"/>
          <w:szCs w:val="24"/>
        </w:rPr>
        <w:t xml:space="preserve">Устранение недостатков (дефектов) путем ремонта Товара может осуществляться только по письменному согласованию с Покупателем. Поставщик вправе по согласованию с Покупателем вместо замены или ремонта Товара возвратить Покупателю его стоимость (ранее полученный авансовый платеж). Вывоз Товара для целей устранения недостатков (дефектов) осуществляется силами Поставщика и за его счет.  </w:t>
      </w:r>
    </w:p>
    <w:p>
      <w:pPr>
        <w:pStyle w:val="Normal"/>
        <w:numPr>
          <w:ilvl w:val="1"/>
          <w:numId w:val="2"/>
        </w:numPr>
        <w:shd w:val="clear" w:color="auto" w:fill="FFFFFF"/>
        <w:tabs>
          <w:tab w:val="clear" w:pos="708"/>
          <w:tab w:val="left" w:pos="1134" w:leader="none"/>
        </w:tabs>
        <w:ind w:firstLine="709" w:left="0"/>
        <w:jc w:val="both"/>
        <w:rPr>
          <w:sz w:val="24"/>
          <w:szCs w:val="24"/>
        </w:rPr>
      </w:pPr>
      <w:r>
        <w:rPr>
          <w:sz w:val="24"/>
          <w:szCs w:val="24"/>
        </w:rPr>
        <w:t>Если Поставщик не устранит недостатки (дефекты) Товара в установленный Покупателем срок, Покупатель вправе устранить их собственными силами или силами третьих лиц, с отнесением на Поставщика соответствующих расходов. Поставщик обязан возместить расходы Покупателя на устранение недостатков, несоответствий и / или дефектов Товара в течение 10 (десяти) рабочих дней с даты получения соответствующего письменного требования Покупателя.</w:t>
      </w:r>
    </w:p>
    <w:p>
      <w:pPr>
        <w:pStyle w:val="Normal"/>
        <w:numPr>
          <w:ilvl w:val="1"/>
          <w:numId w:val="2"/>
        </w:numPr>
        <w:shd w:val="clear" w:color="auto" w:fill="FFFFFF"/>
        <w:tabs>
          <w:tab w:val="clear" w:pos="708"/>
          <w:tab w:val="left" w:pos="1134" w:leader="none"/>
        </w:tabs>
        <w:ind w:firstLine="709" w:left="0"/>
        <w:jc w:val="both"/>
        <w:rPr>
          <w:sz w:val="24"/>
          <w:szCs w:val="24"/>
        </w:rPr>
      </w:pPr>
      <w:r>
        <w:rPr>
          <w:sz w:val="24"/>
          <w:szCs w:val="24"/>
        </w:rPr>
        <w:t>Гарантийный срок на Товар увеличивается на тот период времени, в течение которого Покупатель не мог эксплуатировать (использовать) Товар вследствие его недостатков (дефектов). Гарантийный срок на замененную или отремонтированную единицу Товара устанавливается продолжительностью, указанной в пункте 4.1 Договора, и начинает исчисляться заново с даты приемки Покупателем замененной единицы Товара или работ по устранению недостатков (дефектов).</w:t>
      </w:r>
    </w:p>
    <w:p>
      <w:pPr>
        <w:pStyle w:val="Normal"/>
        <w:numPr>
          <w:ilvl w:val="1"/>
          <w:numId w:val="2"/>
        </w:numPr>
        <w:shd w:val="clear" w:color="auto" w:fill="FFFFFF"/>
        <w:tabs>
          <w:tab w:val="clear" w:pos="708"/>
          <w:tab w:val="left" w:pos="1134" w:leader="none"/>
        </w:tabs>
        <w:ind w:firstLine="709" w:left="0"/>
        <w:jc w:val="both"/>
        <w:rPr>
          <w:sz w:val="24"/>
          <w:szCs w:val="24"/>
        </w:rPr>
      </w:pPr>
      <w:r>
        <w:rPr>
          <w:sz w:val="24"/>
          <w:szCs w:val="24"/>
        </w:rPr>
        <w:t xml:space="preserve">Устранение недостатков, несоответствий и / или дефектов Товара или возврат его стоимости, в том числе в рамках срока, установленного в соответствии с пунктом 4.3 Договора, не освобождает Поставщика от обязанности возмещения убытков, причиненных Покупателю вследствие наличия таких недостатков (дефектов). </w:t>
      </w:r>
    </w:p>
    <w:p>
      <w:pPr>
        <w:pStyle w:val="Normal"/>
        <w:shd w:val="clear" w:color="auto" w:fill="FFFFFF"/>
        <w:tabs>
          <w:tab w:val="clear" w:pos="708"/>
          <w:tab w:val="left" w:pos="1190" w:leader="none"/>
        </w:tabs>
        <w:jc w:val="both"/>
        <w:rPr>
          <w:sz w:val="24"/>
          <w:szCs w:val="24"/>
        </w:rPr>
      </w:pPr>
      <w:r>
        <w:rPr>
          <w:sz w:val="24"/>
          <w:szCs w:val="24"/>
        </w:rPr>
      </w:r>
    </w:p>
    <w:p>
      <w:pPr>
        <w:pStyle w:val="Normal"/>
        <w:numPr>
          <w:ilvl w:val="0"/>
          <w:numId w:val="2"/>
        </w:numPr>
        <w:shd w:val="clear" w:color="auto" w:fill="FFFFFF"/>
        <w:tabs>
          <w:tab w:val="clear" w:pos="708"/>
          <w:tab w:val="left" w:pos="284" w:leader="none"/>
        </w:tabs>
        <w:ind w:hanging="0" w:left="0"/>
        <w:jc w:val="center"/>
        <w:rPr>
          <w:b/>
          <w:bCs/>
          <w:sz w:val="24"/>
          <w:szCs w:val="24"/>
        </w:rPr>
      </w:pPr>
      <w:r>
        <w:rPr>
          <w:b/>
          <w:bCs/>
          <w:sz w:val="24"/>
          <w:szCs w:val="24"/>
        </w:rPr>
        <w:t>Ответственность Сторон</w:t>
      </w:r>
    </w:p>
    <w:p>
      <w:pPr>
        <w:pStyle w:val="ListParagraph"/>
        <w:numPr>
          <w:ilvl w:val="1"/>
          <w:numId w:val="2"/>
        </w:numPr>
        <w:tabs>
          <w:tab w:val="clear" w:pos="708"/>
          <w:tab w:val="left" w:pos="1276" w:leader="none"/>
        </w:tabs>
        <w:ind w:firstLine="709" w:left="0"/>
        <w:jc w:val="both"/>
        <w:rPr>
          <w:sz w:val="24"/>
          <w:szCs w:val="24"/>
        </w:rPr>
      </w:pPr>
      <w:r>
        <w:rPr>
          <w:sz w:val="24"/>
          <w:szCs w:val="24"/>
        </w:rPr>
        <w:t xml:space="preserve">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pPr>
        <w:pStyle w:val="ListParagraph"/>
        <w:numPr>
          <w:ilvl w:val="1"/>
          <w:numId w:val="2"/>
        </w:numPr>
        <w:tabs>
          <w:tab w:val="clear" w:pos="708"/>
          <w:tab w:val="left" w:pos="1276" w:leader="none"/>
        </w:tabs>
        <w:ind w:firstLine="709" w:left="0"/>
        <w:jc w:val="both"/>
        <w:rPr>
          <w:bCs/>
          <w:sz w:val="24"/>
          <w:szCs w:val="24"/>
        </w:rPr>
      </w:pPr>
      <w:r>
        <w:rPr>
          <w:bCs/>
          <w:sz w:val="24"/>
          <w:szCs w:val="24"/>
        </w:rPr>
        <w:t xml:space="preserve">Покупатель не несет ответственности за ненадлежащее исполнение обязательств </w:t>
        <w:br/>
        <w:t>по внесению предварительной оплаты (аванса). В случае нарушения Покупателем сроков выплаты авансовых платежей Поставщик имеет право приостановить поставку Товара по Договору при условии предварительного письменного уведомления Покупателя о таком приостановлении.</w:t>
      </w:r>
    </w:p>
    <w:p>
      <w:pPr>
        <w:pStyle w:val="ListParagraph"/>
        <w:widowControl/>
        <w:numPr>
          <w:ilvl w:val="1"/>
          <w:numId w:val="2"/>
        </w:numPr>
        <w:tabs>
          <w:tab w:val="clear" w:pos="708"/>
          <w:tab w:val="left" w:pos="1276" w:leader="none"/>
        </w:tabs>
        <w:jc w:val="both"/>
        <w:rPr>
          <w:bCs/>
          <w:sz w:val="24"/>
          <w:szCs w:val="24"/>
        </w:rPr>
      </w:pPr>
      <w:r>
        <w:rPr>
          <w:bCs/>
          <w:sz w:val="24"/>
          <w:szCs w:val="24"/>
        </w:rPr>
        <w:t xml:space="preserve">В случае нарушения Покупателем сроков оплаты, установленных разделом 2 Договора (за исключением срока оплаты авансовых платежей), Поставщик вправе требовать уплаты Покупателем исключительной неустойки в размере 0,1 (ноль целых одна десятая) процента от несвоевременно оплаченной суммы за каждый день просрочки, начиная с 31 (тридцать первого) календарного дня просрочки (неустойка с 1 по 30 день просрочки не начисляется). </w:t>
      </w:r>
    </w:p>
    <w:p>
      <w:pPr>
        <w:pStyle w:val="Normal"/>
        <w:widowControl/>
        <w:numPr>
          <w:ilvl w:val="1"/>
          <w:numId w:val="2"/>
        </w:numPr>
        <w:tabs>
          <w:tab w:val="clear" w:pos="708"/>
          <w:tab w:val="left" w:pos="1276" w:leader="none"/>
        </w:tabs>
        <w:ind w:firstLine="709" w:left="0"/>
        <w:jc w:val="both"/>
        <w:rPr>
          <w:bCs/>
          <w:sz w:val="24"/>
          <w:szCs w:val="24"/>
        </w:rPr>
      </w:pPr>
      <w:r>
        <w:rPr>
          <w:bCs/>
          <w:sz w:val="24"/>
          <w:szCs w:val="24"/>
        </w:rPr>
        <w:t>В случае нарушения Поставщиком обязательств по поставке Товара (нарушение срока поставки, недопоставка), Покупатель вправе потребовать уплаты Поставщиком неустойки в размере 0,1 (ноль целых и одна десятая) процента от Цены Договора за каждый день просрочки.</w:t>
      </w:r>
    </w:p>
    <w:p>
      <w:pPr>
        <w:pStyle w:val="Normal"/>
        <w:widowControl/>
        <w:numPr>
          <w:ilvl w:val="1"/>
          <w:numId w:val="2"/>
        </w:numPr>
        <w:tabs>
          <w:tab w:val="clear" w:pos="708"/>
          <w:tab w:val="left" w:pos="1276" w:leader="none"/>
        </w:tabs>
        <w:ind w:firstLine="709" w:left="0"/>
        <w:jc w:val="both"/>
        <w:rPr>
          <w:bCs/>
          <w:sz w:val="24"/>
          <w:szCs w:val="24"/>
        </w:rPr>
      </w:pPr>
      <w:r>
        <w:rPr>
          <w:bCs/>
          <w:sz w:val="24"/>
          <w:szCs w:val="24"/>
        </w:rPr>
        <w:t>В случае несвоевременного устранения Поставщиком выявленных недостатков Товара, Покупатель вправе потребовать уплаты Поставщиком:</w:t>
      </w:r>
    </w:p>
    <w:p>
      <w:pPr>
        <w:pStyle w:val="Normal"/>
        <w:widowControl/>
        <w:numPr>
          <w:ilvl w:val="2"/>
          <w:numId w:val="2"/>
        </w:numPr>
        <w:tabs>
          <w:tab w:val="clear" w:pos="708"/>
        </w:tabs>
        <w:ind w:firstLine="709" w:left="0"/>
        <w:jc w:val="both"/>
        <w:rPr>
          <w:bCs/>
          <w:sz w:val="24"/>
          <w:szCs w:val="24"/>
        </w:rPr>
      </w:pPr>
      <w:r>
        <w:rPr>
          <w:bCs/>
          <w:sz w:val="24"/>
          <w:szCs w:val="24"/>
        </w:rPr>
        <w:t>Неустойки в размере 0,1 (ноль целых и одна десятая) процента от Цены Договора за каждый день просрочки – в случае несвоевременного устранения выявленных недостатков Товара, влияющих на возможность эксплуатации (использования) Товара в целом.</w:t>
      </w:r>
    </w:p>
    <w:p>
      <w:pPr>
        <w:pStyle w:val="Normal"/>
        <w:widowControl/>
        <w:numPr>
          <w:ilvl w:val="2"/>
          <w:numId w:val="2"/>
        </w:numPr>
        <w:tabs>
          <w:tab w:val="clear" w:pos="708"/>
        </w:tabs>
        <w:ind w:firstLine="709" w:left="0"/>
        <w:jc w:val="both"/>
        <w:rPr>
          <w:bCs/>
          <w:sz w:val="24"/>
          <w:szCs w:val="24"/>
        </w:rPr>
      </w:pPr>
      <w:r>
        <w:rPr>
          <w:bCs/>
          <w:sz w:val="24"/>
          <w:szCs w:val="24"/>
        </w:rPr>
        <w:t>Неустойки в размере 0,1 (ноль целых и одна десятая) процента от стоимости некачественного Товара за каждый день просрочки – в случае несвоевременного устранения выявленных недостатков Товара, не влияющих на возможность эксплуатации (использования) Товара в целом.</w:t>
      </w:r>
    </w:p>
    <w:p>
      <w:pPr>
        <w:pStyle w:val="ListParagraph"/>
        <w:widowControl/>
        <w:numPr>
          <w:ilvl w:val="1"/>
          <w:numId w:val="2"/>
        </w:numPr>
        <w:tabs>
          <w:tab w:val="clear" w:pos="708"/>
          <w:tab w:val="left" w:pos="1276" w:leader="none"/>
          <w:tab w:val="left" w:pos="1701" w:leader="none"/>
        </w:tabs>
        <w:ind w:firstLine="709" w:left="0"/>
        <w:jc w:val="both"/>
        <w:rPr>
          <w:sz w:val="24"/>
          <w:szCs w:val="24"/>
        </w:rPr>
      </w:pPr>
      <w:r>
        <w:rPr>
          <w:rFonts w:eastAsia="Calibri"/>
          <w:bCs/>
          <w:sz w:val="24"/>
          <w:szCs w:val="24"/>
        </w:rPr>
        <w:t>На сумму подлежащего возврату аванса начисляется неустойка в размере 0,1 (ноль целых и одна десятая) процента с даты, установленной для возврата аванса</w:t>
      </w:r>
      <w:r>
        <w:rPr>
          <w:sz w:val="24"/>
          <w:szCs w:val="24"/>
        </w:rPr>
        <w:t>.</w:t>
      </w:r>
    </w:p>
    <w:p>
      <w:pPr>
        <w:pStyle w:val="ListParagraph"/>
        <w:widowControl/>
        <w:numPr>
          <w:ilvl w:val="1"/>
          <w:numId w:val="2"/>
        </w:numPr>
        <w:shd w:val="clear" w:color="auto" w:fill="FFFFFF"/>
        <w:tabs>
          <w:tab w:val="clear" w:pos="708"/>
          <w:tab w:val="left" w:pos="1276" w:leader="none"/>
        </w:tabs>
        <w:ind w:firstLine="709" w:left="0"/>
        <w:jc w:val="both"/>
        <w:rPr>
          <w:bCs/>
          <w:sz w:val="24"/>
          <w:szCs w:val="24"/>
        </w:rPr>
      </w:pPr>
      <w:r>
        <w:rPr>
          <w:bCs/>
          <w:sz w:val="24"/>
          <w:szCs w:val="24"/>
        </w:rPr>
        <w:t xml:space="preserve">В случае нарушения Поставщиком требований пропускного и внутриобъектового режима, требований охраны труда, пожарной и промышленной безопасности, если они зафиксированы Покупателем или уполномоченным государственным органом, Покупатель, помимо возмещения убытков, вправе требовать уплаты Поставщиком штрафа в размерах, установленных Приложением № 2 к Договору. </w:t>
      </w:r>
    </w:p>
    <w:p>
      <w:pPr>
        <w:pStyle w:val="ListParagraph"/>
        <w:widowControl/>
        <w:numPr>
          <w:ilvl w:val="1"/>
          <w:numId w:val="2"/>
        </w:numPr>
        <w:shd w:val="clear" w:color="auto" w:fill="FFFFFF"/>
        <w:tabs>
          <w:tab w:val="clear" w:pos="708"/>
          <w:tab w:val="left" w:pos="1276" w:leader="none"/>
        </w:tabs>
        <w:ind w:firstLine="709" w:left="0"/>
        <w:jc w:val="both"/>
        <w:rPr>
          <w:bCs/>
          <w:sz w:val="24"/>
          <w:szCs w:val="24"/>
        </w:rPr>
      </w:pPr>
      <w:r>
        <w:rPr>
          <w:bCs/>
          <w:sz w:val="24"/>
          <w:szCs w:val="24"/>
        </w:rPr>
        <w:t xml:space="preserve">Если в результате составления и выставления Поставщиком счетов-фактур </w:t>
        <w:br/>
        <w:t xml:space="preserve">с нарушением порядка и требований, установленных законодательством Российской Федерации, Покупатель понес расходы, связанные с начислением налоговыми органами </w:t>
        <w:br/>
        <w:t xml:space="preserve">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w:t>
        <w:br/>
        <w:t>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w:t>
      </w:r>
    </w:p>
    <w:p>
      <w:pPr>
        <w:pStyle w:val="ListParagraph"/>
        <w:widowControl/>
        <w:shd w:val="clear" w:color="auto" w:fill="FFFFFF"/>
        <w:tabs>
          <w:tab w:val="clear" w:pos="708"/>
          <w:tab w:val="left" w:pos="1276" w:leader="none"/>
        </w:tabs>
        <w:ind w:firstLine="709" w:left="0"/>
        <w:jc w:val="both"/>
        <w:rPr>
          <w:bCs/>
          <w:sz w:val="24"/>
          <w:szCs w:val="24"/>
        </w:rPr>
      </w:pPr>
      <w:r>
        <w:rPr>
          <w:bCs/>
          <w:sz w:val="24"/>
          <w:szCs w:val="24"/>
        </w:rPr>
        <w:t>В случае нарушения Поставщиком сроков предоставления счетов-фактур, установленных пунктом 2.7 Договора, Покупатель вправе требовать уплаты Поставщиком штрафа в размере 50 000 (Пятидесяти тысяч) рублей за каждый случай нарушения.</w:t>
      </w:r>
    </w:p>
    <w:p>
      <w:pPr>
        <w:pStyle w:val="ListParagraph"/>
        <w:widowControl/>
        <w:numPr>
          <w:ilvl w:val="1"/>
          <w:numId w:val="2"/>
        </w:numPr>
        <w:shd w:val="clear" w:color="auto" w:fill="FFFFFF"/>
        <w:tabs>
          <w:tab w:val="clear" w:pos="708"/>
          <w:tab w:val="left" w:pos="1276" w:leader="none"/>
        </w:tabs>
        <w:ind w:firstLine="709" w:left="0"/>
        <w:jc w:val="both"/>
        <w:rPr>
          <w:bCs/>
          <w:sz w:val="24"/>
          <w:szCs w:val="24"/>
        </w:rPr>
      </w:pPr>
      <w:r>
        <w:rPr>
          <w:bCs/>
          <w:sz w:val="24"/>
          <w:szCs w:val="24"/>
        </w:rPr>
        <w:t xml:space="preserve">Поставщик несет ответственность перед Покупателем за причиненные убытки </w:t>
        <w:br/>
        <w:t xml:space="preserve">в размере фактически понесенных и документально подтвержденных расходов, возникших </w:t>
        <w:br/>
        <w:t>в связи с неисполнением (ненадлежащим исполнением) Поставщиком своих обязательств, произведенных для восстановления нарушенного права, а также упущенной выгоды.</w:t>
      </w:r>
    </w:p>
    <w:p>
      <w:pPr>
        <w:pStyle w:val="ListParagraph"/>
        <w:widowControl/>
        <w:numPr>
          <w:ilvl w:val="1"/>
          <w:numId w:val="2"/>
        </w:numPr>
        <w:shd w:val="clear" w:color="auto" w:fill="FFFFFF"/>
        <w:tabs>
          <w:tab w:val="clear" w:pos="708"/>
          <w:tab w:val="left" w:pos="1276" w:leader="none"/>
          <w:tab w:val="left" w:pos="1418" w:leader="none"/>
        </w:tabs>
        <w:ind w:firstLine="709" w:left="0"/>
        <w:jc w:val="both"/>
        <w:rPr>
          <w:bCs/>
          <w:sz w:val="24"/>
          <w:szCs w:val="24"/>
        </w:rPr>
      </w:pPr>
      <w:r>
        <w:rPr>
          <w:bCs/>
          <w:sz w:val="24"/>
          <w:szCs w:val="24"/>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pPr>
        <w:pStyle w:val="ListParagraph"/>
        <w:widowControl/>
        <w:numPr>
          <w:ilvl w:val="1"/>
          <w:numId w:val="2"/>
        </w:numPr>
        <w:shd w:val="clear" w:color="auto" w:fill="FFFFFF"/>
        <w:tabs>
          <w:tab w:val="clear" w:pos="708"/>
          <w:tab w:val="left" w:pos="1276" w:leader="none"/>
          <w:tab w:val="left" w:pos="1418" w:leader="none"/>
        </w:tabs>
        <w:ind w:firstLine="709" w:left="0"/>
        <w:jc w:val="both"/>
        <w:rPr>
          <w:bCs/>
          <w:sz w:val="24"/>
          <w:szCs w:val="24"/>
        </w:rPr>
      </w:pPr>
      <w:r>
        <w:rPr>
          <w:bCs/>
          <w:sz w:val="24"/>
          <w:szCs w:val="24"/>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pPr>
        <w:pStyle w:val="ListParagraph"/>
        <w:widowControl/>
        <w:numPr>
          <w:ilvl w:val="1"/>
          <w:numId w:val="2"/>
        </w:numPr>
        <w:shd w:val="clear" w:color="auto" w:fill="FFFFFF"/>
        <w:tabs>
          <w:tab w:val="clear" w:pos="708"/>
          <w:tab w:val="left" w:pos="1276" w:leader="none"/>
          <w:tab w:val="left" w:pos="1418" w:leader="none"/>
        </w:tabs>
        <w:ind w:firstLine="709" w:left="0"/>
        <w:jc w:val="both"/>
        <w:rPr>
          <w:bCs/>
          <w:sz w:val="24"/>
          <w:szCs w:val="24"/>
        </w:rPr>
      </w:pPr>
      <w:r>
        <w:rPr>
          <w:bCs/>
          <w:sz w:val="24"/>
          <w:szCs w:val="24"/>
        </w:rPr>
        <w:t>Учитывая, что для Покупателя надлежащее и своевременное выполнение Поставщиком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Поставщиком соответствующих обязательств по Договору.</w:t>
      </w:r>
    </w:p>
    <w:p>
      <w:pPr>
        <w:pStyle w:val="ListParagraph"/>
        <w:widowControl/>
        <w:numPr>
          <w:ilvl w:val="1"/>
          <w:numId w:val="2"/>
        </w:numPr>
        <w:shd w:val="clear" w:color="auto" w:fill="FFFFFF"/>
        <w:tabs>
          <w:tab w:val="clear" w:pos="708"/>
          <w:tab w:val="left" w:pos="1276" w:leader="none"/>
          <w:tab w:val="left" w:pos="1418" w:leader="none"/>
        </w:tabs>
        <w:ind w:firstLine="709" w:left="0"/>
        <w:jc w:val="both"/>
        <w:rPr>
          <w:bCs/>
          <w:sz w:val="24"/>
          <w:szCs w:val="24"/>
        </w:rPr>
      </w:pPr>
      <w:r>
        <w:rPr>
          <w:bCs/>
          <w:sz w:val="24"/>
          <w:szCs w:val="24"/>
        </w:rPr>
        <w:t xml:space="preserve">Определение суммы неустойки, подлежащей уплате, возможно в досудебном порядке при признании суммы неустойки Стороной, нарушившей обязательства </w:t>
        <w:br/>
        <w:t xml:space="preserve">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w:t>
        <w:br/>
        <w:t>в письменном требовании,</w:t>
      </w:r>
      <w:r>
        <w:rPr>
          <w:sz w:val="24"/>
          <w:szCs w:val="24"/>
        </w:rPr>
        <w:t xml:space="preserve"> </w:t>
      </w:r>
      <w:r>
        <w:rPr>
          <w:bCs/>
          <w:sz w:val="24"/>
          <w:szCs w:val="24"/>
        </w:rPr>
        <w:t>сумма неустойки, подлежащая уплате виновной Стороной, определяется на основании решения суда.</w:t>
      </w:r>
    </w:p>
    <w:p>
      <w:pPr>
        <w:pStyle w:val="Normal"/>
        <w:shd w:val="clear" w:color="auto" w:fill="FFFFFF"/>
        <w:jc w:val="both"/>
        <w:rPr>
          <w:sz w:val="24"/>
          <w:szCs w:val="24"/>
        </w:rPr>
      </w:pPr>
      <w:r>
        <w:rPr>
          <w:sz w:val="24"/>
          <w:szCs w:val="24"/>
        </w:rPr>
      </w:r>
    </w:p>
    <w:p>
      <w:pPr>
        <w:pStyle w:val="ListParagraph"/>
        <w:widowControl/>
        <w:numPr>
          <w:ilvl w:val="0"/>
          <w:numId w:val="2"/>
        </w:numPr>
        <w:shd w:val="clear" w:color="auto" w:fill="FFFFFF"/>
        <w:tabs>
          <w:tab w:val="clear" w:pos="708"/>
          <w:tab w:val="left" w:pos="0" w:leader="none"/>
          <w:tab w:val="left" w:pos="284" w:leader="none"/>
        </w:tabs>
        <w:ind w:hanging="0" w:left="0"/>
        <w:jc w:val="center"/>
        <w:rPr>
          <w:b/>
          <w:bCs/>
          <w:sz w:val="24"/>
          <w:szCs w:val="24"/>
        </w:rPr>
      </w:pPr>
      <w:r>
        <w:rPr>
          <w:b/>
          <w:bCs/>
          <w:sz w:val="24"/>
          <w:szCs w:val="24"/>
        </w:rPr>
        <w:t>Конфиденциальность</w:t>
      </w:r>
    </w:p>
    <w:p>
      <w:pPr>
        <w:pStyle w:val="ListParagraph"/>
        <w:widowControl/>
        <w:numPr>
          <w:ilvl w:val="1"/>
          <w:numId w:val="2"/>
        </w:numPr>
        <w:shd w:val="clear" w:color="auto" w:fill="FFFFFF"/>
        <w:tabs>
          <w:tab w:val="clear" w:pos="708"/>
          <w:tab w:val="left" w:pos="0" w:leader="none"/>
          <w:tab w:val="left" w:pos="1134" w:leader="none"/>
        </w:tabs>
        <w:ind w:firstLine="709" w:left="0"/>
        <w:jc w:val="both"/>
        <w:rPr>
          <w:bCs/>
          <w:sz w:val="24"/>
          <w:szCs w:val="24"/>
        </w:rPr>
      </w:pPr>
      <w:r>
        <w:rPr>
          <w:bCs/>
          <w:sz w:val="24"/>
          <w:szCs w:val="24"/>
        </w:rPr>
        <w:t>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территорию Покупателя в процессе проведения переговоров, заключения и исполнения Договора, в отношении которой соблюдаются следующие условия:</w:t>
      </w:r>
    </w:p>
    <w:p>
      <w:pPr>
        <w:pStyle w:val="Normal"/>
        <w:widowControl/>
        <w:numPr>
          <w:ilvl w:val="0"/>
          <w:numId w:val="5"/>
        </w:numPr>
        <w:tabs>
          <w:tab w:val="clear" w:pos="708"/>
          <w:tab w:val="left" w:pos="0" w:leader="none"/>
          <w:tab w:val="left" w:pos="709" w:leader="none"/>
          <w:tab w:val="left" w:pos="1418" w:leader="none"/>
        </w:tabs>
        <w:ind w:firstLine="709" w:left="0"/>
        <w:jc w:val="both"/>
        <w:rPr>
          <w:bCs/>
          <w:sz w:val="24"/>
          <w:szCs w:val="24"/>
        </w:rPr>
      </w:pPr>
      <w:r>
        <w:rPr>
          <w:bCs/>
          <w:sz w:val="24"/>
          <w:szCs w:val="24"/>
        </w:rPr>
        <w:t>данная Информация имеет действительную или потенциальную коммерческую ценность для Покупателя в силу неизвестности ее третьим лица</w:t>
      </w:r>
      <w:r>
        <w:rPr>
          <w:sz w:val="24"/>
          <w:szCs w:val="24"/>
        </w:rPr>
        <w:t xml:space="preserve">м, в том числе по причине </w:t>
      </w:r>
      <w:r>
        <w:rPr>
          <w:bCs/>
          <w:sz w:val="24"/>
          <w:szCs w:val="24"/>
        </w:rPr>
        <w:t>введения в отношении нее режима Коммерческой тайны;</w:t>
      </w:r>
    </w:p>
    <w:p>
      <w:pPr>
        <w:pStyle w:val="Normal"/>
        <w:widowControl/>
        <w:numPr>
          <w:ilvl w:val="0"/>
          <w:numId w:val="5"/>
        </w:numPr>
        <w:tabs>
          <w:tab w:val="clear" w:pos="708"/>
          <w:tab w:val="left" w:pos="0" w:leader="none"/>
          <w:tab w:val="left" w:pos="709" w:leader="none"/>
          <w:tab w:val="left" w:pos="1418" w:leader="none"/>
        </w:tabs>
        <w:ind w:firstLine="709" w:left="0"/>
        <w:jc w:val="both"/>
        <w:rPr>
          <w:bCs/>
          <w:sz w:val="24"/>
          <w:szCs w:val="24"/>
        </w:rPr>
      </w:pPr>
      <w:r>
        <w:rPr>
          <w:bCs/>
          <w:sz w:val="24"/>
          <w:szCs w:val="24"/>
        </w:rPr>
        <w:t xml:space="preserve">данная Информация не относится к категории общедоступной </w:t>
        <w:br/>
        <w:t>или обязательной к раскрытию Покупателем в соответствии с законодательством Российской Федерации.</w:t>
      </w:r>
    </w:p>
    <w:p>
      <w:pPr>
        <w:pStyle w:val="ListParagraph"/>
        <w:widowControl/>
        <w:numPr>
          <w:ilvl w:val="1"/>
          <w:numId w:val="2"/>
        </w:numPr>
        <w:shd w:val="clear" w:color="auto" w:fill="FFFFFF"/>
        <w:tabs>
          <w:tab w:val="clear" w:pos="708"/>
          <w:tab w:val="left" w:pos="0" w:leader="none"/>
          <w:tab w:val="left" w:pos="1134" w:leader="none"/>
        </w:tabs>
        <w:ind w:firstLine="709" w:left="0"/>
        <w:jc w:val="both"/>
        <w:rPr>
          <w:bCs/>
          <w:sz w:val="24"/>
          <w:szCs w:val="24"/>
        </w:rPr>
      </w:pPr>
      <w:r>
        <w:rPr>
          <w:bCs/>
          <w:sz w:val="24"/>
          <w:szCs w:val="24"/>
        </w:rPr>
        <w:t xml:space="preserve">Условия Договора и сам факт его заключения составляют Информацию </w:t>
        <w:br/>
        <w:t xml:space="preserve">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pPr>
        <w:pStyle w:val="ListParagraph"/>
        <w:widowControl/>
        <w:numPr>
          <w:ilvl w:val="1"/>
          <w:numId w:val="2"/>
        </w:numPr>
        <w:shd w:val="clear" w:color="auto" w:fill="FFFFFF"/>
        <w:tabs>
          <w:tab w:val="clear" w:pos="708"/>
          <w:tab w:val="left" w:pos="0" w:leader="none"/>
          <w:tab w:val="left" w:pos="1134" w:leader="none"/>
        </w:tabs>
        <w:ind w:firstLine="709" w:left="0"/>
        <w:jc w:val="both"/>
        <w:rPr>
          <w:bCs/>
          <w:sz w:val="24"/>
          <w:szCs w:val="24"/>
        </w:rPr>
      </w:pPr>
      <w:r>
        <w:rPr>
          <w:bCs/>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ListParagraph"/>
        <w:widowControl/>
        <w:numPr>
          <w:ilvl w:val="1"/>
          <w:numId w:val="2"/>
        </w:numPr>
        <w:shd w:val="clear" w:color="auto" w:fill="FFFFFF"/>
        <w:tabs>
          <w:tab w:val="clear" w:pos="708"/>
          <w:tab w:val="left" w:pos="0" w:leader="none"/>
          <w:tab w:val="left" w:pos="1134" w:leader="none"/>
        </w:tabs>
        <w:ind w:firstLine="709" w:left="0"/>
        <w:jc w:val="both"/>
        <w:rPr>
          <w:bCs/>
          <w:sz w:val="24"/>
          <w:szCs w:val="24"/>
        </w:rPr>
      </w:pPr>
      <w:r>
        <w:rPr>
          <w:bCs/>
          <w:sz w:val="24"/>
          <w:szCs w:val="24"/>
        </w:rPr>
        <w:t>На документ, содержащий Информацию, Покупателем может быть нанесен гриф «Коммерческая тайна» с указанием обладателя этой информации.</w:t>
      </w:r>
    </w:p>
    <w:p>
      <w:pPr>
        <w:pStyle w:val="ListParagraph"/>
        <w:widowControl/>
        <w:numPr>
          <w:ilvl w:val="1"/>
          <w:numId w:val="2"/>
        </w:numPr>
        <w:shd w:val="clear" w:color="auto" w:fill="FFFFFF"/>
        <w:tabs>
          <w:tab w:val="clear" w:pos="708"/>
          <w:tab w:val="left" w:pos="0" w:leader="none"/>
          <w:tab w:val="left" w:pos="1134" w:leader="none"/>
        </w:tabs>
        <w:ind w:firstLine="709" w:left="0"/>
        <w:jc w:val="both"/>
        <w:rPr>
          <w:bCs/>
          <w:sz w:val="24"/>
          <w:szCs w:val="24"/>
        </w:rPr>
      </w:pPr>
      <w:r>
        <w:rPr>
          <w:bCs/>
          <w:sz w:val="24"/>
          <w:szCs w:val="24"/>
        </w:rPr>
        <w:t>Информация может включать в себя, в том числе, но не ограничиваясь:</w:t>
      </w:r>
    </w:p>
    <w:p>
      <w:pPr>
        <w:pStyle w:val="Normal"/>
        <w:widowControl/>
        <w:numPr>
          <w:ilvl w:val="0"/>
          <w:numId w:val="5"/>
        </w:numPr>
        <w:tabs>
          <w:tab w:val="clear" w:pos="708"/>
          <w:tab w:val="left" w:pos="0" w:leader="none"/>
          <w:tab w:val="left" w:pos="1418" w:leader="none"/>
        </w:tabs>
        <w:ind w:firstLine="709" w:left="0"/>
        <w:jc w:val="both"/>
        <w:rPr>
          <w:bCs/>
          <w:sz w:val="24"/>
          <w:szCs w:val="24"/>
        </w:rPr>
      </w:pPr>
      <w:r>
        <w:rPr>
          <w:bCs/>
          <w:sz w:val="24"/>
          <w:szCs w:val="24"/>
        </w:rPr>
        <w:t xml:space="preserve">финансовую </w:t>
      </w:r>
      <w:r>
        <w:rPr>
          <w:bCs/>
          <w:sz w:val="24"/>
          <w:szCs w:val="24"/>
          <w:lang w:val="en-US"/>
        </w:rPr>
        <w:t>(</w:t>
      </w:r>
      <w:r>
        <w:rPr>
          <w:bCs/>
          <w:sz w:val="24"/>
          <w:szCs w:val="24"/>
        </w:rPr>
        <w:t>бухгалтерскую) отчетность;</w:t>
      </w:r>
    </w:p>
    <w:p>
      <w:pPr>
        <w:pStyle w:val="Normal"/>
        <w:widowControl/>
        <w:numPr>
          <w:ilvl w:val="0"/>
          <w:numId w:val="5"/>
        </w:numPr>
        <w:tabs>
          <w:tab w:val="clear" w:pos="708"/>
          <w:tab w:val="left" w:pos="0" w:leader="none"/>
          <w:tab w:val="left" w:pos="1418" w:leader="none"/>
        </w:tabs>
        <w:ind w:firstLine="709" w:left="0"/>
        <w:jc w:val="both"/>
        <w:rPr>
          <w:bCs/>
          <w:sz w:val="24"/>
          <w:szCs w:val="24"/>
        </w:rPr>
      </w:pPr>
      <w:r>
        <w:rPr>
          <w:bCs/>
          <w:sz w:val="24"/>
          <w:szCs w:val="24"/>
        </w:rPr>
        <w:t>учетные регистры бухгалтерского учета;</w:t>
      </w:r>
    </w:p>
    <w:p>
      <w:pPr>
        <w:pStyle w:val="Normal"/>
        <w:widowControl/>
        <w:numPr>
          <w:ilvl w:val="0"/>
          <w:numId w:val="5"/>
        </w:numPr>
        <w:tabs>
          <w:tab w:val="clear" w:pos="708"/>
          <w:tab w:val="left" w:pos="0" w:leader="none"/>
          <w:tab w:val="left" w:pos="1418" w:leader="none"/>
        </w:tabs>
        <w:ind w:firstLine="709" w:left="0"/>
        <w:jc w:val="both"/>
        <w:rPr>
          <w:bCs/>
          <w:sz w:val="24"/>
          <w:szCs w:val="24"/>
        </w:rPr>
      </w:pPr>
      <w:r>
        <w:rPr>
          <w:bCs/>
          <w:sz w:val="24"/>
          <w:szCs w:val="24"/>
        </w:rPr>
        <w:t>бизнес-планы;</w:t>
      </w:r>
    </w:p>
    <w:p>
      <w:pPr>
        <w:pStyle w:val="Normal"/>
        <w:widowControl/>
        <w:numPr>
          <w:ilvl w:val="0"/>
          <w:numId w:val="5"/>
        </w:numPr>
        <w:tabs>
          <w:tab w:val="clear" w:pos="708"/>
          <w:tab w:val="left" w:pos="0" w:leader="none"/>
          <w:tab w:val="left" w:pos="1418" w:leader="none"/>
        </w:tabs>
        <w:ind w:firstLine="709" w:left="0"/>
        <w:jc w:val="both"/>
        <w:rPr>
          <w:bCs/>
          <w:sz w:val="24"/>
          <w:szCs w:val="24"/>
        </w:rPr>
      </w:pPr>
      <w:r>
        <w:rPr>
          <w:bCs/>
          <w:sz w:val="24"/>
          <w:szCs w:val="24"/>
        </w:rPr>
        <w:t>договоры (соглашения), заключаемые или заключенные непосредственно Покупателем либо в его пользу, а также информацию и сведения, содержащиеся в данных договорах (соглашениях);</w:t>
      </w:r>
    </w:p>
    <w:p>
      <w:pPr>
        <w:pStyle w:val="Normal"/>
        <w:widowControl/>
        <w:numPr>
          <w:ilvl w:val="0"/>
          <w:numId w:val="5"/>
        </w:numPr>
        <w:tabs>
          <w:tab w:val="clear" w:pos="708"/>
          <w:tab w:val="left" w:pos="0" w:leader="none"/>
          <w:tab w:val="left" w:pos="1418" w:leader="none"/>
        </w:tabs>
        <w:ind w:firstLine="709" w:left="0"/>
        <w:jc w:val="both"/>
        <w:rPr>
          <w:bCs/>
          <w:sz w:val="24"/>
          <w:szCs w:val="24"/>
        </w:rPr>
      </w:pPr>
      <w:r>
        <w:rPr>
          <w:bCs/>
          <w:sz w:val="24"/>
          <w:szCs w:val="24"/>
        </w:rPr>
        <w:t>сведения о финансовых, правовых, организационных и других взаимоотношениях между Покупателем и третьими лицами;</w:t>
      </w:r>
    </w:p>
    <w:p>
      <w:pPr>
        <w:pStyle w:val="Normal"/>
        <w:widowControl/>
        <w:numPr>
          <w:ilvl w:val="0"/>
          <w:numId w:val="5"/>
        </w:numPr>
        <w:tabs>
          <w:tab w:val="clear" w:pos="708"/>
          <w:tab w:val="left" w:pos="0" w:leader="none"/>
          <w:tab w:val="left" w:pos="1418" w:leader="none"/>
        </w:tabs>
        <w:ind w:firstLine="709" w:left="0"/>
        <w:jc w:val="both"/>
        <w:rPr>
          <w:bCs/>
          <w:sz w:val="24"/>
          <w:szCs w:val="24"/>
        </w:rPr>
      </w:pPr>
      <w:r>
        <w:rPr>
          <w:bCs/>
          <w:sz w:val="24"/>
          <w:szCs w:val="24"/>
        </w:rPr>
        <w:t xml:space="preserve">сведения о находящихся на регистрации товарных знаках Покупателя, а также </w:t>
        <w:br/>
        <w:t>об объектах интеллектуальной собственности Покупателя, сведения о которых не являются опубликованными;</w:t>
      </w:r>
    </w:p>
    <w:p>
      <w:pPr>
        <w:pStyle w:val="Normal"/>
        <w:widowControl/>
        <w:numPr>
          <w:ilvl w:val="0"/>
          <w:numId w:val="5"/>
        </w:numPr>
        <w:tabs>
          <w:tab w:val="clear" w:pos="708"/>
          <w:tab w:val="left" w:pos="0" w:leader="none"/>
          <w:tab w:val="left" w:pos="1418" w:leader="none"/>
        </w:tabs>
        <w:ind w:firstLine="709" w:left="0"/>
        <w:jc w:val="both"/>
        <w:rPr>
          <w:bCs/>
          <w:sz w:val="24"/>
          <w:szCs w:val="24"/>
        </w:rPr>
      </w:pPr>
      <w:r>
        <w:rPr>
          <w:bCs/>
          <w:sz w:val="24"/>
          <w:szCs w:val="24"/>
        </w:rPr>
        <w:t xml:space="preserve">сведения о Поставщиках, поставщиках оборудования и материалов, а также </w:t>
        <w:br/>
        <w:t>о покупателях продукции Покупателя и их аффилированных лицах;</w:t>
      </w:r>
    </w:p>
    <w:p>
      <w:pPr>
        <w:pStyle w:val="Normal"/>
        <w:widowControl/>
        <w:numPr>
          <w:ilvl w:val="0"/>
          <w:numId w:val="5"/>
        </w:numPr>
        <w:tabs>
          <w:tab w:val="clear" w:pos="708"/>
          <w:tab w:val="left" w:pos="0" w:leader="none"/>
          <w:tab w:val="left" w:pos="1418" w:leader="none"/>
        </w:tabs>
        <w:ind w:firstLine="709" w:left="0"/>
        <w:jc w:val="both"/>
        <w:rPr>
          <w:bCs/>
          <w:sz w:val="24"/>
          <w:szCs w:val="24"/>
        </w:rPr>
      </w:pPr>
      <w:r>
        <w:rPr>
          <w:bCs/>
          <w:sz w:val="24"/>
          <w:szCs w:val="24"/>
        </w:rPr>
        <w:t>сведения об объемах производства и / или реализации продукции и услуг Покупателя или его аффилированных лиц;</w:t>
      </w:r>
    </w:p>
    <w:p>
      <w:pPr>
        <w:pStyle w:val="Normal"/>
        <w:widowControl/>
        <w:numPr>
          <w:ilvl w:val="0"/>
          <w:numId w:val="5"/>
        </w:numPr>
        <w:tabs>
          <w:tab w:val="clear" w:pos="708"/>
          <w:tab w:val="left" w:pos="0" w:leader="none"/>
          <w:tab w:val="left" w:pos="1418" w:leader="none"/>
        </w:tabs>
        <w:ind w:firstLine="709" w:left="0"/>
        <w:jc w:val="both"/>
        <w:rPr>
          <w:bCs/>
          <w:sz w:val="24"/>
          <w:szCs w:val="24"/>
        </w:rPr>
      </w:pPr>
      <w:r>
        <w:rPr>
          <w:bCs/>
          <w:sz w:val="24"/>
          <w:szCs w:val="24"/>
        </w:rPr>
        <w:t>материалы обобщения, анализа, оценки, иных действий по обработке вышеуказанной Информации и документов.</w:t>
      </w:r>
    </w:p>
    <w:p>
      <w:pPr>
        <w:pStyle w:val="ListParagraph"/>
        <w:widowControl/>
        <w:numPr>
          <w:ilvl w:val="1"/>
          <w:numId w:val="2"/>
        </w:numPr>
        <w:shd w:val="clear" w:color="auto" w:fill="FFFFFF"/>
        <w:tabs>
          <w:tab w:val="clear" w:pos="708"/>
          <w:tab w:val="left" w:pos="0" w:leader="none"/>
          <w:tab w:val="left" w:pos="1134" w:leader="none"/>
        </w:tabs>
        <w:ind w:firstLine="709" w:left="0"/>
        <w:jc w:val="both"/>
        <w:rPr>
          <w:bCs/>
          <w:sz w:val="24"/>
          <w:szCs w:val="24"/>
        </w:rPr>
      </w:pPr>
      <w:bookmarkStart w:id="6" w:name="_Ref361337849"/>
      <w:r>
        <w:rPr>
          <w:bCs/>
          <w:sz w:val="24"/>
          <w:szCs w:val="24"/>
        </w:rPr>
        <w:t>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sz w:val="24"/>
          <w:szCs w:val="24"/>
        </w:rPr>
        <w:t xml:space="preserve"> </w:t>
      </w:r>
      <w:r>
        <w:rPr>
          <w:bCs/>
          <w:sz w:val="24"/>
          <w:szCs w:val="24"/>
        </w:rPr>
        <w:t>(расторжения) или исполнения, в том числе:</w:t>
      </w:r>
      <w:bookmarkEnd w:id="6"/>
      <w:r>
        <w:rPr>
          <w:bCs/>
          <w:sz w:val="24"/>
          <w:szCs w:val="24"/>
        </w:rPr>
        <w:t xml:space="preserve"> </w:t>
      </w:r>
    </w:p>
    <w:p>
      <w:pPr>
        <w:pStyle w:val="ListParagraph"/>
        <w:widowControl/>
        <w:numPr>
          <w:ilvl w:val="2"/>
          <w:numId w:val="2"/>
        </w:numPr>
        <w:shd w:val="clear" w:color="auto" w:fill="FFFFFF"/>
        <w:tabs>
          <w:tab w:val="clear" w:pos="708"/>
          <w:tab w:val="left" w:pos="0" w:leader="none"/>
          <w:tab w:val="left" w:pos="1418" w:leader="none"/>
        </w:tabs>
        <w:ind w:firstLine="709" w:left="0"/>
        <w:jc w:val="both"/>
        <w:rPr>
          <w:bCs/>
          <w:sz w:val="24"/>
          <w:szCs w:val="24"/>
        </w:rPr>
      </w:pPr>
      <w:r>
        <w:rPr>
          <w:bCs/>
          <w:sz w:val="24"/>
          <w:szCs w:val="24"/>
        </w:rPr>
        <w:t xml:space="preserve">Не разглашать, не обсуждать содержание, не предоставлять копий, </w:t>
        <w:br/>
        <w:t xml:space="preserve">не публиковать и не </w:t>
      </w:r>
      <w:r>
        <w:rPr>
          <w:sz w:val="24"/>
          <w:szCs w:val="24"/>
        </w:rPr>
        <w:t>раскрывать</w:t>
      </w:r>
      <w:r>
        <w:rPr>
          <w:bCs/>
          <w:sz w:val="24"/>
          <w:szCs w:val="24"/>
        </w:rPr>
        <w:t xml:space="preserve"> в какой-либо иной форме третьим лицам Информацию </w:t>
        <w:br/>
        <w:t>без получения предварительного письменного согласия Покупателя, за исключением случаев, предусмотренных законодательством Российской Федерации и п. 6.6.7 Договора.</w:t>
      </w:r>
    </w:p>
    <w:p>
      <w:pPr>
        <w:pStyle w:val="ListParagraph"/>
        <w:widowControl/>
        <w:numPr>
          <w:ilvl w:val="2"/>
          <w:numId w:val="2"/>
        </w:numPr>
        <w:shd w:val="clear" w:color="auto" w:fill="FFFFFF"/>
        <w:tabs>
          <w:tab w:val="clear" w:pos="708"/>
          <w:tab w:val="left" w:pos="0" w:leader="none"/>
          <w:tab w:val="left" w:pos="1418" w:leader="none"/>
        </w:tabs>
        <w:ind w:firstLine="709" w:left="0"/>
        <w:jc w:val="both"/>
        <w:rPr>
          <w:bCs/>
          <w:sz w:val="24"/>
          <w:szCs w:val="24"/>
        </w:rPr>
      </w:pPr>
      <w:r>
        <w:rPr>
          <w:bCs/>
          <w:sz w:val="24"/>
          <w:szCs w:val="24"/>
        </w:rPr>
        <w:t xml:space="preserve">Принимать меры предосторожности, обычно используемые для защиты такого рода информации в деловом обороте, при этом если Поставщиком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Поставщик обязан использовать </w:t>
        <w:br/>
        <w:t>в отношении защиты Информации обычно используемые им меры защиты.</w:t>
      </w:r>
    </w:p>
    <w:p>
      <w:pPr>
        <w:pStyle w:val="ListParagraph"/>
        <w:widowControl/>
        <w:numPr>
          <w:ilvl w:val="2"/>
          <w:numId w:val="2"/>
        </w:numPr>
        <w:shd w:val="clear" w:color="auto" w:fill="FFFFFF"/>
        <w:tabs>
          <w:tab w:val="clear" w:pos="708"/>
          <w:tab w:val="left" w:pos="0" w:leader="none"/>
          <w:tab w:val="left" w:pos="1418" w:leader="none"/>
        </w:tabs>
        <w:ind w:firstLine="709" w:left="0"/>
        <w:jc w:val="both"/>
        <w:rPr>
          <w:bCs/>
          <w:sz w:val="24"/>
          <w:szCs w:val="24"/>
        </w:rPr>
      </w:pPr>
      <w:r>
        <w:rPr>
          <w:bCs/>
          <w:sz w:val="24"/>
          <w:szCs w:val="24"/>
        </w:rPr>
        <w:t xml:space="preserve">Использовать Информацию исключительно для целей, для которых она была предоставлена. </w:t>
      </w:r>
    </w:p>
    <w:p>
      <w:pPr>
        <w:pStyle w:val="ListParagraph"/>
        <w:widowControl/>
        <w:numPr>
          <w:ilvl w:val="2"/>
          <w:numId w:val="2"/>
        </w:numPr>
        <w:shd w:val="clear" w:color="auto" w:fill="FFFFFF"/>
        <w:tabs>
          <w:tab w:val="clear" w:pos="708"/>
          <w:tab w:val="left" w:pos="0" w:leader="none"/>
          <w:tab w:val="left" w:pos="1418" w:leader="none"/>
        </w:tabs>
        <w:ind w:firstLine="709" w:left="0"/>
        <w:jc w:val="both"/>
        <w:rPr>
          <w:bCs/>
          <w:sz w:val="24"/>
          <w:szCs w:val="24"/>
        </w:rPr>
      </w:pPr>
      <w:r>
        <w:rPr>
          <w:bCs/>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ListParagraph"/>
        <w:widowControl/>
        <w:numPr>
          <w:ilvl w:val="2"/>
          <w:numId w:val="2"/>
        </w:numPr>
        <w:shd w:val="clear" w:color="auto" w:fill="FFFFFF"/>
        <w:tabs>
          <w:tab w:val="clear" w:pos="708"/>
          <w:tab w:val="left" w:pos="0" w:leader="none"/>
          <w:tab w:val="left" w:pos="1418" w:leader="none"/>
        </w:tabs>
        <w:ind w:firstLine="709" w:left="0"/>
        <w:jc w:val="both"/>
        <w:rPr>
          <w:bCs/>
          <w:sz w:val="24"/>
          <w:szCs w:val="24"/>
        </w:rPr>
      </w:pPr>
      <w:r>
        <w:rPr>
          <w:bCs/>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такого несанкционированного раскрытия.</w:t>
      </w:r>
    </w:p>
    <w:p>
      <w:pPr>
        <w:pStyle w:val="ListParagraph"/>
        <w:widowControl/>
        <w:numPr>
          <w:ilvl w:val="2"/>
          <w:numId w:val="2"/>
        </w:numPr>
        <w:shd w:val="clear" w:color="auto" w:fill="FFFFFF"/>
        <w:tabs>
          <w:tab w:val="clear" w:pos="708"/>
          <w:tab w:val="left" w:pos="0" w:leader="none"/>
          <w:tab w:val="left" w:pos="1418" w:leader="none"/>
        </w:tabs>
        <w:ind w:firstLine="709" w:left="0"/>
        <w:jc w:val="both"/>
        <w:rPr>
          <w:bCs/>
          <w:sz w:val="24"/>
          <w:szCs w:val="24"/>
        </w:rPr>
      </w:pPr>
      <w:r>
        <w:rPr>
          <w:bCs/>
          <w:sz w:val="24"/>
          <w:szCs w:val="24"/>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w:t>
        <w:br/>
        <w:t xml:space="preserve">на технических средствах Поставщика. При этом Покупатель признает, что обязательства </w:t>
        <w:br/>
        <w:t xml:space="preserve">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w:t>
        <w:br/>
        <w:t xml:space="preserve">или методики создания резервных копий. </w:t>
      </w:r>
    </w:p>
    <w:p>
      <w:pPr>
        <w:pStyle w:val="ListParagraph"/>
        <w:widowControl/>
        <w:numPr>
          <w:ilvl w:val="2"/>
          <w:numId w:val="2"/>
        </w:numPr>
        <w:shd w:val="clear" w:color="auto" w:fill="FFFFFF"/>
        <w:tabs>
          <w:tab w:val="clear" w:pos="708"/>
          <w:tab w:val="left" w:pos="0" w:leader="none"/>
          <w:tab w:val="left" w:pos="1418" w:leader="none"/>
        </w:tabs>
        <w:ind w:firstLine="709" w:left="0"/>
        <w:jc w:val="both"/>
        <w:rPr>
          <w:bCs/>
          <w:sz w:val="24"/>
          <w:szCs w:val="24"/>
        </w:rPr>
      </w:pPr>
      <w:bookmarkStart w:id="7" w:name="_Ref361337832"/>
      <w:r>
        <w:rPr>
          <w:bCs/>
          <w:sz w:val="24"/>
          <w:szCs w:val="24"/>
        </w:rPr>
        <w:t xml:space="preserve">Раскрывать Информацию своим работникам, членам органов управления </w:t>
        <w:br/>
        <w:t xml:space="preserve">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w:t>
        <w:br/>
        <w:t>за свои собственные.</w:t>
      </w:r>
      <w:bookmarkEnd w:id="7"/>
    </w:p>
    <w:p>
      <w:pPr>
        <w:pStyle w:val="ListParagraph"/>
        <w:widowControl/>
        <w:numPr>
          <w:ilvl w:val="2"/>
          <w:numId w:val="2"/>
        </w:numPr>
        <w:shd w:val="clear" w:color="auto" w:fill="FFFFFF"/>
        <w:tabs>
          <w:tab w:val="clear" w:pos="708"/>
          <w:tab w:val="left" w:pos="0" w:leader="none"/>
          <w:tab w:val="left" w:pos="1418" w:leader="none"/>
        </w:tabs>
        <w:ind w:firstLine="709" w:left="0"/>
        <w:jc w:val="both"/>
        <w:rPr>
          <w:bCs/>
          <w:sz w:val="24"/>
          <w:szCs w:val="24"/>
        </w:rPr>
      </w:pPr>
      <w:r>
        <w:rPr>
          <w:bCs/>
          <w:sz w:val="24"/>
          <w:szCs w:val="24"/>
        </w:rPr>
        <w:t>Не разглашать третьим лицам факты передачи или получения Информации.</w:t>
      </w:r>
    </w:p>
    <w:p>
      <w:pPr>
        <w:pStyle w:val="ListParagraph"/>
        <w:widowControl/>
        <w:numPr>
          <w:ilvl w:val="1"/>
          <w:numId w:val="2"/>
        </w:numPr>
        <w:shd w:val="clear" w:color="auto" w:fill="FFFFFF"/>
        <w:tabs>
          <w:tab w:val="clear" w:pos="708"/>
          <w:tab w:val="left" w:pos="0" w:leader="none"/>
          <w:tab w:val="left" w:pos="1134" w:leader="none"/>
        </w:tabs>
        <w:ind w:firstLine="709" w:left="0"/>
        <w:jc w:val="both"/>
        <w:rPr>
          <w:bCs/>
          <w:sz w:val="24"/>
          <w:szCs w:val="24"/>
        </w:rPr>
      </w:pPr>
      <w:bookmarkStart w:id="8" w:name="_Ref361337863"/>
      <w:r>
        <w:rPr>
          <w:bCs/>
          <w:sz w:val="24"/>
          <w:szCs w:val="24"/>
        </w:rPr>
        <w:t xml:space="preserve">Поставщик, нарушивший условия настоящего раздела Договора, возмещает Покупателю убытки, вызванные таким нарушением, в течение 10 (десяти) календарных дней </w:t>
        <w:br/>
        <w:t>с даты получения соответствующего письменного требования Покупателя.</w:t>
      </w:r>
      <w:bookmarkEnd w:id="8"/>
    </w:p>
    <w:p>
      <w:pPr>
        <w:pStyle w:val="Normal"/>
        <w:numPr>
          <w:ilvl w:val="1"/>
          <w:numId w:val="2"/>
        </w:numPr>
        <w:shd w:val="clear" w:color="auto" w:fill="FFFFFF"/>
        <w:tabs>
          <w:tab w:val="clear" w:pos="708"/>
          <w:tab w:val="left" w:pos="0" w:leader="none"/>
          <w:tab w:val="left" w:pos="1134" w:leader="none"/>
        </w:tabs>
        <w:ind w:firstLine="709" w:left="0"/>
        <w:jc w:val="both"/>
        <w:rPr>
          <w:bCs/>
          <w:sz w:val="24"/>
          <w:szCs w:val="24"/>
        </w:rPr>
      </w:pPr>
      <w:r>
        <w:rPr>
          <w:bCs/>
          <w:sz w:val="24"/>
          <w:szCs w:val="24"/>
        </w:rPr>
        <w:t xml:space="preserve">Условия защиты Информации, представляемой Поставщиком Покупателю, могут быть дополнительно урегулированы отдельно заключаемым Сторонами соглашением. </w:t>
      </w:r>
    </w:p>
    <w:p>
      <w:pPr>
        <w:pStyle w:val="ListParagraph"/>
        <w:widowControl/>
        <w:shd w:val="clear" w:color="auto" w:fill="FFFFFF"/>
        <w:tabs>
          <w:tab w:val="clear" w:pos="708"/>
          <w:tab w:val="left" w:pos="1134" w:leader="none"/>
        </w:tabs>
        <w:ind w:hanging="0" w:left="709"/>
        <w:jc w:val="both"/>
        <w:rPr>
          <w:sz w:val="24"/>
          <w:szCs w:val="24"/>
        </w:rPr>
      </w:pPr>
      <w:r>
        <w:rPr>
          <w:sz w:val="24"/>
          <w:szCs w:val="24"/>
        </w:rPr>
      </w:r>
    </w:p>
    <w:p>
      <w:pPr>
        <w:pStyle w:val="ListParagraph"/>
        <w:widowControl/>
        <w:numPr>
          <w:ilvl w:val="0"/>
          <w:numId w:val="2"/>
        </w:numPr>
        <w:shd w:val="clear" w:color="auto" w:fill="FFFFFF"/>
        <w:tabs>
          <w:tab w:val="clear" w:pos="708"/>
          <w:tab w:val="left" w:pos="426" w:leader="none"/>
        </w:tabs>
        <w:ind w:hanging="0" w:left="0"/>
        <w:jc w:val="center"/>
        <w:rPr>
          <w:b/>
          <w:bCs/>
          <w:sz w:val="24"/>
          <w:szCs w:val="24"/>
        </w:rPr>
      </w:pPr>
      <w:r>
        <w:rPr>
          <w:b/>
          <w:bCs/>
          <w:sz w:val="24"/>
          <w:szCs w:val="24"/>
        </w:rPr>
        <w:t>Разрешение споров</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bCs/>
          <w:sz w:val="24"/>
          <w:szCs w:val="24"/>
        </w:rPr>
      </w:pPr>
      <w:r>
        <w:rPr>
          <w:bCs/>
          <w:sz w:val="24"/>
          <w:szCs w:val="24"/>
        </w:rPr>
        <w:t xml:space="preserve">Все споры, разногласия и требования, возникающие между Сторонами </w:t>
        <w:br/>
        <w:t>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bCs/>
          <w:sz w:val="24"/>
          <w:szCs w:val="24"/>
        </w:rPr>
      </w:pPr>
      <w:r>
        <w:rPr>
          <w:bCs/>
          <w:sz w:val="24"/>
          <w:szCs w:val="24"/>
        </w:rPr>
        <w:t>Споры, указанные в пункте 7.1 Договора, которые не были урегулированы Сторонами путем переговоров, подлежат разрешению в Арбитражном суде Республики Хакасия в соответствии с законодательством Российской Федерации.</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bCs/>
          <w:sz w:val="24"/>
          <w:szCs w:val="24"/>
        </w:rPr>
      </w:pPr>
      <w:r>
        <w:rPr>
          <w:bCs/>
          <w:sz w:val="24"/>
          <w:szCs w:val="24"/>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12.8 Договора.</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bCs/>
          <w:sz w:val="24"/>
          <w:szCs w:val="24"/>
        </w:rPr>
      </w:pPr>
      <w:r>
        <w:rPr>
          <w:bCs/>
          <w:sz w:val="24"/>
          <w:szCs w:val="24"/>
        </w:rPr>
        <w:t xml:space="preserve">Срок для рассмотрения претензии – 15 (пятнадцать) рабочих дней со дня </w:t>
        <w:br/>
        <w:t xml:space="preserve">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w:t>
        <w:br/>
        <w:t>с иском в суд.</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bCs/>
          <w:sz w:val="24"/>
          <w:szCs w:val="24"/>
        </w:rPr>
      </w:pPr>
      <w:r>
        <w:rPr>
          <w:bCs/>
          <w:sz w:val="24"/>
          <w:szCs w:val="24"/>
        </w:rPr>
        <w:t>Условия настоящего раздела сохраняют свою силу в случае признания Договора незаключенным и / или недействительным.</w:t>
      </w:r>
    </w:p>
    <w:p>
      <w:pPr>
        <w:pStyle w:val="Normal"/>
        <w:shd w:val="clear" w:color="auto" w:fill="FFFFFF"/>
        <w:jc w:val="both"/>
        <w:rPr>
          <w:bCs/>
          <w:sz w:val="24"/>
          <w:szCs w:val="24"/>
        </w:rPr>
      </w:pPr>
      <w:r>
        <w:rPr>
          <w:bCs/>
          <w:sz w:val="24"/>
          <w:szCs w:val="24"/>
        </w:rPr>
      </w:r>
    </w:p>
    <w:p>
      <w:pPr>
        <w:pStyle w:val="ListParagraph"/>
        <w:widowControl/>
        <w:numPr>
          <w:ilvl w:val="0"/>
          <w:numId w:val="2"/>
        </w:numPr>
        <w:shd w:val="clear" w:color="auto" w:fill="FFFFFF"/>
        <w:tabs>
          <w:tab w:val="clear" w:pos="708"/>
          <w:tab w:val="left" w:pos="426" w:leader="none"/>
        </w:tabs>
        <w:ind w:hanging="0" w:left="0"/>
        <w:jc w:val="center"/>
        <w:rPr>
          <w:b/>
          <w:bCs/>
          <w:sz w:val="24"/>
          <w:szCs w:val="24"/>
        </w:rPr>
      </w:pPr>
      <w:r>
        <w:rPr>
          <w:b/>
          <w:bCs/>
          <w:sz w:val="24"/>
          <w:szCs w:val="24"/>
        </w:rPr>
        <w:t>Антикоррупционная оговорка</w:t>
      </w:r>
    </w:p>
    <w:p>
      <w:pPr>
        <w:pStyle w:val="ListParagraph"/>
        <w:numPr>
          <w:ilvl w:val="1"/>
          <w:numId w:val="2"/>
        </w:numPr>
        <w:shd w:val="clear" w:color="auto" w:fill="FFFFFF"/>
        <w:tabs>
          <w:tab w:val="clear" w:pos="708"/>
          <w:tab w:val="left" w:pos="1134" w:leader="none"/>
        </w:tabs>
        <w:ind w:firstLine="709" w:left="0"/>
        <w:jc w:val="both"/>
        <w:rPr>
          <w:bCs/>
          <w:color w:val="000000"/>
          <w:sz w:val="24"/>
          <w:szCs w:val="24"/>
        </w:rPr>
      </w:pPr>
      <w:r>
        <w:rPr>
          <w:color w:val="000000"/>
          <w:sz w:val="24"/>
          <w:szCs w:val="24"/>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sz w:val="24"/>
          <w:szCs w:val="24"/>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Normal"/>
        <w:shd w:val="clear" w:color="auto" w:fill="FFFFFF"/>
        <w:tabs>
          <w:tab w:val="clear" w:pos="708"/>
          <w:tab w:val="left" w:pos="1134" w:leader="none"/>
        </w:tabs>
        <w:ind w:firstLine="709"/>
        <w:jc w:val="both"/>
        <w:rPr>
          <w:bCs/>
          <w:color w:val="000000"/>
          <w:sz w:val="24"/>
          <w:szCs w:val="24"/>
        </w:rPr>
      </w:pPr>
      <w:r>
        <w:rPr>
          <w:bCs/>
          <w:color w:val="000000"/>
          <w:sz w:val="24"/>
          <w:szCs w:val="24"/>
        </w:rPr>
        <w:t>8.2. 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Normal"/>
        <w:shd w:val="clear" w:color="auto" w:fill="FFFFFF"/>
        <w:tabs>
          <w:tab w:val="clear" w:pos="708"/>
          <w:tab w:val="left" w:pos="1134" w:leader="none"/>
        </w:tabs>
        <w:ind w:firstLine="709"/>
        <w:jc w:val="both"/>
        <w:rPr>
          <w:bCs/>
          <w:color w:val="000000"/>
          <w:sz w:val="24"/>
          <w:szCs w:val="24"/>
        </w:rPr>
      </w:pPr>
      <w:r>
        <w:rPr>
          <w:bCs/>
          <w:color w:val="000000"/>
          <w:sz w:val="24"/>
          <w:szCs w:val="24"/>
        </w:rPr>
        <w:t>8.3. 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Normal"/>
        <w:shd w:val="clear" w:color="auto" w:fill="FFFFFF"/>
        <w:tabs>
          <w:tab w:val="clear" w:pos="708"/>
          <w:tab w:val="left" w:pos="1134" w:leader="none"/>
        </w:tabs>
        <w:ind w:firstLine="709"/>
        <w:jc w:val="both"/>
        <w:rPr>
          <w:bCs/>
          <w:color w:val="000000"/>
          <w:sz w:val="24"/>
          <w:szCs w:val="24"/>
        </w:rPr>
      </w:pPr>
      <w:r>
        <w:rPr>
          <w:bCs/>
          <w:color w:val="000000"/>
          <w:sz w:val="24"/>
          <w:szCs w:val="24"/>
        </w:rPr>
        <w:t>8.4.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Normal"/>
        <w:shd w:val="clear" w:color="auto" w:fill="FFFFFF"/>
        <w:tabs>
          <w:tab w:val="clear" w:pos="708"/>
          <w:tab w:val="left" w:pos="1134" w:leader="none"/>
        </w:tabs>
        <w:ind w:firstLine="709"/>
        <w:jc w:val="both"/>
        <w:rPr>
          <w:bCs/>
          <w:color w:val="000000"/>
          <w:sz w:val="24"/>
          <w:szCs w:val="24"/>
        </w:rPr>
      </w:pPr>
      <w:r>
        <w:rPr>
          <w:bCs/>
          <w:color w:val="000000"/>
          <w:sz w:val="24"/>
          <w:szCs w:val="24"/>
        </w:rPr>
        <w:t xml:space="preserve">8.5.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Normal"/>
        <w:shd w:val="clear" w:color="auto" w:fill="FFFFFF"/>
        <w:tabs>
          <w:tab w:val="clear" w:pos="708"/>
          <w:tab w:val="left" w:pos="1134" w:leader="none"/>
        </w:tabs>
        <w:ind w:firstLine="709"/>
        <w:jc w:val="both"/>
        <w:rPr>
          <w:bCs/>
          <w:color w:val="000000"/>
          <w:sz w:val="24"/>
          <w:szCs w:val="24"/>
        </w:rPr>
      </w:pPr>
      <w:r>
        <w:rPr>
          <w:bCs/>
          <w:color w:val="000000"/>
          <w:sz w:val="24"/>
          <w:szCs w:val="24"/>
        </w:rPr>
        <w:t xml:space="preserve">8.6.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Normal"/>
        <w:shd w:val="clear" w:color="auto" w:fill="FFFFFF"/>
        <w:tabs>
          <w:tab w:val="clear" w:pos="708"/>
          <w:tab w:val="left" w:pos="567" w:leader="none"/>
          <w:tab w:val="left" w:pos="1134" w:leader="none"/>
        </w:tabs>
        <w:ind w:firstLine="709"/>
        <w:jc w:val="both"/>
        <w:rPr>
          <w:color w:val="000000"/>
          <w:sz w:val="24"/>
          <w:szCs w:val="24"/>
        </w:rPr>
      </w:pPr>
      <w:r>
        <w:rPr>
          <w:color w:val="000000"/>
          <w:sz w:val="24"/>
          <w:szCs w:val="24"/>
        </w:rPr>
        <w:t xml:space="preserve">8.7.  Каналы связи Линия доверия Группы РусГидро: </w:t>
      </w:r>
    </w:p>
    <w:p>
      <w:pPr>
        <w:pStyle w:val="Normal"/>
        <w:shd w:val="clear" w:color="auto" w:fill="FFFFFF"/>
        <w:tabs>
          <w:tab w:val="clear" w:pos="708"/>
          <w:tab w:val="left" w:pos="567" w:leader="none"/>
          <w:tab w:val="left" w:pos="1134" w:leader="none"/>
        </w:tabs>
        <w:ind w:firstLine="709"/>
        <w:jc w:val="both"/>
        <w:rPr>
          <w:sz w:val="24"/>
          <w:szCs w:val="24"/>
        </w:rPr>
      </w:pPr>
      <w:r>
        <w:rPr>
          <w:sz w:val="24"/>
          <w:szCs w:val="24"/>
        </w:rPr>
        <w:t>8.7.1. Электронная почта: ld@rushydro.ru.</w:t>
      </w:r>
    </w:p>
    <w:p>
      <w:pPr>
        <w:pStyle w:val="Normal"/>
        <w:shd w:val="clear" w:color="auto" w:fill="FFFFFF"/>
        <w:tabs>
          <w:tab w:val="clear" w:pos="708"/>
          <w:tab w:val="left" w:pos="567" w:leader="none"/>
          <w:tab w:val="left" w:pos="1134" w:leader="none"/>
        </w:tabs>
        <w:ind w:firstLine="709"/>
        <w:jc w:val="both"/>
        <w:rPr>
          <w:sz w:val="24"/>
          <w:szCs w:val="24"/>
        </w:rPr>
      </w:pPr>
      <w:r>
        <w:rPr>
          <w:sz w:val="24"/>
          <w:szCs w:val="24"/>
        </w:rPr>
        <w:t>8.7.2. 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pPr>
        <w:pStyle w:val="Normal"/>
        <w:ind w:firstLine="709"/>
        <w:jc w:val="both"/>
        <w:rPr>
          <w:sz w:val="24"/>
          <w:szCs w:val="24"/>
        </w:rPr>
      </w:pPr>
      <w:r>
        <w:rPr>
          <w:sz w:val="24"/>
          <w:szCs w:val="24"/>
        </w:rPr>
        <w:t>8.7.3. 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ListParagraph"/>
        <w:shd w:val="clear" w:color="auto" w:fill="FFFFFF"/>
        <w:tabs>
          <w:tab w:val="clear" w:pos="708"/>
          <w:tab w:val="left" w:pos="0" w:leader="none"/>
          <w:tab w:val="left" w:pos="284" w:leader="none"/>
          <w:tab w:val="left" w:pos="567" w:leader="none"/>
        </w:tabs>
        <w:ind w:firstLine="709" w:left="0"/>
        <w:jc w:val="both"/>
        <w:rPr>
          <w:b/>
          <w:bCs/>
          <w:sz w:val="24"/>
          <w:szCs w:val="24"/>
        </w:rPr>
      </w:pPr>
      <w:r>
        <w:rPr>
          <w:b/>
          <w:bCs/>
          <w:sz w:val="24"/>
          <w:szCs w:val="24"/>
        </w:rPr>
      </w:r>
    </w:p>
    <w:p>
      <w:pPr>
        <w:pStyle w:val="ListParagraph"/>
        <w:widowControl/>
        <w:numPr>
          <w:ilvl w:val="0"/>
          <w:numId w:val="2"/>
        </w:numPr>
        <w:shd w:val="clear" w:color="auto" w:fill="FFFFFF"/>
        <w:tabs>
          <w:tab w:val="clear" w:pos="708"/>
          <w:tab w:val="left" w:pos="426" w:leader="none"/>
        </w:tabs>
        <w:ind w:hanging="0" w:left="0"/>
        <w:jc w:val="center"/>
        <w:rPr>
          <w:b/>
          <w:bCs/>
          <w:sz w:val="24"/>
          <w:szCs w:val="24"/>
        </w:rPr>
      </w:pPr>
      <w:r>
        <w:rPr>
          <w:b/>
          <w:bCs/>
          <w:sz w:val="24"/>
          <w:szCs w:val="24"/>
        </w:rPr>
        <w:t>Обстоятельства непреодолимой силы (форс-мажор)</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bCs/>
          <w:sz w:val="24"/>
          <w:szCs w:val="24"/>
        </w:rPr>
      </w:pPr>
      <w:r>
        <w:rPr>
          <w:bCs/>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bCs/>
          <w:sz w:val="24"/>
          <w:szCs w:val="24"/>
        </w:rPr>
      </w:pPr>
      <w:r>
        <w:rPr>
          <w:bCs/>
          <w:sz w:val="24"/>
          <w:szCs w:val="24"/>
        </w:rPr>
        <w:t xml:space="preserve">Сторона имеет право ссылаться на обстоятельства непреодолимой силы только </w:t>
        <w:br/>
        <w:t>в случае, если такие обстоятельства непосредственно повлияли на возможность исполнения этой Стороной условий Договора.</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bCs/>
          <w:sz w:val="24"/>
          <w:szCs w:val="24"/>
        </w:rPr>
      </w:pPr>
      <w:r>
        <w:rPr>
          <w:bCs/>
          <w:sz w:val="24"/>
          <w:szCs w:val="24"/>
        </w:rPr>
        <w:t xml:space="preserve">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w:t>
        <w:br/>
        <w:t>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bCs/>
          <w:sz w:val="24"/>
          <w:szCs w:val="24"/>
        </w:rPr>
      </w:pPr>
      <w:r>
        <w:rPr>
          <w:sz w:val="24"/>
          <w:szCs w:val="24"/>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bCs/>
          <w:sz w:val="24"/>
          <w:szCs w:val="24"/>
        </w:rPr>
      </w:pPr>
      <w:r>
        <w:rPr>
          <w:bCs/>
          <w:sz w:val="24"/>
          <w:szCs w:val="24"/>
        </w:rPr>
        <w:t xml:space="preserve">Отсутствие уведомления или несвоевременное уведомление </w:t>
        <w:br/>
        <w:t xml:space="preserve">об обстоятельствах непреодолимой силы лишает соответствующую Сторону права </w:t>
        <w:br/>
        <w:t xml:space="preserve">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pPr>
        <w:pStyle w:val="ListParagraph"/>
        <w:widowControl/>
        <w:numPr>
          <w:ilvl w:val="1"/>
          <w:numId w:val="2"/>
        </w:numPr>
        <w:shd w:val="clear" w:color="auto" w:fill="FFFFFF"/>
        <w:tabs>
          <w:tab w:val="clear" w:pos="708"/>
          <w:tab w:val="left" w:pos="0" w:leader="none"/>
          <w:tab w:val="left" w:pos="568" w:leader="none"/>
          <w:tab w:val="left" w:pos="1418" w:leader="none"/>
        </w:tabs>
        <w:ind w:firstLine="709" w:left="0"/>
        <w:jc w:val="both"/>
        <w:rPr>
          <w:bCs/>
          <w:sz w:val="24"/>
          <w:szCs w:val="24"/>
        </w:rPr>
      </w:pPr>
      <w:r>
        <w:rPr>
          <w:bCs/>
          <w:sz w:val="24"/>
          <w:szCs w:val="24"/>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pPr>
        <w:pStyle w:val="ListParagraph"/>
        <w:shd w:val="clear" w:color="auto" w:fill="FFFFFF"/>
        <w:tabs>
          <w:tab w:val="clear" w:pos="708"/>
          <w:tab w:val="left" w:pos="0" w:leader="none"/>
          <w:tab w:val="left" w:pos="568" w:leader="none"/>
          <w:tab w:val="left" w:pos="1418" w:leader="none"/>
        </w:tabs>
        <w:ind w:firstLine="709" w:left="0"/>
        <w:jc w:val="both"/>
        <w:rPr>
          <w:bCs/>
          <w:sz w:val="24"/>
          <w:szCs w:val="24"/>
        </w:rPr>
      </w:pPr>
      <w:r>
        <w:rPr>
          <w:bCs/>
          <w:sz w:val="24"/>
          <w:szCs w:val="24"/>
        </w:rPr>
        <w:t xml:space="preserve">При этом любая из Сторон вправе отказаться от исполнения Договора </w:t>
        <w:br/>
        <w:t>в одностороннем внесудебном порядке.</w:t>
      </w:r>
    </w:p>
    <w:p>
      <w:pPr>
        <w:pStyle w:val="Normal"/>
        <w:shd w:val="clear" w:color="auto" w:fill="FFFFFF"/>
        <w:jc w:val="both"/>
        <w:rPr>
          <w:sz w:val="24"/>
          <w:szCs w:val="24"/>
        </w:rPr>
      </w:pPr>
      <w:r>
        <w:rPr>
          <w:sz w:val="24"/>
          <w:szCs w:val="24"/>
        </w:rPr>
      </w:r>
    </w:p>
    <w:p>
      <w:pPr>
        <w:pStyle w:val="ListParagraph"/>
        <w:widowControl/>
        <w:numPr>
          <w:ilvl w:val="0"/>
          <w:numId w:val="2"/>
        </w:numPr>
        <w:shd w:val="clear" w:color="auto" w:fill="FFFFFF"/>
        <w:tabs>
          <w:tab w:val="clear" w:pos="708"/>
          <w:tab w:val="left" w:pos="426" w:leader="none"/>
          <w:tab w:val="left" w:pos="567" w:leader="none"/>
        </w:tabs>
        <w:ind w:hanging="0" w:left="0"/>
        <w:jc w:val="center"/>
        <w:rPr>
          <w:b/>
          <w:sz w:val="24"/>
          <w:szCs w:val="24"/>
        </w:rPr>
      </w:pPr>
      <w:r>
        <w:rPr>
          <w:b/>
          <w:bCs/>
          <w:sz w:val="24"/>
          <w:szCs w:val="24"/>
        </w:rPr>
        <w:t>Заверения</w:t>
      </w:r>
      <w:r>
        <w:rPr>
          <w:b/>
          <w:sz w:val="24"/>
          <w:szCs w:val="24"/>
        </w:rPr>
        <w:t xml:space="preserve"> Сторон</w:t>
      </w:r>
    </w:p>
    <w:p>
      <w:pPr>
        <w:pStyle w:val="ListParagraph"/>
        <w:widowControl/>
        <w:numPr>
          <w:ilvl w:val="1"/>
          <w:numId w:val="2"/>
        </w:numPr>
        <w:shd w:val="clear" w:color="auto" w:fill="FFFFFF"/>
        <w:tabs>
          <w:tab w:val="clear" w:pos="708"/>
          <w:tab w:val="left" w:pos="0" w:leader="none"/>
          <w:tab w:val="left" w:pos="1134" w:leader="none"/>
          <w:tab w:val="left" w:pos="1418" w:leader="none"/>
        </w:tabs>
        <w:ind w:firstLine="709" w:left="0"/>
        <w:jc w:val="both"/>
        <w:rPr>
          <w:sz w:val="24"/>
          <w:szCs w:val="24"/>
        </w:rPr>
      </w:pPr>
      <w:r>
        <w:rPr>
          <w:bCs/>
          <w:sz w:val="24"/>
          <w:szCs w:val="24"/>
        </w:rPr>
        <w:t>Каждая</w:t>
      </w:r>
      <w:r>
        <w:rPr>
          <w:sz w:val="24"/>
          <w:szCs w:val="24"/>
        </w:rPr>
        <w:t xml:space="preserve"> из Сторон заявляет и подтверждает другой Стороне, что: </w:t>
      </w:r>
    </w:p>
    <w:p>
      <w:pPr>
        <w:pStyle w:val="ListParagraph"/>
        <w:widowControl/>
        <w:numPr>
          <w:ilvl w:val="0"/>
          <w:numId w:val="7"/>
        </w:numPr>
        <w:shd w:val="clear" w:color="auto" w:fill="FFFFFF"/>
        <w:tabs>
          <w:tab w:val="clear" w:pos="708"/>
          <w:tab w:val="left" w:pos="0" w:leader="none"/>
          <w:tab w:val="left" w:pos="709" w:leader="none"/>
          <w:tab w:val="left" w:pos="1418" w:leader="none"/>
        </w:tabs>
        <w:ind w:firstLine="709" w:left="0"/>
        <w:jc w:val="both"/>
        <w:rPr>
          <w:sz w:val="24"/>
          <w:szCs w:val="24"/>
        </w:rPr>
      </w:pPr>
      <w:r>
        <w:rPr>
          <w:sz w:val="24"/>
          <w:szCs w:val="24"/>
        </w:rPr>
        <w:t xml:space="preserve">она является юридическим лицом, надлежащим образом учрежденным </w:t>
        <w:br/>
        <w:t>и правомерно осуществляющим свою деятельность в соответствии с законодательством Российской Федерации;</w:t>
      </w:r>
    </w:p>
    <w:p>
      <w:pPr>
        <w:pStyle w:val="ListParagraph"/>
        <w:widowControl/>
        <w:numPr>
          <w:ilvl w:val="0"/>
          <w:numId w:val="7"/>
        </w:numPr>
        <w:shd w:val="clear" w:color="auto" w:fill="FFFFFF"/>
        <w:tabs>
          <w:tab w:val="clear" w:pos="708"/>
          <w:tab w:val="left" w:pos="0" w:leader="none"/>
          <w:tab w:val="left" w:pos="709" w:leader="none"/>
          <w:tab w:val="left" w:pos="1418" w:leader="none"/>
        </w:tabs>
        <w:ind w:firstLine="709" w:left="0"/>
        <w:jc w:val="both"/>
        <w:rPr>
          <w:sz w:val="24"/>
          <w:szCs w:val="24"/>
        </w:rPr>
      </w:pPr>
      <w:r>
        <w:rPr>
          <w:sz w:val="24"/>
          <w:szCs w:val="24"/>
        </w:rPr>
        <w:t xml:space="preserve">она обладает полной правоспособностью на заключение Договора </w:t>
        <w:br/>
        <w:t>и исполнение всех своих обязательств, возникающих из Договора или в связи с ним;</w:t>
      </w:r>
    </w:p>
    <w:p>
      <w:pPr>
        <w:pStyle w:val="ListParagraph"/>
        <w:widowControl/>
        <w:numPr>
          <w:ilvl w:val="0"/>
          <w:numId w:val="7"/>
        </w:numPr>
        <w:shd w:val="clear" w:color="auto" w:fill="FFFFFF"/>
        <w:tabs>
          <w:tab w:val="clear" w:pos="708"/>
          <w:tab w:val="left" w:pos="0" w:leader="none"/>
          <w:tab w:val="left" w:pos="709" w:leader="none"/>
          <w:tab w:val="left" w:pos="1418" w:leader="none"/>
        </w:tabs>
        <w:ind w:firstLine="709" w:left="0"/>
        <w:jc w:val="both"/>
        <w:rPr>
          <w:sz w:val="24"/>
          <w:szCs w:val="24"/>
        </w:rPr>
      </w:pPr>
      <w:r>
        <w:rPr>
          <w:sz w:val="24"/>
          <w:szCs w:val="24"/>
        </w:rPr>
        <w:t xml:space="preserve">она получила все корпоративные одобрения Договора органами управления </w:t>
        <w:br/>
        <w:t xml:space="preserve">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w:t>
        <w:br/>
        <w:t>и иных лиц, необходимые для заключения и исполнения Договора;</w:t>
      </w:r>
    </w:p>
    <w:p>
      <w:pPr>
        <w:pStyle w:val="ListParagraph"/>
        <w:widowControl/>
        <w:numPr>
          <w:ilvl w:val="0"/>
          <w:numId w:val="7"/>
        </w:numPr>
        <w:shd w:val="clear" w:color="auto" w:fill="FFFFFF"/>
        <w:tabs>
          <w:tab w:val="clear" w:pos="708"/>
          <w:tab w:val="left" w:pos="0" w:leader="none"/>
          <w:tab w:val="left" w:pos="709" w:leader="none"/>
          <w:tab w:val="left" w:pos="1418" w:leader="none"/>
        </w:tabs>
        <w:ind w:firstLine="709" w:left="0"/>
        <w:jc w:val="both"/>
        <w:rPr>
          <w:sz w:val="24"/>
          <w:szCs w:val="24"/>
        </w:rPr>
      </w:pPr>
      <w:r>
        <w:rPr>
          <w:sz w:val="24"/>
          <w:szCs w:val="24"/>
        </w:rPr>
        <w:t>лица, подписывающие от имени Сторон Договор, надлежащим образом уполномочены на его подписание;</w:t>
      </w:r>
    </w:p>
    <w:p>
      <w:pPr>
        <w:pStyle w:val="ListParagraph"/>
        <w:widowControl/>
        <w:numPr>
          <w:ilvl w:val="0"/>
          <w:numId w:val="7"/>
        </w:numPr>
        <w:shd w:val="clear" w:color="auto" w:fill="FFFFFF"/>
        <w:tabs>
          <w:tab w:val="clear" w:pos="708"/>
          <w:tab w:val="left" w:pos="0" w:leader="none"/>
          <w:tab w:val="left" w:pos="709" w:leader="none"/>
          <w:tab w:val="left" w:pos="1418" w:leader="none"/>
        </w:tabs>
        <w:ind w:firstLine="709" w:left="0"/>
        <w:jc w:val="both"/>
        <w:rPr>
          <w:sz w:val="24"/>
          <w:szCs w:val="24"/>
        </w:rPr>
      </w:pPr>
      <w:r>
        <w:rPr>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w:t>
        <w:br/>
        <w:t xml:space="preserve">или в связи с ним. </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sz w:val="24"/>
          <w:szCs w:val="24"/>
        </w:rPr>
      </w:pPr>
      <w:r>
        <w:rPr>
          <w:sz w:val="24"/>
          <w:szCs w:val="24"/>
        </w:rPr>
        <w:t>Поставщик заявляет и заверяет Покупателя в том, что на момент заключения Договора:</w:t>
      </w:r>
    </w:p>
    <w:p>
      <w:pPr>
        <w:pStyle w:val="ListParagraph"/>
        <w:widowControl/>
        <w:numPr>
          <w:ilvl w:val="0"/>
          <w:numId w:val="9"/>
        </w:numPr>
        <w:shd w:val="clear" w:color="auto" w:fill="FFFFFF"/>
        <w:tabs>
          <w:tab w:val="clear" w:pos="708"/>
          <w:tab w:val="left" w:pos="0" w:leader="none"/>
          <w:tab w:val="left" w:pos="709" w:leader="none"/>
        </w:tabs>
        <w:ind w:firstLine="709" w:left="0"/>
        <w:jc w:val="both"/>
        <w:rPr>
          <w:sz w:val="24"/>
          <w:szCs w:val="24"/>
        </w:rPr>
      </w:pPr>
      <w:r>
        <w:rPr>
          <w:sz w:val="24"/>
          <w:szCs w:val="24"/>
        </w:rPr>
        <w:t>учредителем / учредителями Поставщика являются лица, не являющиеся массовыми учредителем / учредителями;</w:t>
      </w:r>
    </w:p>
    <w:p>
      <w:pPr>
        <w:pStyle w:val="ListParagraph"/>
        <w:widowControl/>
        <w:numPr>
          <w:ilvl w:val="0"/>
          <w:numId w:val="9"/>
        </w:numPr>
        <w:shd w:val="clear" w:color="auto" w:fill="FFFFFF"/>
        <w:tabs>
          <w:tab w:val="clear" w:pos="708"/>
          <w:tab w:val="left" w:pos="0" w:leader="none"/>
          <w:tab w:val="left" w:pos="709" w:leader="none"/>
        </w:tabs>
        <w:ind w:firstLine="709" w:left="0"/>
        <w:jc w:val="both"/>
        <w:rPr>
          <w:sz w:val="24"/>
          <w:szCs w:val="24"/>
        </w:rPr>
      </w:pPr>
      <w:r>
        <w:rPr>
          <w:sz w:val="24"/>
          <w:szCs w:val="24"/>
        </w:rPr>
        <w:t>руководителем Поставщика является лицо, не являющееся массовым руководителем;</w:t>
      </w:r>
    </w:p>
    <w:p>
      <w:pPr>
        <w:pStyle w:val="ListParagraph"/>
        <w:widowControl/>
        <w:numPr>
          <w:ilvl w:val="0"/>
          <w:numId w:val="9"/>
        </w:numPr>
        <w:shd w:val="clear" w:color="auto" w:fill="FFFFFF"/>
        <w:tabs>
          <w:tab w:val="clear" w:pos="708"/>
          <w:tab w:val="left" w:pos="0" w:leader="none"/>
          <w:tab w:val="left" w:pos="709" w:leader="none"/>
        </w:tabs>
        <w:ind w:firstLine="709" w:left="0"/>
        <w:jc w:val="both"/>
        <w:rPr>
          <w:sz w:val="24"/>
          <w:szCs w:val="24"/>
        </w:rPr>
      </w:pPr>
      <w:r>
        <w:rPr>
          <w:sz w:val="24"/>
          <w:szCs w:val="24"/>
        </w:rPr>
        <w:t xml:space="preserve">Поставщик фактически находится по адресу, указанному в Едином государственном реестре юридических лиц; </w:t>
      </w:r>
    </w:p>
    <w:p>
      <w:pPr>
        <w:pStyle w:val="ListParagraph"/>
        <w:widowControl/>
        <w:numPr>
          <w:ilvl w:val="0"/>
          <w:numId w:val="9"/>
        </w:numPr>
        <w:shd w:val="clear" w:color="auto" w:fill="FFFFFF"/>
        <w:tabs>
          <w:tab w:val="clear" w:pos="708"/>
          <w:tab w:val="left" w:pos="0" w:leader="none"/>
          <w:tab w:val="left" w:pos="709" w:leader="none"/>
        </w:tabs>
        <w:ind w:firstLine="709" w:left="0"/>
        <w:jc w:val="both"/>
        <w:rPr>
          <w:sz w:val="24"/>
          <w:szCs w:val="24"/>
        </w:rPr>
      </w:pPr>
      <w:r>
        <w:rPr>
          <w:sz w:val="24"/>
          <w:szCs w:val="24"/>
        </w:rPr>
        <w:t xml:space="preserve">Поставщик своевременно и в полном объеме уплачивает налоги и сборы </w:t>
        <w:br/>
        <w:t>в соответствии с законодательством Российской Федерации;</w:t>
      </w:r>
    </w:p>
    <w:p>
      <w:pPr>
        <w:pStyle w:val="ListParagraph"/>
        <w:widowControl/>
        <w:numPr>
          <w:ilvl w:val="0"/>
          <w:numId w:val="8"/>
        </w:numPr>
        <w:shd w:val="clear" w:color="auto" w:fill="FFFFFF"/>
        <w:tabs>
          <w:tab w:val="clear" w:pos="708"/>
          <w:tab w:val="left" w:pos="0" w:leader="none"/>
          <w:tab w:val="left" w:pos="567" w:leader="none"/>
        </w:tabs>
        <w:ind w:firstLine="709" w:left="0"/>
        <w:jc w:val="both"/>
        <w:rPr>
          <w:sz w:val="24"/>
          <w:szCs w:val="24"/>
        </w:rPr>
      </w:pPr>
      <w:r>
        <w:rPr>
          <w:sz w:val="24"/>
          <w:szCs w:val="24"/>
        </w:rPr>
        <w:t xml:space="preserve">Поставщик не находится в процедуре несостоятельности (банкротства) </w:t>
        <w:br/>
        <w:t>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Договора или в связи с ним;</w:t>
      </w:r>
    </w:p>
    <w:p>
      <w:pPr>
        <w:pStyle w:val="ListParagraph"/>
        <w:widowControl/>
        <w:numPr>
          <w:ilvl w:val="0"/>
          <w:numId w:val="8"/>
        </w:numPr>
        <w:shd w:val="clear" w:color="auto" w:fill="FFFFFF"/>
        <w:tabs>
          <w:tab w:val="clear" w:pos="708"/>
          <w:tab w:val="left" w:pos="0" w:leader="none"/>
          <w:tab w:val="left" w:pos="567" w:leader="none"/>
        </w:tabs>
        <w:ind w:firstLine="709" w:left="0"/>
        <w:jc w:val="both"/>
        <w:rPr>
          <w:sz w:val="24"/>
          <w:szCs w:val="24"/>
        </w:rPr>
      </w:pPr>
      <w:r>
        <w:rPr>
          <w:sz w:val="24"/>
          <w:szCs w:val="24"/>
        </w:rPr>
        <w:t xml:space="preserve">Поставщик тщательно изучил всю информацию, связанную с Договором, </w:t>
        <w:br/>
        <w:t>в том числе по вопросам, влияющим на сроки, стоимость и качество Товара, полностью ознакомлен со всеми условиями поставки Товара, и принимает на себя все расходы, риски и трудности исполнения обязательств, возникающих из Договора или в связи с ним;</w:t>
      </w:r>
    </w:p>
    <w:p>
      <w:pPr>
        <w:pStyle w:val="ListParagraph"/>
        <w:widowControl/>
        <w:numPr>
          <w:ilvl w:val="0"/>
          <w:numId w:val="8"/>
        </w:numPr>
        <w:shd w:val="clear" w:color="auto" w:fill="FFFFFF"/>
        <w:tabs>
          <w:tab w:val="clear" w:pos="708"/>
          <w:tab w:val="left" w:pos="0" w:leader="none"/>
          <w:tab w:val="left" w:pos="567" w:leader="none"/>
        </w:tabs>
        <w:ind w:firstLine="709" w:left="0"/>
        <w:jc w:val="both"/>
        <w:rPr>
          <w:sz w:val="24"/>
          <w:szCs w:val="24"/>
        </w:rPr>
      </w:pPr>
      <w:r>
        <w:rPr>
          <w:sz w:val="24"/>
          <w:szCs w:val="24"/>
        </w:rPr>
        <w:t xml:space="preserve">Поставщик своевременно и в полном объеме в соответствии </w:t>
        <w:br/>
        <w:t>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widowControl/>
        <w:numPr>
          <w:ilvl w:val="0"/>
          <w:numId w:val="8"/>
        </w:numPr>
        <w:shd w:val="clear" w:color="auto" w:fill="FFFFFF"/>
        <w:tabs>
          <w:tab w:val="clear" w:pos="708"/>
          <w:tab w:val="left" w:pos="0" w:leader="none"/>
          <w:tab w:val="left" w:pos="567" w:leader="none"/>
        </w:tabs>
        <w:ind w:firstLine="709" w:left="0"/>
        <w:jc w:val="both"/>
        <w:rPr>
          <w:sz w:val="24"/>
          <w:szCs w:val="24"/>
        </w:rPr>
      </w:pPr>
      <w:r>
        <w:rPr>
          <w:sz w:val="24"/>
          <w:szCs w:val="24"/>
        </w:rPr>
        <w:t xml:space="preserve">вся информация, предоставленная Покупателю, является достоверной, полной </w:t>
        <w:br/>
        <w:t xml:space="preserve">и точной, и Поставщик не скрыл никаких обстоятельств, которые при их обнаружении могли </w:t>
        <w:br/>
        <w:t>бы негативно повлиять на решение Покупателя заключить Договор на указанных в нем условиях.</w:t>
      </w:r>
    </w:p>
    <w:p>
      <w:pPr>
        <w:pStyle w:val="Normal"/>
        <w:widowControl/>
        <w:numPr>
          <w:ilvl w:val="1"/>
          <w:numId w:val="2"/>
        </w:numPr>
        <w:tabs>
          <w:tab w:val="clear" w:pos="708"/>
          <w:tab w:val="left" w:pos="0" w:leader="none"/>
          <w:tab w:val="left" w:pos="1418" w:leader="none"/>
        </w:tabs>
        <w:ind w:firstLine="709" w:left="0"/>
        <w:jc w:val="both"/>
        <w:rPr>
          <w:sz w:val="24"/>
          <w:szCs w:val="24"/>
        </w:rPr>
      </w:pPr>
      <w:r>
        <w:rPr>
          <w:sz w:val="24"/>
          <w:szCs w:val="24"/>
        </w:rPr>
        <w:t xml:space="preserve">При заключении и исполнении Договора каждая Сторона полагается </w:t>
        <w:br/>
        <w:t xml:space="preserve">на достоверность, точность и полноту заверений другой Стороны, изложенных в настоящем разделе Договора. </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sz w:val="24"/>
          <w:szCs w:val="24"/>
        </w:rPr>
      </w:pPr>
      <w:r>
        <w:rPr>
          <w:sz w:val="24"/>
          <w:szCs w:val="24"/>
        </w:rPr>
        <w:t xml:space="preserve">В случае, если </w:t>
      </w:r>
      <w:r>
        <w:rPr>
          <w:bCs/>
          <w:sz w:val="24"/>
          <w:szCs w:val="24"/>
        </w:rPr>
        <w:t xml:space="preserve">Поставщик </w:t>
      </w:r>
      <w:r>
        <w:rPr>
          <w:sz w:val="24"/>
          <w:szCs w:val="24"/>
        </w:rPr>
        <w:t xml:space="preserve">при заключении Договора предоставил Покупателю недостоверные заверения о любом из указанных в настоящем разделе Договора обстоятельств, имеющих существенное значение для заключения и исполнения Договора, </w:t>
      </w:r>
      <w:r>
        <w:rPr>
          <w:bCs/>
          <w:sz w:val="24"/>
          <w:szCs w:val="24"/>
        </w:rPr>
        <w:t xml:space="preserve">Поставщик </w:t>
      </w:r>
      <w:r>
        <w:rPr>
          <w:sz w:val="24"/>
          <w:szCs w:val="24"/>
        </w:rPr>
        <w:t xml:space="preserve">обязан </w:t>
        <w:br/>
        <w:t>по письменному требованию Покупателя уплатить последнему штраф в размере 5 (пяти) процентов от Цены Договора, указанной в пункте 2.1 Договора.</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sz w:val="24"/>
          <w:szCs w:val="24"/>
        </w:rPr>
      </w:pPr>
      <w:r>
        <w:rPr>
          <w:sz w:val="24"/>
          <w:szCs w:val="24"/>
        </w:rPr>
        <w:t>Недостоверность, неточность или неполнота любых указанных в настоящем разделе Договора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ListParagraph"/>
        <w:widowControl/>
        <w:shd w:val="clear" w:color="auto" w:fill="FFFFFF"/>
        <w:tabs>
          <w:tab w:val="clear" w:pos="708"/>
          <w:tab w:val="left" w:pos="1134" w:leader="none"/>
          <w:tab w:val="left" w:pos="1418" w:leader="none"/>
        </w:tabs>
        <w:ind w:hanging="0" w:left="709"/>
        <w:jc w:val="both"/>
        <w:rPr>
          <w:sz w:val="24"/>
          <w:szCs w:val="24"/>
        </w:rPr>
      </w:pPr>
      <w:r>
        <w:rPr>
          <w:sz w:val="24"/>
          <w:szCs w:val="24"/>
        </w:rPr>
      </w:r>
    </w:p>
    <w:p>
      <w:pPr>
        <w:pStyle w:val="ListParagraph"/>
        <w:widowControl/>
        <w:numPr>
          <w:ilvl w:val="0"/>
          <w:numId w:val="2"/>
        </w:numPr>
        <w:shd w:val="clear" w:color="auto" w:fill="FFFFFF"/>
        <w:tabs>
          <w:tab w:val="clear" w:pos="708"/>
          <w:tab w:val="left" w:pos="426" w:leader="none"/>
        </w:tabs>
        <w:ind w:hanging="0" w:left="0"/>
        <w:jc w:val="center"/>
        <w:rPr>
          <w:b/>
          <w:sz w:val="24"/>
          <w:szCs w:val="24"/>
        </w:rPr>
      </w:pPr>
      <w:r>
        <w:rPr>
          <w:b/>
          <w:bCs/>
          <w:sz w:val="24"/>
          <w:szCs w:val="24"/>
        </w:rPr>
        <w:t>П</w:t>
      </w:r>
      <w:r>
        <w:rPr>
          <w:b/>
          <w:sz w:val="24"/>
          <w:szCs w:val="24"/>
        </w:rPr>
        <w:t>рекращение (расторжение) Договора</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sz w:val="24"/>
          <w:szCs w:val="24"/>
        </w:rPr>
      </w:pPr>
      <w:r>
        <w:rPr>
          <w:sz w:val="24"/>
          <w:szCs w:val="24"/>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12.8 Договора, с приложением подписанного соглашения о расторжении Договора. Уведомление должно быть рассмотрено Стороной-получателем в течение 30 (тридцати) календарных дней со дня его получения.</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sz w:val="24"/>
          <w:szCs w:val="24"/>
        </w:rPr>
      </w:pPr>
      <w:r>
        <w:rPr>
          <w:sz w:val="24"/>
          <w:szCs w:val="24"/>
        </w:rPr>
        <w:t xml:space="preserve">В случае существенного нарушения Договора Поставщиком Покупатель вправе </w:t>
        <w:br/>
        <w:t>в одностороннем внесудебном порядке отказаться от Договора и потребовать полного возмещения Поставщиком убытков, причиненных отказом от Договора (исполнения Договора).</w:t>
      </w:r>
    </w:p>
    <w:p>
      <w:pPr>
        <w:pStyle w:val="ListParagraph"/>
        <w:shd w:val="clear" w:color="auto" w:fill="FFFFFF"/>
        <w:tabs>
          <w:tab w:val="clear" w:pos="708"/>
          <w:tab w:val="left" w:pos="0" w:leader="none"/>
          <w:tab w:val="left" w:pos="1418" w:leader="none"/>
        </w:tabs>
        <w:ind w:firstLine="709" w:left="0"/>
        <w:jc w:val="both"/>
        <w:rPr>
          <w:sz w:val="24"/>
          <w:szCs w:val="24"/>
        </w:rPr>
      </w:pPr>
      <w:r>
        <w:rPr>
          <w:sz w:val="24"/>
          <w:szCs w:val="24"/>
        </w:rPr>
        <w:t>Покупатель одновременно с уведомлением об отказе от Договора (исполнения Договора) направляет Поставщику письменное требование о возмещении убытков с приложением расчета суммы убытков. Поставщик обязан возместить Покупателю убытки не позднее 15 (пятнадцати) календарных дней с момента получения расчета суммы убытков от Покупателя.</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sz w:val="24"/>
          <w:szCs w:val="24"/>
        </w:rPr>
      </w:pPr>
      <w:r>
        <w:rPr>
          <w:sz w:val="24"/>
          <w:szCs w:val="24"/>
        </w:rPr>
        <w:t>Стороны установили, что существенным нарушением Договора Поставщиком является:</w:t>
      </w:r>
    </w:p>
    <w:p>
      <w:pPr>
        <w:pStyle w:val="ListParagraph"/>
        <w:widowControl/>
        <w:numPr>
          <w:ilvl w:val="0"/>
          <w:numId w:val="6"/>
        </w:numPr>
        <w:tabs>
          <w:tab w:val="clear" w:pos="708"/>
          <w:tab w:val="left" w:pos="0" w:leader="none"/>
          <w:tab w:val="left" w:pos="1418" w:leader="none"/>
        </w:tabs>
        <w:ind w:firstLine="709" w:left="0" w:right="23"/>
        <w:jc w:val="both"/>
        <w:rPr>
          <w:sz w:val="24"/>
          <w:szCs w:val="24"/>
        </w:rPr>
      </w:pPr>
      <w:r>
        <w:rPr>
          <w:sz w:val="24"/>
          <w:szCs w:val="24"/>
        </w:rPr>
        <w:t>нарушение Поставщиком общего срока поставки Товара, установленного Договором, более чем на 60 (шестьдесят) календарных дней по причинам, не зависящим от Покупателя;</w:t>
      </w:r>
    </w:p>
    <w:p>
      <w:pPr>
        <w:pStyle w:val="ListParagraph"/>
        <w:widowControl/>
        <w:numPr>
          <w:ilvl w:val="0"/>
          <w:numId w:val="6"/>
        </w:numPr>
        <w:tabs>
          <w:tab w:val="clear" w:pos="708"/>
          <w:tab w:val="left" w:pos="0" w:leader="none"/>
          <w:tab w:val="left" w:pos="1418" w:leader="none"/>
        </w:tabs>
        <w:ind w:firstLine="709" w:left="0" w:right="23"/>
        <w:jc w:val="both"/>
        <w:rPr>
          <w:sz w:val="24"/>
          <w:szCs w:val="24"/>
        </w:rPr>
      </w:pPr>
      <w:r>
        <w:rPr>
          <w:sz w:val="24"/>
          <w:szCs w:val="24"/>
        </w:rPr>
        <w:t>несоблюдение Поставщиком требований к качеству Товара, если исправление выявленных Покупателем недостатков (дефектов) Товара, влечет нарушение сроков поставки Товара, более чем на 60 (шестьдесят) календарных дней либо такие недостатки (дефекты) являются неустранимыми;</w:t>
      </w:r>
    </w:p>
    <w:p>
      <w:pPr>
        <w:pStyle w:val="ListParagraph"/>
        <w:widowControl/>
        <w:numPr>
          <w:ilvl w:val="0"/>
          <w:numId w:val="6"/>
        </w:numPr>
        <w:tabs>
          <w:tab w:val="clear" w:pos="708"/>
          <w:tab w:val="left" w:pos="0" w:leader="none"/>
          <w:tab w:val="left" w:pos="1418" w:leader="none"/>
        </w:tabs>
        <w:ind w:firstLine="709" w:left="0" w:right="23"/>
        <w:jc w:val="both"/>
        <w:rPr>
          <w:sz w:val="24"/>
          <w:szCs w:val="24"/>
        </w:rPr>
      </w:pPr>
      <w:r>
        <w:rPr>
          <w:sz w:val="24"/>
          <w:szCs w:val="24"/>
        </w:rPr>
        <w:t>наложение ареста на имущество Поставщика, введение арбитражным судом процедуры несостоятельности (банкротства) в отношении Поставщика;</w:t>
      </w:r>
    </w:p>
    <w:p>
      <w:pPr>
        <w:pStyle w:val="ListParagraph"/>
        <w:widowControl/>
        <w:numPr>
          <w:ilvl w:val="0"/>
          <w:numId w:val="6"/>
        </w:numPr>
        <w:tabs>
          <w:tab w:val="clear" w:pos="708"/>
          <w:tab w:val="left" w:pos="0" w:leader="none"/>
          <w:tab w:val="left" w:pos="1418" w:leader="none"/>
        </w:tabs>
        <w:ind w:firstLine="709" w:left="0" w:right="23"/>
        <w:jc w:val="both"/>
        <w:rPr>
          <w:sz w:val="24"/>
          <w:szCs w:val="24"/>
        </w:rPr>
      </w:pPr>
      <w:r>
        <w:rPr>
          <w:sz w:val="24"/>
          <w:szCs w:val="24"/>
        </w:rPr>
        <w:t>нарушение более чем на 30 (тридцать)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Покупателю таких документов;</w:t>
      </w:r>
    </w:p>
    <w:p>
      <w:pPr>
        <w:pStyle w:val="ListParagraph"/>
        <w:widowControl/>
        <w:numPr>
          <w:ilvl w:val="0"/>
          <w:numId w:val="6"/>
        </w:numPr>
        <w:tabs>
          <w:tab w:val="clear" w:pos="708"/>
          <w:tab w:val="left" w:pos="0" w:leader="none"/>
          <w:tab w:val="left" w:pos="1418" w:leader="none"/>
        </w:tabs>
        <w:ind w:firstLine="709" w:left="0" w:right="23"/>
        <w:jc w:val="both"/>
        <w:rPr>
          <w:sz w:val="24"/>
          <w:szCs w:val="24"/>
        </w:rPr>
      </w:pPr>
      <w:r>
        <w:rPr>
          <w:sz w:val="24"/>
          <w:szCs w:val="24"/>
        </w:rPr>
        <w:t xml:space="preserve">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w:t>
        <w:br/>
        <w:t>об обстоятельствах, указанных в разделе 10 Договора, и имеющих существенное значение для его заключения и исполнения.</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sz w:val="24"/>
          <w:szCs w:val="24"/>
        </w:rPr>
      </w:pPr>
      <w:r>
        <w:rPr>
          <w:sz w:val="24"/>
          <w:szCs w:val="24"/>
        </w:rPr>
        <w:t xml:space="preserve">В случае отказа Покупателя от Договора в случаях, предусмотренных пунктами 11.2, 11.3 Договора, последний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 </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sz w:val="24"/>
          <w:szCs w:val="24"/>
        </w:rPr>
      </w:pPr>
      <w:r>
        <w:rPr>
          <w:sz w:val="24"/>
          <w:szCs w:val="24"/>
        </w:rPr>
        <w:t>С даты прекращения (расторжения) Договора Поставщик обязан прекратить поставку Товара.</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sz w:val="24"/>
          <w:szCs w:val="24"/>
        </w:rPr>
      </w:pPr>
      <w:r>
        <w:rPr>
          <w:sz w:val="24"/>
          <w:szCs w:val="24"/>
        </w:rPr>
        <w:t xml:space="preserve">При прекращении (расторжении) Договора по основаниям, указанным </w:t>
        <w:br/>
        <w:t>в настоящем разделе Договора, все обязательства Сторон по Договору считаются прекратившимися, за исключением обязательств по незавершенным расчетам, гарантийных обязательств Поставщика в соответствии с разделом 4 Договора, а также обязательств Поставщика по оплате неустойки, штрафов, возмещению убытков в случаях и размерах, предусмотренных Договором.</w:t>
      </w:r>
    </w:p>
    <w:p>
      <w:pPr>
        <w:pStyle w:val="ListParagraph"/>
        <w:widowControl/>
        <w:shd w:val="clear" w:color="auto" w:fill="FFFFFF"/>
        <w:tabs>
          <w:tab w:val="clear" w:pos="708"/>
          <w:tab w:val="left" w:pos="0" w:leader="none"/>
        </w:tabs>
        <w:ind w:hanging="0" w:left="709"/>
        <w:jc w:val="both"/>
        <w:rPr>
          <w:bCs/>
          <w:sz w:val="24"/>
          <w:szCs w:val="24"/>
        </w:rPr>
      </w:pPr>
      <w:r>
        <w:rPr>
          <w:bCs/>
          <w:sz w:val="24"/>
          <w:szCs w:val="24"/>
        </w:rPr>
      </w:r>
    </w:p>
    <w:p>
      <w:pPr>
        <w:pStyle w:val="ListParagraph"/>
        <w:widowControl/>
        <w:numPr>
          <w:ilvl w:val="0"/>
          <w:numId w:val="2"/>
        </w:numPr>
        <w:shd w:val="clear" w:color="auto" w:fill="FFFFFF"/>
        <w:tabs>
          <w:tab w:val="clear" w:pos="708"/>
          <w:tab w:val="left" w:pos="426" w:leader="none"/>
        </w:tabs>
        <w:ind w:hanging="0" w:left="0"/>
        <w:jc w:val="center"/>
        <w:rPr>
          <w:b/>
          <w:bCs/>
          <w:sz w:val="24"/>
          <w:szCs w:val="24"/>
        </w:rPr>
      </w:pPr>
      <w:r>
        <w:rPr>
          <w:b/>
          <w:bCs/>
          <w:sz w:val="24"/>
          <w:szCs w:val="24"/>
        </w:rPr>
        <w:t>Заключительные положения</w:t>
      </w:r>
    </w:p>
    <w:p>
      <w:pPr>
        <w:pStyle w:val="ListParagraph"/>
        <w:widowControl/>
        <w:numPr>
          <w:ilvl w:val="1"/>
          <w:numId w:val="2"/>
        </w:numPr>
        <w:shd w:val="clear" w:color="auto" w:fill="FFFFFF"/>
        <w:tabs>
          <w:tab w:val="clear" w:pos="708"/>
          <w:tab w:val="left" w:pos="142" w:leader="none"/>
          <w:tab w:val="left" w:pos="1418" w:leader="none"/>
        </w:tabs>
        <w:ind w:firstLine="709" w:left="0"/>
        <w:jc w:val="both"/>
        <w:rPr>
          <w:sz w:val="24"/>
          <w:szCs w:val="24"/>
        </w:rPr>
      </w:pPr>
      <w:r>
        <w:rPr>
          <w:sz w:val="24"/>
          <w:szCs w:val="24"/>
        </w:rPr>
        <w:t xml:space="preserve">Договор вступает в силу с даты его подписания Сторонами и действует </w:t>
        <w:br/>
        <w:t>до полного исполнения ими принятых на себя обязательств.</w:t>
      </w:r>
    </w:p>
    <w:p>
      <w:pPr>
        <w:pStyle w:val="ListParagraph"/>
        <w:widowControl/>
        <w:numPr>
          <w:ilvl w:val="1"/>
          <w:numId w:val="2"/>
        </w:numPr>
        <w:shd w:val="clear" w:color="auto" w:fill="FFFFFF"/>
        <w:tabs>
          <w:tab w:val="clear" w:pos="708"/>
          <w:tab w:val="left" w:pos="142" w:leader="none"/>
          <w:tab w:val="left" w:pos="1418" w:leader="none"/>
        </w:tabs>
        <w:ind w:firstLine="709" w:left="0"/>
        <w:jc w:val="both"/>
        <w:rPr>
          <w:sz w:val="24"/>
          <w:szCs w:val="24"/>
        </w:rPr>
      </w:pPr>
      <w:r>
        <w:rPr>
          <w:sz w:val="24"/>
          <w:szCs w:val="24"/>
        </w:rPr>
        <w:t xml:space="preserve">Договор заключается в электронной форме с использованием программно-аппаратных средств информационной системы электронного документооборота общего пользования путем его подписания усиленными квалифицированными электронными подписями (далее – УКЭП) уполномоченных представителей Сторон. </w:t>
      </w:r>
    </w:p>
    <w:p>
      <w:pPr>
        <w:pStyle w:val="Normal"/>
        <w:widowControl/>
        <w:shd w:val="clear" w:color="auto" w:fill="FFFFFF"/>
        <w:tabs>
          <w:tab w:val="clear" w:pos="708"/>
          <w:tab w:val="left" w:pos="142" w:leader="none"/>
          <w:tab w:val="left" w:pos="709" w:leader="none"/>
        </w:tabs>
        <w:jc w:val="both"/>
        <w:rPr>
          <w:sz w:val="24"/>
          <w:szCs w:val="24"/>
        </w:rPr>
      </w:pPr>
      <w:r>
        <w:rPr>
          <w:sz w:val="24"/>
          <w:szCs w:val="24"/>
        </w:rPr>
        <w:tab/>
        <w:tab/>
        <w:t xml:space="preserve">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 </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sz w:val="24"/>
          <w:szCs w:val="24"/>
        </w:rPr>
      </w:pPr>
      <w:r>
        <w:rPr>
          <w:sz w:val="24"/>
          <w:szCs w:val="24"/>
        </w:rP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12.7 Договора. </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sz w:val="24"/>
          <w:szCs w:val="24"/>
        </w:rPr>
      </w:pPr>
      <w:r>
        <w:rPr>
          <w:sz w:val="24"/>
          <w:szCs w:val="24"/>
        </w:rPr>
        <w:t>Все приложения к Договору, а также любые изменения и дополнения, оформленные надлежащим образом, являются неотъемлемой частью Договора.</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sz w:val="24"/>
          <w:szCs w:val="24"/>
        </w:rPr>
      </w:pPr>
      <w:r>
        <w:rPr>
          <w:sz w:val="24"/>
          <w:szCs w:val="24"/>
        </w:rPr>
        <w:t xml:space="preserve">В случае наличия любых расхождений между содержанием Договора </w:t>
        <w:br/>
        <w:t>и приложений к нему, приоритет имеет текст Договора.</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sz w:val="24"/>
          <w:szCs w:val="24"/>
        </w:rPr>
      </w:pPr>
      <w:r>
        <w:rPr>
          <w:sz w:val="24"/>
          <w:szCs w:val="24"/>
        </w:rPr>
        <w:t xml:space="preserve">Обмен информацией между Сторонами по любым вопросам, связанным </w:t>
        <w:br/>
        <w:t xml:space="preserve">с исполнением Договора, включая уведомления и иные сообщения, осуществляется только </w:t>
        <w:br/>
        <w:t>в письменной форме в порядке, предусмотренном пунктом 12.8 Договора. Использование средств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sz w:val="24"/>
          <w:szCs w:val="24"/>
        </w:rPr>
      </w:pPr>
      <w:bookmarkStart w:id="9" w:name="_Ref361338004"/>
      <w:r>
        <w:rPr>
          <w:sz w:val="24"/>
          <w:szCs w:val="24"/>
        </w:rPr>
        <w:t>Стороны обязуются уведомлять друг друга об изменении адреса и / или реквизитов, указанных в разделе 14 Договора, не позднее 3 (трех) рабочих дней после такого изменения в порядке, установленном пунктом 12.8 Договора.</w:t>
      </w:r>
      <w:bookmarkEnd w:id="9"/>
      <w:r>
        <w:rPr>
          <w:sz w:val="24"/>
          <w:szCs w:val="24"/>
        </w:rPr>
        <w:t xml:space="preserve"> </w:t>
      </w:r>
    </w:p>
    <w:p>
      <w:pPr>
        <w:pStyle w:val="ListParagraph"/>
        <w:widowControl/>
        <w:numPr>
          <w:ilvl w:val="1"/>
          <w:numId w:val="2"/>
        </w:numPr>
        <w:shd w:val="clear" w:color="auto" w:fill="FFFFFF"/>
        <w:tabs>
          <w:tab w:val="clear" w:pos="708"/>
          <w:tab w:val="left" w:pos="0" w:leader="none"/>
          <w:tab w:val="left" w:pos="1134" w:leader="none"/>
          <w:tab w:val="left" w:pos="1418" w:leader="none"/>
        </w:tabs>
        <w:ind w:firstLine="709" w:left="0"/>
        <w:jc w:val="both"/>
        <w:rPr>
          <w:bCs/>
          <w:sz w:val="24"/>
          <w:szCs w:val="24"/>
        </w:rPr>
      </w:pPr>
      <w:r>
        <w:rPr>
          <w:sz w:val="24"/>
          <w:szCs w:val="24"/>
        </w:rPr>
        <w:t>Письма, уведомления и / или сообщения направляются Стороне</w:t>
      </w:r>
      <w:r>
        <w:rPr>
          <w:bCs/>
          <w:sz w:val="24"/>
          <w:szCs w:val="24"/>
        </w:rPr>
        <w:t>-</w:t>
      </w:r>
      <w:r>
        <w:rPr>
          <w:sz w:val="24"/>
          <w:szCs w:val="24"/>
        </w:rPr>
        <w:t>получателю по адресу ее места нахождения, указанному в разделе 14 Договора, или в ранее полученном уведомлении Стороны об изменении адреса, одним из следующих способов, при этом документ</w:t>
      </w:r>
      <w:r>
        <w:rPr>
          <w:bCs/>
          <w:sz w:val="24"/>
          <w:szCs w:val="24"/>
        </w:rPr>
        <w:t xml:space="preserve"> будет считаться полученным</w:t>
      </w:r>
      <w:r>
        <w:rPr>
          <w:sz w:val="24"/>
          <w:szCs w:val="24"/>
        </w:rPr>
        <w:t xml:space="preserve">: </w:t>
      </w:r>
    </w:p>
    <w:p>
      <w:pPr>
        <w:pStyle w:val="ListParagraph"/>
        <w:numPr>
          <w:ilvl w:val="2"/>
          <w:numId w:val="2"/>
        </w:numPr>
        <w:ind w:firstLine="709" w:left="0"/>
        <w:jc w:val="both"/>
        <w:rPr>
          <w:sz w:val="24"/>
          <w:szCs w:val="24"/>
        </w:rPr>
      </w:pPr>
      <w:r>
        <w:rPr>
          <w:bCs/>
          <w:sz w:val="24"/>
          <w:szCs w:val="24"/>
        </w:rPr>
        <w:t xml:space="preserve">Заказным почтовым отправлением с уведомлением о вручении – </w:t>
      </w:r>
      <w:r>
        <w:rPr>
          <w:sz w:val="24"/>
          <w:szCs w:val="24"/>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pPr>
        <w:pStyle w:val="ListParagraph"/>
        <w:numPr>
          <w:ilvl w:val="2"/>
          <w:numId w:val="2"/>
        </w:numPr>
        <w:ind w:firstLine="709" w:left="0"/>
        <w:jc w:val="both"/>
        <w:rPr>
          <w:sz w:val="24"/>
          <w:szCs w:val="24"/>
        </w:rPr>
      </w:pPr>
      <w:r>
        <w:rPr>
          <w:bCs/>
          <w:sz w:val="24"/>
          <w:szCs w:val="24"/>
        </w:rPr>
        <w:t>Доставкой лично или курьером Стороны-отправителя – в дату и время фактического приема уведомления Стороной-получателем с отметкой о получении</w:t>
      </w:r>
      <w:r>
        <w:rPr>
          <w:sz w:val="24"/>
          <w:szCs w:val="24"/>
        </w:rPr>
        <w:t xml:space="preserve">; </w:t>
      </w:r>
    </w:p>
    <w:p>
      <w:pPr>
        <w:pStyle w:val="ListParagraph"/>
        <w:numPr>
          <w:ilvl w:val="2"/>
          <w:numId w:val="2"/>
        </w:numPr>
        <w:ind w:firstLine="709" w:left="0"/>
        <w:jc w:val="both"/>
        <w:rPr>
          <w:bCs/>
          <w:sz w:val="24"/>
          <w:szCs w:val="24"/>
        </w:rPr>
      </w:pPr>
      <w:r>
        <w:rPr>
          <w:bCs/>
          <w:sz w:val="24"/>
          <w:szCs w:val="24"/>
        </w:rPr>
        <w:t>Посредством электронной почты (</w:t>
      </w:r>
      <w:r>
        <w:rPr>
          <w:bCs/>
          <w:sz w:val="24"/>
          <w:szCs w:val="24"/>
          <w:lang w:val="en-US"/>
        </w:rPr>
        <w:t>e</w:t>
      </w:r>
      <w:r>
        <w:rPr>
          <w:bCs/>
          <w:sz w:val="24"/>
          <w:szCs w:val="24"/>
        </w:rPr>
        <w:t>-</w:t>
      </w:r>
      <w:r>
        <w:rPr>
          <w:bCs/>
          <w:sz w:val="24"/>
          <w:szCs w:val="24"/>
          <w:lang w:val="en-US"/>
        </w:rPr>
        <w:t>mail</w:t>
      </w:r>
      <w:r>
        <w:rPr>
          <w:bCs/>
          <w:sz w:val="24"/>
          <w:szCs w:val="24"/>
        </w:rPr>
        <w:t>) – в дату направления электронного сообщения, зафиксированную на почтовом сервере отправителя.</w:t>
      </w:r>
    </w:p>
    <w:p>
      <w:pPr>
        <w:pStyle w:val="ListParagraph"/>
        <w:shd w:val="clear" w:color="auto" w:fill="FFFFFF"/>
        <w:tabs>
          <w:tab w:val="clear" w:pos="708"/>
          <w:tab w:val="left" w:pos="0" w:leader="none"/>
          <w:tab w:val="left" w:pos="1418" w:leader="none"/>
          <w:tab w:val="left" w:pos="1701" w:leader="none"/>
        </w:tabs>
        <w:ind w:firstLine="709" w:left="0"/>
        <w:jc w:val="both"/>
        <w:rPr>
          <w:bCs/>
          <w:sz w:val="24"/>
          <w:szCs w:val="24"/>
        </w:rPr>
      </w:pPr>
      <w:r>
        <w:rPr>
          <w:bCs/>
          <w:sz w:val="24"/>
          <w:szCs w:val="24"/>
        </w:rPr>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12.8.1 – 12.8.2 Договора. </w:t>
      </w:r>
    </w:p>
    <w:p>
      <w:pPr>
        <w:pStyle w:val="Normal"/>
        <w:widowControl/>
        <w:numPr>
          <w:ilvl w:val="1"/>
          <w:numId w:val="2"/>
        </w:numPr>
        <w:tabs>
          <w:tab w:val="clear" w:pos="708"/>
          <w:tab w:val="left" w:pos="0" w:leader="none"/>
          <w:tab w:val="left" w:pos="1418" w:leader="none"/>
        </w:tabs>
        <w:ind w:firstLine="709" w:left="0"/>
        <w:jc w:val="both"/>
        <w:rPr>
          <w:bCs/>
          <w:sz w:val="24"/>
          <w:szCs w:val="24"/>
        </w:rPr>
      </w:pPr>
      <w:r>
        <w:rPr>
          <w:bCs/>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 </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bCs/>
          <w:sz w:val="24"/>
          <w:szCs w:val="24"/>
        </w:rPr>
      </w:pPr>
      <w:r>
        <w:rPr>
          <w:sz w:val="24"/>
          <w:szCs w:val="24"/>
        </w:rPr>
        <w:t xml:space="preserve">Уступка (передача), в том числе в залог, прав (требований) к Покупателю </w:t>
        <w:br/>
        <w:t>по денежным обязательствам, принадлежащих Поставщику на основании Договора, допускается только с предварительного письменного согласия Покупателя и оформляется трехсторонним договором</w:t>
      </w:r>
      <w:r>
        <w:rPr>
          <w:bCs/>
          <w:sz w:val="24"/>
          <w:szCs w:val="24"/>
        </w:rPr>
        <w:t>.</w:t>
      </w:r>
      <w:r>
        <w:rPr>
          <w:sz w:val="24"/>
          <w:szCs w:val="24"/>
        </w:rPr>
        <w:t xml:space="preserve"> </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sz w:val="24"/>
          <w:szCs w:val="24"/>
        </w:rPr>
      </w:pPr>
      <w:r>
        <w:rPr>
          <w:sz w:val="24"/>
          <w:szCs w:val="24"/>
        </w:rPr>
        <w:t xml:space="preserve">Во всем остальном, что не урегулировано Договором, Стороны руководствуются законодательством Российской Федерации. </w:t>
      </w:r>
    </w:p>
    <w:p>
      <w:pPr>
        <w:pStyle w:val="Normal"/>
        <w:shd w:val="clear" w:color="auto" w:fill="FFFFFF"/>
        <w:ind w:firstLine="567"/>
        <w:jc w:val="both"/>
        <w:rPr>
          <w:sz w:val="24"/>
          <w:szCs w:val="24"/>
        </w:rPr>
      </w:pPr>
      <w:r>
        <w:rPr>
          <w:sz w:val="24"/>
          <w:szCs w:val="24"/>
        </w:rPr>
      </w:r>
    </w:p>
    <w:p>
      <w:pPr>
        <w:pStyle w:val="Normal"/>
        <w:widowControl/>
        <w:numPr>
          <w:ilvl w:val="0"/>
          <w:numId w:val="2"/>
        </w:numPr>
        <w:shd w:val="clear" w:color="auto" w:fill="FFFFFF"/>
        <w:tabs>
          <w:tab w:val="clear" w:pos="708"/>
          <w:tab w:val="left" w:pos="284" w:leader="none"/>
        </w:tabs>
        <w:spacing w:lineRule="auto" w:line="259" w:before="0" w:after="0"/>
        <w:contextualSpacing/>
        <w:jc w:val="center"/>
        <w:rPr>
          <w:b/>
          <w:bCs/>
          <w:sz w:val="24"/>
          <w:szCs w:val="24"/>
        </w:rPr>
      </w:pPr>
      <w:r>
        <w:rPr>
          <w:b/>
          <w:bCs/>
          <w:sz w:val="24"/>
          <w:szCs w:val="24"/>
        </w:rPr>
        <w:t xml:space="preserve">Список приложений </w:t>
      </w:r>
    </w:p>
    <w:p>
      <w:pPr>
        <w:pStyle w:val="Normal"/>
        <w:widowControl/>
        <w:shd w:val="clear" w:color="auto" w:fill="FFFFFF"/>
        <w:tabs>
          <w:tab w:val="clear" w:pos="708"/>
          <w:tab w:val="left" w:pos="0" w:leader="none"/>
        </w:tabs>
        <w:suppressAutoHyphens w:val="true"/>
        <w:ind w:firstLine="709"/>
        <w:jc w:val="both"/>
        <w:rPr>
          <w:rFonts w:eastAsia="Calibri"/>
          <w:sz w:val="24"/>
          <w:szCs w:val="24"/>
          <w:lang w:eastAsia="en-US"/>
        </w:rPr>
      </w:pPr>
      <w:bookmarkStart w:id="10" w:name="sub_1"/>
      <w:r>
        <w:rPr>
          <w:rFonts w:eastAsia="Calibri"/>
          <w:sz w:val="24"/>
          <w:szCs w:val="24"/>
          <w:lang w:eastAsia="en-US"/>
        </w:rPr>
        <w:t>Приложение № 1 – Спецификация.</w:t>
      </w:r>
      <w:bookmarkEnd w:id="10"/>
    </w:p>
    <w:p>
      <w:pPr>
        <w:pStyle w:val="Normal"/>
        <w:ind w:firstLine="709"/>
        <w:jc w:val="both"/>
        <w:rPr>
          <w:bCs/>
          <w:sz w:val="24"/>
          <w:szCs w:val="24"/>
        </w:rPr>
      </w:pPr>
      <w:r>
        <w:rPr>
          <w:bCs/>
          <w:sz w:val="24"/>
          <w:szCs w:val="24"/>
        </w:rPr>
        <w:t xml:space="preserve">Приложение № 2 </w:t>
      </w:r>
      <w:r>
        <w:rPr>
          <w:rFonts w:eastAsia="Calibri"/>
          <w:sz w:val="24"/>
          <w:szCs w:val="24"/>
          <w:lang w:eastAsia="en-US"/>
        </w:rPr>
        <w:t>–</w:t>
      </w:r>
      <w:r>
        <w:rPr>
          <w:bCs/>
          <w:sz w:val="24"/>
          <w:szCs w:val="24"/>
        </w:rPr>
        <w:t xml:space="preserve"> Размер ответственности Поставщика за нарушения пропускного и внутриобъектового режима, требований охраны труда, пожарной и промышленной безопасности.</w:t>
      </w:r>
    </w:p>
    <w:p>
      <w:pPr>
        <w:pStyle w:val="Normal"/>
        <w:ind w:firstLine="709"/>
        <w:jc w:val="both"/>
        <w:rPr>
          <w:bCs/>
          <w:sz w:val="24"/>
          <w:szCs w:val="24"/>
        </w:rPr>
      </w:pPr>
      <w:r>
        <w:rPr>
          <w:bCs/>
          <w:sz w:val="24"/>
          <w:szCs w:val="24"/>
        </w:rPr>
      </w:r>
    </w:p>
    <w:p>
      <w:pPr>
        <w:pStyle w:val="Normal"/>
        <w:ind w:firstLine="709"/>
        <w:jc w:val="both"/>
        <w:rPr>
          <w:bCs/>
          <w:sz w:val="24"/>
          <w:szCs w:val="24"/>
        </w:rPr>
      </w:pPr>
      <w:r>
        <w:rPr>
          <w:bCs/>
          <w:sz w:val="24"/>
          <w:szCs w:val="24"/>
        </w:rPr>
      </w:r>
    </w:p>
    <w:p>
      <w:pPr>
        <w:pStyle w:val="Normal"/>
        <w:ind w:firstLine="709"/>
        <w:jc w:val="both"/>
        <w:rPr>
          <w:bCs/>
          <w:sz w:val="24"/>
          <w:szCs w:val="24"/>
        </w:rPr>
      </w:pPr>
      <w:r>
        <w:rPr>
          <w:bCs/>
          <w:sz w:val="24"/>
          <w:szCs w:val="24"/>
        </w:rPr>
      </w:r>
    </w:p>
    <w:p>
      <w:pPr>
        <w:pStyle w:val="Normal"/>
        <w:ind w:firstLine="709"/>
        <w:jc w:val="both"/>
        <w:rPr>
          <w:bCs/>
          <w:sz w:val="24"/>
          <w:szCs w:val="24"/>
        </w:rPr>
      </w:pPr>
      <w:r>
        <w:rPr>
          <w:bCs/>
          <w:sz w:val="24"/>
          <w:szCs w:val="24"/>
        </w:rPr>
      </w:r>
    </w:p>
    <w:p>
      <w:pPr>
        <w:pStyle w:val="ListParagraph"/>
        <w:widowControl/>
        <w:numPr>
          <w:ilvl w:val="0"/>
          <w:numId w:val="2"/>
        </w:numPr>
        <w:shd w:val="clear" w:color="auto" w:fill="FFFFFF"/>
        <w:tabs>
          <w:tab w:val="clear" w:pos="708"/>
          <w:tab w:val="left" w:pos="426" w:leader="none"/>
        </w:tabs>
        <w:ind w:hanging="0" w:left="0"/>
        <w:jc w:val="center"/>
        <w:rPr>
          <w:b/>
          <w:bCs/>
          <w:sz w:val="24"/>
          <w:szCs w:val="24"/>
        </w:rPr>
      </w:pPr>
      <w:r>
        <w:rPr>
          <w:b/>
          <w:bCs/>
          <w:sz w:val="24"/>
          <w:szCs w:val="24"/>
        </w:rPr>
        <w:t>Адреса и платежные реквизиты Сторон</w:t>
      </w:r>
    </w:p>
    <w:p>
      <w:pPr>
        <w:pStyle w:val="ListParagraph"/>
        <w:widowControl/>
        <w:shd w:val="clear" w:color="auto" w:fill="FFFFFF"/>
        <w:tabs>
          <w:tab w:val="clear" w:pos="708"/>
          <w:tab w:val="left" w:pos="426" w:leader="none"/>
        </w:tabs>
        <w:ind w:hanging="0" w:left="0"/>
        <w:rPr>
          <w:b/>
          <w:bCs/>
          <w:sz w:val="24"/>
          <w:szCs w:val="24"/>
        </w:rPr>
      </w:pPr>
      <w:r>
        <w:rPr>
          <w:b/>
          <w:bCs/>
          <w:sz w:val="24"/>
          <w:szCs w:val="24"/>
        </w:rPr>
      </w:r>
    </w:p>
    <w:tbl>
      <w:tblPr>
        <w:tblW w:w="9639" w:type="dxa"/>
        <w:jc w:val="left"/>
        <w:tblInd w:w="-5" w:type="dxa"/>
        <w:tblLayout w:type="fixed"/>
        <w:tblCellMar>
          <w:top w:w="0" w:type="dxa"/>
          <w:left w:w="108" w:type="dxa"/>
          <w:bottom w:w="0" w:type="dxa"/>
          <w:right w:w="108" w:type="dxa"/>
        </w:tblCellMar>
        <w:tblLook w:val="01e0" w:noHBand="0" w:noVBand="0" w:firstColumn="1" w:lastRow="1" w:lastColumn="1" w:firstRow="1"/>
      </w:tblPr>
      <w:tblGrid>
        <w:gridCol w:w="2481"/>
        <w:gridCol w:w="3756"/>
        <w:gridCol w:w="3402"/>
      </w:tblGrid>
      <w:tr>
        <w:trPr>
          <w:tblHeader w:val="true"/>
          <w:trHeight w:val="794" w:hRule="atLeast"/>
        </w:trPr>
        <w:tc>
          <w:tcPr>
            <w:tcW w:w="248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napToGrid w:val="false"/>
              <w:spacing w:lineRule="auto" w:line="252"/>
              <w:ind w:hanging="0" w:left="360"/>
              <w:jc w:val="center"/>
              <w:rPr>
                <w:b/>
                <w:color w:val="000000"/>
                <w:sz w:val="24"/>
                <w:szCs w:val="24"/>
                <w:lang w:eastAsia="en-US"/>
              </w:rPr>
            </w:pPr>
            <w:r>
              <w:rPr>
                <w:b/>
                <w:color w:val="000000"/>
                <w:sz w:val="24"/>
                <w:szCs w:val="24"/>
                <w:lang w:eastAsia="en-US"/>
              </w:rPr>
              <w:t>Наименование реквизита</w:t>
            </w:r>
          </w:p>
        </w:tc>
        <w:tc>
          <w:tcPr>
            <w:tcW w:w="375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napToGrid w:val="false"/>
              <w:spacing w:lineRule="auto" w:line="252"/>
              <w:jc w:val="center"/>
              <w:rPr>
                <w:b/>
                <w:color w:val="000000"/>
                <w:sz w:val="24"/>
                <w:szCs w:val="24"/>
                <w:lang w:eastAsia="en-US"/>
              </w:rPr>
            </w:pPr>
            <w:r>
              <w:rPr>
                <w:b/>
                <w:color w:val="000000"/>
                <w:sz w:val="24"/>
                <w:szCs w:val="24"/>
                <w:lang w:eastAsia="en-US"/>
              </w:rPr>
              <w:t>Покупатель</w:t>
            </w:r>
          </w:p>
        </w:tc>
        <w:tc>
          <w:tcPr>
            <w:tcW w:w="340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napToGrid w:val="false"/>
              <w:spacing w:lineRule="auto" w:line="252"/>
              <w:jc w:val="center"/>
              <w:rPr>
                <w:b/>
                <w:sz w:val="24"/>
                <w:szCs w:val="24"/>
                <w:lang w:eastAsia="en-US"/>
              </w:rPr>
            </w:pPr>
            <w:r>
              <w:rPr>
                <w:b/>
                <w:sz w:val="24"/>
                <w:szCs w:val="24"/>
                <w:lang w:eastAsia="en-US"/>
              </w:rPr>
              <w:t>Поставщик</w:t>
            </w:r>
          </w:p>
        </w:tc>
      </w:tr>
      <w:tr>
        <w:trPr>
          <w:trHeight w:val="558" w:hRule="atLeast"/>
        </w:trPr>
        <w:tc>
          <w:tcPr>
            <w:tcW w:w="248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napToGrid w:val="false"/>
              <w:spacing w:lineRule="auto" w:line="252"/>
              <w:rPr>
                <w:color w:val="000000"/>
                <w:sz w:val="24"/>
                <w:szCs w:val="24"/>
                <w:lang w:eastAsia="en-US"/>
              </w:rPr>
            </w:pPr>
            <w:r>
              <w:rPr>
                <w:color w:val="000000"/>
                <w:sz w:val="24"/>
                <w:szCs w:val="24"/>
                <w:lang w:eastAsia="en-US"/>
              </w:rPr>
              <w:t>Полное наименование</w:t>
            </w:r>
          </w:p>
        </w:tc>
        <w:tc>
          <w:tcPr>
            <w:tcW w:w="375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napToGrid w:val="false"/>
              <w:spacing w:lineRule="auto" w:line="216"/>
              <w:jc w:val="center"/>
              <w:rPr>
                <w:sz w:val="24"/>
                <w:szCs w:val="24"/>
                <w:lang w:eastAsia="en-US"/>
              </w:rPr>
            </w:pPr>
            <w:r>
              <w:rPr>
                <w:sz w:val="24"/>
                <w:szCs w:val="24"/>
                <w:lang w:eastAsia="en-US"/>
              </w:rPr>
              <w:t>Публичное акционерное общество «Федеральная гидрогенерирующая компания-РусГидро»</w:t>
            </w:r>
          </w:p>
        </w:tc>
        <w:tc>
          <w:tcPr>
            <w:tcW w:w="340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napToGrid w:val="false"/>
              <w:spacing w:lineRule="auto" w:line="216"/>
              <w:jc w:val="center"/>
              <w:rPr>
                <w:sz w:val="24"/>
                <w:szCs w:val="24"/>
                <w:lang w:eastAsia="en-US"/>
              </w:rPr>
            </w:pPr>
            <w:r>
              <w:rPr>
                <w:sz w:val="24"/>
                <w:szCs w:val="24"/>
                <w:lang w:eastAsia="en-US"/>
              </w:rPr>
            </w:r>
          </w:p>
        </w:tc>
      </w:tr>
      <w:tr>
        <w:trPr>
          <w:trHeight w:val="60" w:hRule="atLeast"/>
        </w:trPr>
        <w:tc>
          <w:tcPr>
            <w:tcW w:w="248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napToGrid w:val="false"/>
              <w:spacing w:lineRule="auto" w:line="252"/>
              <w:rPr>
                <w:color w:val="000000"/>
                <w:sz w:val="24"/>
                <w:szCs w:val="24"/>
                <w:lang w:eastAsia="en-US"/>
              </w:rPr>
            </w:pPr>
            <w:r>
              <w:rPr>
                <w:color w:val="000000"/>
                <w:sz w:val="24"/>
                <w:szCs w:val="24"/>
                <w:lang w:eastAsia="en-US"/>
              </w:rPr>
              <w:t>Сокращенное наименование</w:t>
            </w:r>
          </w:p>
        </w:tc>
        <w:tc>
          <w:tcPr>
            <w:tcW w:w="375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napToGrid w:val="false"/>
              <w:spacing w:lineRule="auto" w:line="216"/>
              <w:jc w:val="center"/>
              <w:rPr>
                <w:sz w:val="24"/>
                <w:szCs w:val="24"/>
                <w:lang w:eastAsia="en-US"/>
              </w:rPr>
            </w:pPr>
            <w:r>
              <w:rPr>
                <w:sz w:val="24"/>
                <w:szCs w:val="24"/>
                <w:lang w:eastAsia="en-US"/>
              </w:rPr>
              <w:t>ПАО «РусГидро»</w:t>
            </w:r>
          </w:p>
        </w:tc>
        <w:tc>
          <w:tcPr>
            <w:tcW w:w="340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napToGrid w:val="false"/>
              <w:spacing w:lineRule="auto" w:line="216"/>
              <w:jc w:val="center"/>
              <w:rPr>
                <w:sz w:val="24"/>
                <w:szCs w:val="24"/>
                <w:lang w:eastAsia="en-US"/>
              </w:rPr>
            </w:pPr>
            <w:r>
              <w:rPr>
                <w:sz w:val="24"/>
                <w:szCs w:val="24"/>
                <w:lang w:eastAsia="en-US"/>
              </w:rPr>
            </w:r>
          </w:p>
        </w:tc>
      </w:tr>
      <w:tr>
        <w:trPr>
          <w:trHeight w:val="771" w:hRule="atLeast"/>
        </w:trPr>
        <w:tc>
          <w:tcPr>
            <w:tcW w:w="248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napToGrid w:val="false"/>
              <w:spacing w:lineRule="auto" w:line="252"/>
              <w:rPr>
                <w:color w:val="000000"/>
                <w:sz w:val="24"/>
                <w:szCs w:val="24"/>
                <w:lang w:eastAsia="en-US"/>
              </w:rPr>
            </w:pPr>
            <w:r>
              <w:rPr>
                <w:color w:val="000000"/>
                <w:sz w:val="24"/>
                <w:szCs w:val="24"/>
                <w:lang w:eastAsia="en-US"/>
              </w:rPr>
              <w:t>Место нахождения Общества</w:t>
            </w:r>
          </w:p>
        </w:tc>
        <w:tc>
          <w:tcPr>
            <w:tcW w:w="375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napToGrid w:val="false"/>
              <w:spacing w:lineRule="auto" w:line="216"/>
              <w:jc w:val="center"/>
              <w:rPr>
                <w:sz w:val="24"/>
                <w:szCs w:val="24"/>
                <w:lang w:eastAsia="en-US"/>
              </w:rPr>
            </w:pPr>
            <w:r>
              <w:rPr>
                <w:sz w:val="24"/>
                <w:szCs w:val="24"/>
                <w:lang w:eastAsia="en-US"/>
              </w:rPr>
              <w:t xml:space="preserve"> </w:t>
            </w:r>
          </w:p>
        </w:tc>
        <w:tc>
          <w:tcPr>
            <w:tcW w:w="340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52"/>
              <w:jc w:val="center"/>
              <w:rPr>
                <w:rFonts w:eastAsia="Calibri"/>
                <w:color w:val="000000"/>
                <w:sz w:val="24"/>
                <w:szCs w:val="24"/>
                <w:lang w:eastAsia="en-US"/>
              </w:rPr>
            </w:pPr>
            <w:r>
              <w:rPr>
                <w:rFonts w:eastAsia="Calibri"/>
                <w:color w:val="000000"/>
                <w:sz w:val="24"/>
                <w:szCs w:val="24"/>
                <w:lang w:eastAsia="en-US"/>
              </w:rPr>
            </w:r>
          </w:p>
        </w:tc>
      </w:tr>
      <w:tr>
        <w:trPr>
          <w:trHeight w:val="447" w:hRule="atLeast"/>
        </w:trPr>
        <w:tc>
          <w:tcPr>
            <w:tcW w:w="248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napToGrid w:val="false"/>
              <w:spacing w:lineRule="auto" w:line="252"/>
              <w:rPr>
                <w:color w:val="000000"/>
                <w:sz w:val="24"/>
                <w:szCs w:val="24"/>
                <w:lang w:eastAsia="en-US"/>
              </w:rPr>
            </w:pPr>
            <w:r>
              <w:rPr>
                <w:color w:val="000000"/>
                <w:sz w:val="24"/>
                <w:szCs w:val="24"/>
                <w:lang w:eastAsia="en-US"/>
              </w:rPr>
              <w:t>Почтовый адрес для отправки корреспонденции</w:t>
            </w:r>
          </w:p>
        </w:tc>
        <w:tc>
          <w:tcPr>
            <w:tcW w:w="375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napToGrid w:val="false"/>
              <w:spacing w:lineRule="auto" w:line="216"/>
              <w:jc w:val="center"/>
              <w:rPr>
                <w:sz w:val="24"/>
                <w:szCs w:val="24"/>
                <w:lang w:eastAsia="en-US"/>
              </w:rPr>
            </w:pPr>
            <w:r>
              <w:rPr>
                <w:sz w:val="24"/>
                <w:szCs w:val="24"/>
                <w:lang w:eastAsia="en-US"/>
              </w:rPr>
              <w:t xml:space="preserve">655619, Российская Федерация, Республика Хакасия, </w:t>
            </w:r>
          </w:p>
          <w:p>
            <w:pPr>
              <w:pStyle w:val="Normal"/>
              <w:widowControl w:val="false"/>
              <w:snapToGrid w:val="false"/>
              <w:spacing w:lineRule="auto" w:line="216"/>
              <w:jc w:val="center"/>
              <w:rPr>
                <w:sz w:val="24"/>
                <w:szCs w:val="24"/>
                <w:lang w:eastAsia="en-US"/>
              </w:rPr>
            </w:pPr>
            <w:r>
              <w:rPr>
                <w:sz w:val="24"/>
                <w:szCs w:val="24"/>
                <w:lang w:eastAsia="en-US"/>
              </w:rPr>
              <w:t xml:space="preserve">г. Саяногорск, рп. Черемушки, </w:t>
            </w:r>
          </w:p>
          <w:p>
            <w:pPr>
              <w:pStyle w:val="Normal"/>
              <w:widowControl w:val="false"/>
              <w:snapToGrid w:val="false"/>
              <w:spacing w:lineRule="auto" w:line="216"/>
              <w:jc w:val="center"/>
              <w:rPr>
                <w:sz w:val="24"/>
                <w:szCs w:val="24"/>
                <w:lang w:eastAsia="en-US"/>
              </w:rPr>
            </w:pPr>
            <w:r>
              <w:rPr>
                <w:sz w:val="24"/>
                <w:szCs w:val="24"/>
                <w:lang w:eastAsia="en-US"/>
              </w:rPr>
              <w:t>а/я 39</w:t>
            </w:r>
          </w:p>
        </w:tc>
        <w:tc>
          <w:tcPr>
            <w:tcW w:w="340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52"/>
              <w:jc w:val="center"/>
              <w:rPr>
                <w:rFonts w:eastAsia="Calibri"/>
                <w:color w:val="000000"/>
                <w:sz w:val="24"/>
                <w:szCs w:val="24"/>
                <w:lang w:eastAsia="en-US"/>
              </w:rPr>
            </w:pPr>
            <w:r>
              <w:rPr>
                <w:rFonts w:eastAsia="Calibri"/>
                <w:color w:val="000000"/>
                <w:sz w:val="24"/>
                <w:szCs w:val="24"/>
                <w:lang w:eastAsia="en-US"/>
              </w:rPr>
            </w:r>
          </w:p>
        </w:tc>
      </w:tr>
      <w:tr>
        <w:trPr>
          <w:trHeight w:val="921" w:hRule="atLeast"/>
        </w:trPr>
        <w:tc>
          <w:tcPr>
            <w:tcW w:w="248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napToGrid w:val="false"/>
              <w:spacing w:lineRule="auto" w:line="252"/>
              <w:rPr>
                <w:color w:val="000000"/>
                <w:sz w:val="24"/>
                <w:szCs w:val="24"/>
                <w:lang w:eastAsia="en-US"/>
              </w:rPr>
            </w:pPr>
            <w:r>
              <w:rPr>
                <w:color w:val="000000"/>
                <w:sz w:val="24"/>
                <w:szCs w:val="24"/>
                <w:lang w:eastAsia="en-US"/>
              </w:rPr>
              <w:t>Полное наименование филиала</w:t>
            </w:r>
          </w:p>
        </w:tc>
        <w:tc>
          <w:tcPr>
            <w:tcW w:w="375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napToGrid w:val="false"/>
              <w:spacing w:lineRule="auto" w:line="216"/>
              <w:jc w:val="center"/>
              <w:rPr>
                <w:sz w:val="24"/>
                <w:szCs w:val="24"/>
                <w:lang w:eastAsia="en-US"/>
              </w:rPr>
            </w:pPr>
            <w:r>
              <w:rPr>
                <w:sz w:val="24"/>
                <w:szCs w:val="24"/>
                <w:lang w:eastAsia="en-US"/>
              </w:rPr>
              <w:t>Филиал Публичного акционерного общества «Федеральная гидрогенерирующая компания - РусГидро» - «Саяно-Шушенская ГЭС имени П.С. Непорожнего»</w:t>
            </w:r>
          </w:p>
        </w:tc>
        <w:tc>
          <w:tcPr>
            <w:tcW w:w="340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napToGrid w:val="false"/>
              <w:spacing w:lineRule="auto" w:line="216"/>
              <w:jc w:val="center"/>
              <w:rPr>
                <w:sz w:val="24"/>
                <w:szCs w:val="24"/>
                <w:lang w:eastAsia="en-US"/>
              </w:rPr>
            </w:pPr>
            <w:r>
              <w:rPr>
                <w:sz w:val="24"/>
                <w:szCs w:val="24"/>
                <w:lang w:eastAsia="en-US"/>
              </w:rPr>
            </w:r>
          </w:p>
        </w:tc>
      </w:tr>
      <w:tr>
        <w:trPr>
          <w:trHeight w:val="725" w:hRule="atLeast"/>
        </w:trPr>
        <w:tc>
          <w:tcPr>
            <w:tcW w:w="248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napToGrid w:val="false"/>
              <w:spacing w:lineRule="auto" w:line="252"/>
              <w:rPr>
                <w:color w:val="000000"/>
                <w:sz w:val="24"/>
                <w:szCs w:val="24"/>
                <w:lang w:eastAsia="en-US"/>
              </w:rPr>
            </w:pPr>
            <w:r>
              <w:rPr>
                <w:color w:val="000000"/>
                <w:sz w:val="24"/>
                <w:szCs w:val="24"/>
                <w:lang w:eastAsia="en-US"/>
              </w:rPr>
              <w:t>Сокращенное наименование филиала</w:t>
            </w:r>
          </w:p>
        </w:tc>
        <w:tc>
          <w:tcPr>
            <w:tcW w:w="375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napToGrid w:val="false"/>
              <w:spacing w:lineRule="auto" w:line="216"/>
              <w:jc w:val="center"/>
              <w:rPr>
                <w:sz w:val="24"/>
                <w:szCs w:val="24"/>
                <w:lang w:eastAsia="en-US"/>
              </w:rPr>
            </w:pPr>
            <w:r>
              <w:rPr>
                <w:sz w:val="24"/>
                <w:szCs w:val="24"/>
                <w:lang w:eastAsia="en-US"/>
              </w:rPr>
              <w:t>Филиал ПАО «РусГидро» – «Саяно-Шушенская ГЭС имени П.С. Непорожнего»</w:t>
            </w:r>
          </w:p>
        </w:tc>
        <w:tc>
          <w:tcPr>
            <w:tcW w:w="340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napToGrid w:val="false"/>
              <w:spacing w:lineRule="auto" w:line="216"/>
              <w:jc w:val="center"/>
              <w:rPr>
                <w:sz w:val="24"/>
                <w:szCs w:val="24"/>
                <w:lang w:eastAsia="en-US"/>
              </w:rPr>
            </w:pPr>
            <w:r>
              <w:rPr>
                <w:sz w:val="24"/>
                <w:szCs w:val="24"/>
                <w:lang w:eastAsia="en-US"/>
              </w:rPr>
            </w:r>
          </w:p>
        </w:tc>
      </w:tr>
      <w:tr>
        <w:trPr>
          <w:trHeight w:val="884" w:hRule="atLeast"/>
        </w:trPr>
        <w:tc>
          <w:tcPr>
            <w:tcW w:w="248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napToGrid w:val="false"/>
              <w:spacing w:lineRule="auto" w:line="252"/>
              <w:rPr>
                <w:color w:val="000000"/>
                <w:sz w:val="24"/>
                <w:szCs w:val="24"/>
                <w:lang w:eastAsia="en-US"/>
              </w:rPr>
            </w:pPr>
            <w:r>
              <w:rPr>
                <w:color w:val="000000"/>
                <w:sz w:val="24"/>
                <w:szCs w:val="24"/>
                <w:lang w:eastAsia="en-US"/>
              </w:rPr>
              <w:t>Место нахождения филиала</w:t>
            </w:r>
          </w:p>
        </w:tc>
        <w:tc>
          <w:tcPr>
            <w:tcW w:w="375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napToGrid w:val="false"/>
              <w:spacing w:lineRule="auto" w:line="216"/>
              <w:jc w:val="center"/>
              <w:rPr>
                <w:sz w:val="24"/>
                <w:szCs w:val="24"/>
                <w:lang w:eastAsia="en-US"/>
              </w:rPr>
            </w:pPr>
            <w:r>
              <w:rPr>
                <w:sz w:val="24"/>
                <w:szCs w:val="24"/>
                <w:lang w:eastAsia="en-US"/>
              </w:rPr>
              <w:t xml:space="preserve">655619, Российская Федерация, Республика Хакасия, </w:t>
            </w:r>
          </w:p>
          <w:p>
            <w:pPr>
              <w:pStyle w:val="Normal"/>
              <w:widowControl w:val="false"/>
              <w:snapToGrid w:val="false"/>
              <w:spacing w:lineRule="auto" w:line="216"/>
              <w:jc w:val="center"/>
              <w:rPr>
                <w:sz w:val="24"/>
                <w:szCs w:val="24"/>
                <w:lang w:eastAsia="en-US"/>
              </w:rPr>
            </w:pPr>
            <w:r>
              <w:rPr>
                <w:sz w:val="24"/>
                <w:szCs w:val="24"/>
                <w:lang w:eastAsia="en-US"/>
              </w:rPr>
              <w:t>г. Саяногорск, рп. Черемушки</w:t>
            </w:r>
          </w:p>
        </w:tc>
        <w:tc>
          <w:tcPr>
            <w:tcW w:w="340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napToGrid w:val="false"/>
              <w:spacing w:lineRule="auto" w:line="216"/>
              <w:jc w:val="center"/>
              <w:rPr>
                <w:sz w:val="24"/>
                <w:szCs w:val="24"/>
                <w:lang w:eastAsia="en-US"/>
              </w:rPr>
            </w:pPr>
            <w:r>
              <w:rPr>
                <w:sz w:val="24"/>
                <w:szCs w:val="24"/>
                <w:lang w:eastAsia="en-US"/>
              </w:rPr>
            </w:r>
          </w:p>
        </w:tc>
      </w:tr>
      <w:tr>
        <w:trPr>
          <w:trHeight w:val="982" w:hRule="atLeast"/>
        </w:trPr>
        <w:tc>
          <w:tcPr>
            <w:tcW w:w="248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napToGrid w:val="false"/>
              <w:spacing w:lineRule="auto" w:line="252"/>
              <w:rPr>
                <w:color w:val="000000"/>
                <w:sz w:val="24"/>
                <w:szCs w:val="24"/>
                <w:lang w:eastAsia="en-US"/>
              </w:rPr>
            </w:pPr>
            <w:r>
              <w:rPr>
                <w:color w:val="000000"/>
                <w:sz w:val="24"/>
                <w:szCs w:val="24"/>
                <w:lang w:eastAsia="en-US"/>
              </w:rPr>
              <w:t>Получатель</w:t>
            </w:r>
          </w:p>
        </w:tc>
        <w:tc>
          <w:tcPr>
            <w:tcW w:w="375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napToGrid w:val="false"/>
              <w:spacing w:lineRule="auto" w:line="216"/>
              <w:jc w:val="center"/>
              <w:rPr>
                <w:sz w:val="24"/>
                <w:szCs w:val="24"/>
                <w:lang w:eastAsia="en-US"/>
              </w:rPr>
            </w:pPr>
            <w:r>
              <w:rPr>
                <w:sz w:val="24"/>
                <w:szCs w:val="24"/>
                <w:lang w:eastAsia="en-US"/>
              </w:rPr>
              <w:t>Филиал ПАО «РусГидро» – «Саяно-Шушенская ГЭС имени П.С. Непорожнего»</w:t>
            </w:r>
          </w:p>
        </w:tc>
        <w:tc>
          <w:tcPr>
            <w:tcW w:w="340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napToGrid w:val="false"/>
              <w:spacing w:lineRule="auto" w:line="216"/>
              <w:rPr>
                <w:sz w:val="24"/>
                <w:szCs w:val="24"/>
                <w:lang w:eastAsia="en-US"/>
              </w:rPr>
            </w:pPr>
            <w:r>
              <w:rPr>
                <w:sz w:val="24"/>
                <w:szCs w:val="24"/>
                <w:lang w:eastAsia="en-US"/>
              </w:rPr>
            </w:r>
          </w:p>
        </w:tc>
      </w:tr>
      <w:tr>
        <w:trPr>
          <w:trHeight w:val="841" w:hRule="atLeast"/>
        </w:trPr>
        <w:tc>
          <w:tcPr>
            <w:tcW w:w="248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napToGrid w:val="false"/>
              <w:spacing w:lineRule="auto" w:line="252"/>
              <w:rPr>
                <w:color w:val="000000"/>
                <w:sz w:val="24"/>
                <w:szCs w:val="24"/>
                <w:lang w:eastAsia="en-US"/>
              </w:rPr>
            </w:pPr>
            <w:r>
              <w:rPr>
                <w:color w:val="000000"/>
                <w:sz w:val="24"/>
                <w:szCs w:val="24"/>
                <w:lang w:eastAsia="en-US"/>
              </w:rPr>
              <w:t>Банк получателя</w:t>
            </w:r>
          </w:p>
        </w:tc>
        <w:tc>
          <w:tcPr>
            <w:tcW w:w="375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hd w:val="clear" w:color="auto" w:fill="FFFFFF"/>
              <w:spacing w:lineRule="exact" w:line="230"/>
              <w:ind w:hanging="0" w:left="-40"/>
              <w:jc w:val="center"/>
              <w:rPr>
                <w:sz w:val="24"/>
                <w:szCs w:val="24"/>
                <w:lang w:eastAsia="en-US"/>
              </w:rPr>
            </w:pPr>
            <w:r>
              <w:rPr>
                <w:sz w:val="24"/>
                <w:szCs w:val="24"/>
                <w:lang w:eastAsia="en-US"/>
              </w:rPr>
            </w:r>
          </w:p>
        </w:tc>
        <w:tc>
          <w:tcPr>
            <w:tcW w:w="340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52"/>
              <w:jc w:val="center"/>
              <w:rPr>
                <w:rFonts w:eastAsia="Calibri"/>
                <w:color w:val="000000"/>
                <w:sz w:val="24"/>
                <w:szCs w:val="24"/>
                <w:lang w:eastAsia="en-US"/>
              </w:rPr>
            </w:pPr>
            <w:r>
              <w:rPr>
                <w:rFonts w:eastAsia="Calibri"/>
                <w:color w:val="000000"/>
                <w:sz w:val="24"/>
                <w:szCs w:val="24"/>
                <w:lang w:eastAsia="en-US"/>
              </w:rPr>
            </w:r>
          </w:p>
        </w:tc>
      </w:tr>
      <w:tr>
        <w:trPr>
          <w:trHeight w:val="413" w:hRule="atLeast"/>
        </w:trPr>
        <w:tc>
          <w:tcPr>
            <w:tcW w:w="248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napToGrid w:val="false"/>
              <w:spacing w:lineRule="auto" w:line="252"/>
              <w:rPr>
                <w:color w:val="000000"/>
                <w:sz w:val="24"/>
                <w:szCs w:val="24"/>
                <w:lang w:eastAsia="en-US"/>
              </w:rPr>
            </w:pPr>
            <w:r>
              <w:rPr>
                <w:color w:val="000000"/>
                <w:sz w:val="24"/>
                <w:szCs w:val="24"/>
                <w:lang w:eastAsia="en-US"/>
              </w:rPr>
              <w:t>Расчетный счет</w:t>
            </w:r>
          </w:p>
        </w:tc>
        <w:tc>
          <w:tcPr>
            <w:tcW w:w="375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napToGrid w:val="false"/>
              <w:spacing w:lineRule="auto" w:line="216"/>
              <w:jc w:val="center"/>
              <w:rPr>
                <w:sz w:val="24"/>
                <w:szCs w:val="24"/>
                <w:lang w:eastAsia="en-US"/>
              </w:rPr>
            </w:pPr>
            <w:r>
              <w:rPr>
                <w:sz w:val="24"/>
                <w:szCs w:val="24"/>
                <w:lang w:eastAsia="en-US"/>
              </w:rPr>
            </w:r>
          </w:p>
        </w:tc>
        <w:tc>
          <w:tcPr>
            <w:tcW w:w="340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52"/>
              <w:jc w:val="center"/>
              <w:rPr>
                <w:rFonts w:eastAsia="Calibri"/>
                <w:color w:val="000000"/>
                <w:sz w:val="24"/>
                <w:szCs w:val="24"/>
                <w:lang w:eastAsia="en-US"/>
              </w:rPr>
            </w:pPr>
            <w:r>
              <w:rPr>
                <w:rFonts w:eastAsia="Calibri"/>
                <w:color w:val="000000"/>
                <w:sz w:val="24"/>
                <w:szCs w:val="24"/>
                <w:lang w:eastAsia="en-US"/>
              </w:rPr>
            </w:r>
          </w:p>
        </w:tc>
      </w:tr>
      <w:tr>
        <w:trPr>
          <w:trHeight w:val="231" w:hRule="atLeast"/>
        </w:trPr>
        <w:tc>
          <w:tcPr>
            <w:tcW w:w="248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napToGrid w:val="false"/>
              <w:spacing w:lineRule="auto" w:line="252"/>
              <w:rPr>
                <w:color w:val="000000"/>
                <w:sz w:val="24"/>
                <w:szCs w:val="24"/>
                <w:lang w:eastAsia="en-US"/>
              </w:rPr>
            </w:pPr>
            <w:r>
              <w:rPr>
                <w:color w:val="000000"/>
                <w:sz w:val="24"/>
                <w:szCs w:val="24"/>
                <w:lang w:eastAsia="en-US"/>
              </w:rPr>
              <w:t>Корреспондентский счет</w:t>
            </w:r>
          </w:p>
        </w:tc>
        <w:tc>
          <w:tcPr>
            <w:tcW w:w="375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napToGrid w:val="false"/>
              <w:spacing w:lineRule="auto" w:line="216"/>
              <w:jc w:val="center"/>
              <w:rPr>
                <w:sz w:val="24"/>
                <w:szCs w:val="24"/>
                <w:lang w:eastAsia="en-US"/>
              </w:rPr>
            </w:pPr>
            <w:r>
              <w:rPr>
                <w:sz w:val="24"/>
                <w:szCs w:val="24"/>
                <w:lang w:eastAsia="en-US"/>
              </w:rPr>
            </w:r>
          </w:p>
        </w:tc>
        <w:tc>
          <w:tcPr>
            <w:tcW w:w="340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52"/>
              <w:jc w:val="center"/>
              <w:rPr>
                <w:rFonts w:eastAsia="Calibri"/>
                <w:color w:val="000000"/>
                <w:sz w:val="24"/>
                <w:szCs w:val="24"/>
                <w:lang w:eastAsia="en-US"/>
              </w:rPr>
            </w:pPr>
            <w:r>
              <w:rPr>
                <w:rFonts w:eastAsia="Calibri"/>
                <w:color w:val="000000"/>
                <w:sz w:val="24"/>
                <w:szCs w:val="24"/>
                <w:lang w:eastAsia="en-US"/>
              </w:rPr>
            </w:r>
          </w:p>
        </w:tc>
      </w:tr>
      <w:tr>
        <w:trPr>
          <w:trHeight w:val="175" w:hRule="atLeast"/>
        </w:trPr>
        <w:tc>
          <w:tcPr>
            <w:tcW w:w="248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napToGrid w:val="false"/>
              <w:spacing w:lineRule="auto" w:line="252"/>
              <w:rPr>
                <w:color w:val="000000"/>
                <w:sz w:val="24"/>
                <w:szCs w:val="24"/>
                <w:lang w:eastAsia="en-US"/>
              </w:rPr>
            </w:pPr>
            <w:r>
              <w:rPr>
                <w:color w:val="000000"/>
                <w:sz w:val="24"/>
                <w:szCs w:val="24"/>
                <w:lang w:eastAsia="en-US"/>
              </w:rPr>
              <w:t>БИК</w:t>
            </w:r>
          </w:p>
        </w:tc>
        <w:tc>
          <w:tcPr>
            <w:tcW w:w="375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napToGrid w:val="false"/>
              <w:spacing w:lineRule="auto" w:line="216"/>
              <w:jc w:val="center"/>
              <w:rPr>
                <w:sz w:val="24"/>
                <w:szCs w:val="24"/>
                <w:lang w:eastAsia="en-US"/>
              </w:rPr>
            </w:pPr>
            <w:r>
              <w:rPr>
                <w:sz w:val="24"/>
                <w:szCs w:val="24"/>
                <w:lang w:eastAsia="en-US"/>
              </w:rPr>
            </w:r>
          </w:p>
        </w:tc>
        <w:tc>
          <w:tcPr>
            <w:tcW w:w="340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52"/>
              <w:jc w:val="center"/>
              <w:rPr>
                <w:rFonts w:eastAsia="Calibri"/>
                <w:color w:val="000000"/>
                <w:sz w:val="24"/>
                <w:szCs w:val="24"/>
                <w:lang w:eastAsia="en-US"/>
              </w:rPr>
            </w:pPr>
            <w:r>
              <w:rPr>
                <w:rFonts w:eastAsia="Calibri"/>
                <w:color w:val="000000"/>
                <w:sz w:val="24"/>
                <w:szCs w:val="24"/>
                <w:lang w:eastAsia="en-US"/>
              </w:rPr>
            </w:r>
          </w:p>
        </w:tc>
      </w:tr>
      <w:tr>
        <w:trPr>
          <w:trHeight w:val="157" w:hRule="atLeast"/>
        </w:trPr>
        <w:tc>
          <w:tcPr>
            <w:tcW w:w="248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napToGrid w:val="false"/>
              <w:spacing w:lineRule="auto" w:line="252"/>
              <w:rPr>
                <w:color w:val="000000"/>
                <w:sz w:val="24"/>
                <w:szCs w:val="24"/>
                <w:lang w:eastAsia="en-US"/>
              </w:rPr>
            </w:pPr>
            <w:r>
              <w:rPr>
                <w:color w:val="000000"/>
                <w:sz w:val="24"/>
                <w:szCs w:val="24"/>
                <w:lang w:eastAsia="en-US"/>
              </w:rPr>
              <w:t>ИНН/КПП</w:t>
            </w:r>
          </w:p>
        </w:tc>
        <w:tc>
          <w:tcPr>
            <w:tcW w:w="375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napToGrid w:val="false"/>
              <w:spacing w:lineRule="auto" w:line="216"/>
              <w:jc w:val="center"/>
              <w:rPr>
                <w:sz w:val="24"/>
                <w:szCs w:val="24"/>
                <w:lang w:eastAsia="en-US"/>
              </w:rPr>
            </w:pPr>
            <w:r>
              <w:rPr>
                <w:sz w:val="24"/>
                <w:szCs w:val="24"/>
                <w:lang w:eastAsia="en-US"/>
              </w:rPr>
            </w:r>
          </w:p>
        </w:tc>
        <w:tc>
          <w:tcPr>
            <w:tcW w:w="3402" w:type="dxa"/>
            <w:tcBorders>
              <w:top w:val="single" w:sz="4" w:space="0" w:color="000000"/>
              <w:left w:val="single" w:sz="4" w:space="0" w:color="000000"/>
              <w:bottom w:val="single" w:sz="4" w:space="0" w:color="000000"/>
              <w:right w:val="single" w:sz="4" w:space="0" w:color="000000"/>
            </w:tcBorders>
            <w:vAlign w:val="center"/>
          </w:tcPr>
          <w:p>
            <w:pPr>
              <w:pStyle w:val="Default"/>
              <w:widowControl w:val="false"/>
              <w:spacing w:lineRule="auto" w:line="252"/>
              <w:jc w:val="center"/>
              <w:rPr>
                <w:lang w:eastAsia="en-US"/>
              </w:rPr>
            </w:pPr>
            <w:r>
              <w:rPr>
                <w:lang w:eastAsia="en-US"/>
              </w:rPr>
            </w:r>
          </w:p>
        </w:tc>
      </w:tr>
      <w:tr>
        <w:trPr>
          <w:trHeight w:val="157" w:hRule="atLeast"/>
        </w:trPr>
        <w:tc>
          <w:tcPr>
            <w:tcW w:w="248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napToGrid w:val="false"/>
              <w:spacing w:lineRule="auto" w:line="252"/>
              <w:rPr>
                <w:color w:val="000000"/>
                <w:sz w:val="24"/>
                <w:szCs w:val="24"/>
                <w:lang w:eastAsia="en-US"/>
              </w:rPr>
            </w:pPr>
            <w:r>
              <w:rPr>
                <w:color w:val="000000"/>
                <w:sz w:val="24"/>
                <w:szCs w:val="24"/>
                <w:lang w:eastAsia="en-US"/>
              </w:rPr>
              <w:t>ОГРН</w:t>
            </w:r>
          </w:p>
        </w:tc>
        <w:tc>
          <w:tcPr>
            <w:tcW w:w="375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napToGrid w:val="false"/>
              <w:spacing w:lineRule="auto" w:line="216"/>
              <w:jc w:val="center"/>
              <w:rPr>
                <w:sz w:val="24"/>
                <w:szCs w:val="24"/>
                <w:lang w:eastAsia="en-US"/>
              </w:rPr>
            </w:pPr>
            <w:r>
              <w:rPr>
                <w:sz w:val="24"/>
                <w:szCs w:val="24"/>
                <w:lang w:eastAsia="en-US"/>
              </w:rPr>
            </w:r>
          </w:p>
        </w:tc>
        <w:tc>
          <w:tcPr>
            <w:tcW w:w="340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52"/>
              <w:jc w:val="center"/>
              <w:rPr>
                <w:rFonts w:eastAsia="Calibri"/>
                <w:color w:val="000000"/>
                <w:sz w:val="24"/>
                <w:szCs w:val="24"/>
                <w:lang w:eastAsia="en-US"/>
              </w:rPr>
            </w:pPr>
            <w:r>
              <w:rPr>
                <w:rFonts w:eastAsia="Calibri"/>
                <w:color w:val="000000"/>
                <w:sz w:val="24"/>
                <w:szCs w:val="24"/>
                <w:lang w:eastAsia="en-US"/>
              </w:rPr>
            </w:r>
          </w:p>
        </w:tc>
      </w:tr>
      <w:tr>
        <w:trPr>
          <w:trHeight w:val="225" w:hRule="atLeast"/>
        </w:trPr>
        <w:tc>
          <w:tcPr>
            <w:tcW w:w="248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napToGrid w:val="false"/>
              <w:spacing w:lineRule="auto" w:line="252"/>
              <w:rPr>
                <w:color w:val="000000"/>
                <w:sz w:val="24"/>
                <w:szCs w:val="24"/>
                <w:lang w:eastAsia="en-US"/>
              </w:rPr>
            </w:pPr>
            <w:r>
              <w:rPr>
                <w:color w:val="000000"/>
                <w:sz w:val="24"/>
                <w:szCs w:val="24"/>
                <w:lang w:eastAsia="en-US"/>
              </w:rPr>
              <w:t>Тел./ факс</w:t>
            </w:r>
          </w:p>
        </w:tc>
        <w:tc>
          <w:tcPr>
            <w:tcW w:w="375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napToGrid w:val="false"/>
              <w:spacing w:lineRule="auto" w:line="216"/>
              <w:jc w:val="center"/>
              <w:rPr>
                <w:sz w:val="24"/>
                <w:szCs w:val="24"/>
                <w:lang w:eastAsia="en-US"/>
              </w:rPr>
            </w:pPr>
            <w:r>
              <w:rPr>
                <w:sz w:val="24"/>
                <w:szCs w:val="24"/>
                <w:lang w:eastAsia="en-US"/>
              </w:rPr>
            </w:r>
          </w:p>
        </w:tc>
        <w:tc>
          <w:tcPr>
            <w:tcW w:w="340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52"/>
              <w:jc w:val="center"/>
              <w:rPr>
                <w:rFonts w:eastAsia="Calibri"/>
                <w:color w:val="000000"/>
                <w:sz w:val="24"/>
                <w:szCs w:val="24"/>
                <w:lang w:eastAsia="en-US"/>
              </w:rPr>
            </w:pPr>
            <w:r>
              <w:rPr>
                <w:rFonts w:eastAsia="Calibri"/>
                <w:color w:val="000000"/>
                <w:sz w:val="24"/>
                <w:szCs w:val="24"/>
                <w:lang w:eastAsia="en-US"/>
              </w:rPr>
            </w:r>
          </w:p>
        </w:tc>
      </w:tr>
      <w:tr>
        <w:trPr>
          <w:trHeight w:val="326" w:hRule="atLeast"/>
        </w:trPr>
        <w:tc>
          <w:tcPr>
            <w:tcW w:w="248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napToGrid w:val="false"/>
              <w:spacing w:lineRule="auto" w:line="252"/>
              <w:rPr>
                <w:color w:val="000000"/>
                <w:sz w:val="24"/>
                <w:szCs w:val="24"/>
                <w:lang w:eastAsia="en-US"/>
              </w:rPr>
            </w:pPr>
            <w:r>
              <w:rPr>
                <w:color w:val="000000"/>
                <w:sz w:val="24"/>
                <w:szCs w:val="24"/>
                <w:lang w:eastAsia="en-US"/>
              </w:rPr>
              <w:t>Руководитель</w:t>
            </w:r>
          </w:p>
        </w:tc>
        <w:tc>
          <w:tcPr>
            <w:tcW w:w="375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napToGrid w:val="false"/>
              <w:spacing w:lineRule="auto" w:line="216"/>
              <w:jc w:val="center"/>
              <w:rPr>
                <w:sz w:val="24"/>
                <w:szCs w:val="24"/>
                <w:lang w:eastAsia="en-US"/>
              </w:rPr>
            </w:pPr>
            <w:r>
              <w:rPr>
                <w:sz w:val="24"/>
                <w:szCs w:val="24"/>
                <w:lang w:eastAsia="en-US"/>
              </w:rPr>
            </w:r>
          </w:p>
        </w:tc>
        <w:tc>
          <w:tcPr>
            <w:tcW w:w="340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napToGrid w:val="false"/>
              <w:spacing w:lineRule="auto" w:line="216"/>
              <w:jc w:val="center"/>
              <w:rPr>
                <w:sz w:val="24"/>
                <w:szCs w:val="24"/>
                <w:lang w:eastAsia="en-US"/>
              </w:rPr>
            </w:pPr>
            <w:r>
              <w:rPr>
                <w:sz w:val="24"/>
                <w:szCs w:val="24"/>
                <w:lang w:eastAsia="en-US"/>
              </w:rPr>
            </w:r>
          </w:p>
        </w:tc>
      </w:tr>
      <w:tr>
        <w:trPr>
          <w:trHeight w:val="717" w:hRule="atLeast"/>
        </w:trPr>
        <w:tc>
          <w:tcPr>
            <w:tcW w:w="248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napToGrid w:val="false"/>
              <w:spacing w:lineRule="auto" w:line="252"/>
              <w:rPr>
                <w:sz w:val="24"/>
                <w:szCs w:val="24"/>
                <w:lang w:eastAsia="en-US"/>
              </w:rPr>
            </w:pPr>
            <w:r>
              <w:rPr>
                <w:color w:val="000000"/>
                <w:sz w:val="24"/>
                <w:szCs w:val="24"/>
                <w:lang w:eastAsia="en-US"/>
              </w:rPr>
              <w:t>Контактное лицо</w:t>
            </w:r>
          </w:p>
        </w:tc>
        <w:tc>
          <w:tcPr>
            <w:tcW w:w="375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52"/>
              <w:jc w:val="center"/>
              <w:rPr>
                <w:sz w:val="24"/>
                <w:szCs w:val="24"/>
                <w:lang w:val="en-US" w:eastAsia="en-US"/>
              </w:rPr>
            </w:pPr>
            <w:r>
              <w:rPr>
                <w:sz w:val="24"/>
                <w:szCs w:val="24"/>
                <w:lang w:val="en-US" w:eastAsia="en-US"/>
              </w:rPr>
            </w:r>
          </w:p>
        </w:tc>
        <w:tc>
          <w:tcPr>
            <w:tcW w:w="340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52"/>
              <w:jc w:val="center"/>
              <w:rPr>
                <w:sz w:val="24"/>
                <w:szCs w:val="24"/>
                <w:lang w:eastAsia="en-US"/>
              </w:rPr>
            </w:pPr>
            <w:r>
              <w:rPr>
                <w:sz w:val="24"/>
                <w:szCs w:val="24"/>
                <w:lang w:eastAsia="en-US"/>
              </w:rPr>
            </w:r>
          </w:p>
        </w:tc>
      </w:tr>
      <w:tr>
        <w:trPr>
          <w:trHeight w:val="608" w:hRule="atLeast"/>
        </w:trPr>
        <w:tc>
          <w:tcPr>
            <w:tcW w:w="248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napToGrid w:val="false"/>
              <w:spacing w:lineRule="auto" w:line="252"/>
              <w:rPr>
                <w:color w:val="000000"/>
                <w:sz w:val="24"/>
                <w:szCs w:val="24"/>
                <w:lang w:eastAsia="en-US"/>
              </w:rPr>
            </w:pPr>
            <w:r>
              <w:rPr>
                <w:color w:val="000000"/>
                <w:sz w:val="24"/>
                <w:szCs w:val="24"/>
                <w:lang w:eastAsia="en-US"/>
              </w:rPr>
              <w:t>Лицо, имеющее право подписи первичных документов</w:t>
            </w:r>
          </w:p>
        </w:tc>
        <w:tc>
          <w:tcPr>
            <w:tcW w:w="375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52"/>
              <w:jc w:val="center"/>
              <w:rPr>
                <w:sz w:val="24"/>
                <w:szCs w:val="24"/>
                <w:lang w:eastAsia="en-US"/>
              </w:rPr>
            </w:pPr>
            <w:r>
              <w:rPr>
                <w:sz w:val="24"/>
                <w:szCs w:val="24"/>
                <w:lang w:eastAsia="en-US"/>
              </w:rPr>
            </w:r>
          </w:p>
        </w:tc>
        <w:tc>
          <w:tcPr>
            <w:tcW w:w="340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52"/>
              <w:jc w:val="center"/>
              <w:rPr>
                <w:sz w:val="24"/>
                <w:szCs w:val="24"/>
                <w:lang w:eastAsia="en-US"/>
              </w:rPr>
            </w:pPr>
            <w:r>
              <w:rPr>
                <w:sz w:val="24"/>
                <w:szCs w:val="24"/>
                <w:lang w:eastAsia="en-US"/>
              </w:rPr>
            </w:r>
          </w:p>
        </w:tc>
      </w:tr>
    </w:tbl>
    <w:p>
      <w:pPr>
        <w:pStyle w:val="ListParagraph"/>
        <w:widowControl/>
        <w:shd w:val="clear" w:color="auto" w:fill="FFFFFF"/>
        <w:tabs>
          <w:tab w:val="clear" w:pos="708"/>
          <w:tab w:val="left" w:pos="426" w:leader="none"/>
        </w:tabs>
        <w:ind w:hanging="0" w:left="360"/>
        <w:rPr>
          <w:b/>
          <w:bCs/>
          <w:sz w:val="24"/>
          <w:szCs w:val="24"/>
        </w:rPr>
      </w:pPr>
      <w:r>
        <w:rPr>
          <w:b/>
          <w:bCs/>
          <w:sz w:val="24"/>
          <w:szCs w:val="24"/>
        </w:rPr>
      </w:r>
    </w:p>
    <w:tbl>
      <w:tblPr>
        <w:tblW w:w="9890"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9398"/>
        <w:gridCol w:w="277"/>
        <w:gridCol w:w="203"/>
        <w:gridCol w:w="12"/>
      </w:tblGrid>
      <w:tr>
        <w:trPr/>
        <w:tc>
          <w:tcPr>
            <w:tcW w:w="9675" w:type="dxa"/>
            <w:gridSpan w:val="2"/>
            <w:tcBorders/>
          </w:tcPr>
          <w:p>
            <w:pPr>
              <w:pStyle w:val="Normal"/>
              <w:widowControl w:val="false"/>
              <w:numPr>
                <w:ilvl w:val="0"/>
                <w:numId w:val="0"/>
              </w:numPr>
              <w:ind w:hanging="0" w:left="0"/>
              <w:jc w:val="center"/>
              <w:outlineLvl w:val="0"/>
              <w:rPr>
                <w:b/>
                <w:bCs/>
                <w:sz w:val="24"/>
                <w:szCs w:val="24"/>
              </w:rPr>
            </w:pPr>
            <w:r>
              <w:rPr>
                <w:b/>
                <w:bCs/>
                <w:sz w:val="24"/>
                <w:szCs w:val="24"/>
              </w:rPr>
              <w:t>ПОДПИСИ СТОРОН:</w:t>
            </w:r>
          </w:p>
          <w:p>
            <w:pPr>
              <w:pStyle w:val="Normal"/>
              <w:widowControl w:val="false"/>
              <w:numPr>
                <w:ilvl w:val="0"/>
                <w:numId w:val="0"/>
              </w:numPr>
              <w:ind w:hanging="0" w:left="0"/>
              <w:jc w:val="center"/>
              <w:outlineLvl w:val="0"/>
              <w:rPr>
                <w:b/>
                <w:bCs/>
                <w:sz w:val="24"/>
                <w:szCs w:val="24"/>
              </w:rPr>
            </w:pPr>
            <w:r>
              <w:rPr>
                <w:b/>
                <w:bCs/>
                <w:sz w:val="24"/>
                <w:szCs w:val="24"/>
              </w:rPr>
            </w:r>
          </w:p>
          <w:tbl>
            <w:tblPr>
              <w:tblW w:w="9815"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4995"/>
              <w:gridCol w:w="4819"/>
            </w:tblGrid>
            <w:tr>
              <w:trPr/>
              <w:tc>
                <w:tcPr>
                  <w:tcW w:w="4995" w:type="dxa"/>
                  <w:tcBorders/>
                </w:tcPr>
                <w:p>
                  <w:pPr>
                    <w:pStyle w:val="Normal"/>
                    <w:widowControl w:val="false"/>
                    <w:spacing w:lineRule="auto" w:line="252"/>
                    <w:rPr>
                      <w:b/>
                      <w:sz w:val="24"/>
                      <w:szCs w:val="24"/>
                      <w:lang w:eastAsia="en-US"/>
                    </w:rPr>
                  </w:pPr>
                  <w:r>
                    <w:rPr>
                      <w:b/>
                      <w:sz w:val="24"/>
                      <w:szCs w:val="24"/>
                      <w:lang w:eastAsia="en-US"/>
                    </w:rPr>
                    <w:t>Покупатель:</w:t>
                  </w:r>
                </w:p>
                <w:p>
                  <w:pPr>
                    <w:pStyle w:val="Normal"/>
                    <w:widowControl w:val="false"/>
                    <w:spacing w:lineRule="auto" w:line="252"/>
                    <w:rPr>
                      <w:sz w:val="24"/>
                      <w:szCs w:val="24"/>
                      <w:lang w:eastAsia="en-US"/>
                    </w:rPr>
                  </w:pPr>
                  <w:r>
                    <w:rPr>
                      <w:sz w:val="24"/>
                      <w:szCs w:val="24"/>
                      <w:lang w:eastAsia="en-US"/>
                    </w:rPr>
                  </w:r>
                </w:p>
                <w:p>
                  <w:pPr>
                    <w:pStyle w:val="Normal"/>
                    <w:widowControl w:val="false"/>
                    <w:spacing w:lineRule="auto" w:line="252"/>
                    <w:rPr>
                      <w:sz w:val="24"/>
                      <w:szCs w:val="24"/>
                      <w:lang w:eastAsia="en-US"/>
                    </w:rPr>
                  </w:pPr>
                  <w:r>
                    <w:rPr>
                      <w:sz w:val="24"/>
                      <w:szCs w:val="24"/>
                      <w:lang w:eastAsia="en-US"/>
                    </w:rPr>
                    <w:t xml:space="preserve">___________________   / </w:t>
                  </w:r>
                </w:p>
                <w:p>
                  <w:pPr>
                    <w:pStyle w:val="Normal"/>
                    <w:widowControl w:val="false"/>
                    <w:spacing w:lineRule="auto" w:line="252"/>
                    <w:rPr>
                      <w:sz w:val="24"/>
                      <w:szCs w:val="24"/>
                      <w:lang w:eastAsia="en-US"/>
                    </w:rPr>
                  </w:pPr>
                  <w:r>
                    <w:rPr>
                      <w:sz w:val="24"/>
                      <w:szCs w:val="24"/>
                      <w:lang w:eastAsia="en-US"/>
                    </w:rPr>
                  </w:r>
                </w:p>
              </w:tc>
              <w:tc>
                <w:tcPr>
                  <w:tcW w:w="4819" w:type="dxa"/>
                  <w:tcBorders/>
                </w:tcPr>
                <w:p>
                  <w:pPr>
                    <w:pStyle w:val="Normal"/>
                    <w:widowControl w:val="false"/>
                    <w:spacing w:lineRule="auto" w:line="252"/>
                    <w:ind w:firstLine="34"/>
                    <w:rPr>
                      <w:b/>
                      <w:sz w:val="24"/>
                      <w:szCs w:val="24"/>
                      <w:lang w:eastAsia="en-US"/>
                    </w:rPr>
                  </w:pPr>
                  <w:r>
                    <w:rPr>
                      <w:b/>
                      <w:sz w:val="24"/>
                      <w:szCs w:val="24"/>
                      <w:lang w:eastAsia="en-US"/>
                    </w:rPr>
                    <w:t>Поставщик:</w:t>
                  </w:r>
                </w:p>
                <w:p>
                  <w:pPr>
                    <w:pStyle w:val="Normal"/>
                    <w:widowControl w:val="false"/>
                    <w:spacing w:lineRule="auto" w:line="252"/>
                    <w:rPr>
                      <w:sz w:val="24"/>
                      <w:szCs w:val="24"/>
                      <w:lang w:eastAsia="en-US"/>
                    </w:rPr>
                  </w:pPr>
                  <w:r>
                    <w:rPr>
                      <w:sz w:val="24"/>
                      <w:szCs w:val="24"/>
                      <w:lang w:eastAsia="en-US"/>
                    </w:rPr>
                  </w:r>
                </w:p>
                <w:p>
                  <w:pPr>
                    <w:pStyle w:val="Normal"/>
                    <w:widowControl w:val="false"/>
                    <w:spacing w:lineRule="auto" w:line="252"/>
                    <w:rPr>
                      <w:b/>
                      <w:sz w:val="24"/>
                      <w:szCs w:val="24"/>
                      <w:lang w:eastAsia="en-US"/>
                    </w:rPr>
                  </w:pPr>
                  <w:r>
                    <w:rPr>
                      <w:sz w:val="24"/>
                      <w:szCs w:val="24"/>
                      <w:lang w:eastAsia="en-US"/>
                    </w:rPr>
                    <w:t>__________________ /</w:t>
                  </w:r>
                </w:p>
              </w:tc>
            </w:tr>
          </w:tbl>
          <w:p>
            <w:pPr>
              <w:pStyle w:val="Normal"/>
              <w:widowControl w:val="false"/>
              <w:rPr>
                <w:sz w:val="24"/>
                <w:szCs w:val="24"/>
              </w:rPr>
            </w:pPr>
            <w:r>
              <w:rPr>
                <w:sz w:val="24"/>
                <w:szCs w:val="24"/>
              </w:rPr>
            </w:r>
          </w:p>
        </w:tc>
        <w:tc>
          <w:tcPr>
            <w:tcW w:w="215" w:type="dxa"/>
            <w:gridSpan w:val="2"/>
            <w:tcBorders/>
          </w:tcPr>
          <w:p>
            <w:pPr>
              <w:pStyle w:val="Normal"/>
              <w:widowControl w:val="false"/>
              <w:rPr>
                <w:sz w:val="24"/>
                <w:szCs w:val="24"/>
              </w:rPr>
            </w:pPr>
            <w:r>
              <w:rPr>
                <w:sz w:val="24"/>
                <w:szCs w:val="24"/>
              </w:rPr>
            </w:r>
          </w:p>
        </w:tc>
      </w:tr>
      <w:tr>
        <w:trPr/>
        <w:tc>
          <w:tcPr>
            <w:tcW w:w="9675" w:type="dxa"/>
            <w:gridSpan w:val="2"/>
            <w:tcBorders/>
            <w:shd w:color="auto" w:fill="auto" w:val="clear"/>
          </w:tcPr>
          <w:p>
            <w:pPr>
              <w:pStyle w:val="Normal"/>
              <w:widowControl w:val="false"/>
              <w:rPr>
                <w:sz w:val="24"/>
                <w:szCs w:val="24"/>
              </w:rPr>
            </w:pPr>
            <w:r>
              <w:rPr>
                <w:sz w:val="24"/>
                <w:szCs w:val="24"/>
              </w:rPr>
            </w:r>
          </w:p>
        </w:tc>
        <w:tc>
          <w:tcPr>
            <w:tcW w:w="215" w:type="dxa"/>
            <w:gridSpan w:val="2"/>
            <w:tcBorders/>
            <w:shd w:color="auto" w:fill="auto" w:val="clear"/>
          </w:tcPr>
          <w:p>
            <w:pPr>
              <w:pStyle w:val="Normal"/>
              <w:widowControl w:val="false"/>
              <w:rPr>
                <w:sz w:val="24"/>
                <w:szCs w:val="24"/>
              </w:rPr>
            </w:pPr>
            <w:r>
              <w:rPr>
                <w:sz w:val="24"/>
                <w:szCs w:val="24"/>
              </w:rPr>
            </w:r>
          </w:p>
        </w:tc>
      </w:tr>
      <w:tr>
        <w:trPr/>
        <w:tc>
          <w:tcPr>
            <w:tcW w:w="9398" w:type="dxa"/>
            <w:tcBorders/>
            <w:shd w:color="auto" w:fill="auto" w:val="clear"/>
          </w:tcPr>
          <w:p>
            <w:pPr>
              <w:pStyle w:val="Normal"/>
              <w:widowControl w:val="false"/>
              <w:rPr>
                <w:sz w:val="24"/>
                <w:szCs w:val="24"/>
              </w:rPr>
            </w:pPr>
            <w:r>
              <w:rPr>
                <w:sz w:val="24"/>
                <w:szCs w:val="24"/>
              </w:rPr>
            </w:r>
          </w:p>
        </w:tc>
        <w:tc>
          <w:tcPr>
            <w:tcW w:w="480" w:type="dxa"/>
            <w:gridSpan w:val="2"/>
            <w:tcBorders/>
            <w:shd w:color="auto" w:fill="auto" w:val="clear"/>
          </w:tcPr>
          <w:p>
            <w:pPr>
              <w:pStyle w:val="Normal"/>
              <w:widowControl w:val="false"/>
              <w:rPr>
                <w:sz w:val="24"/>
                <w:szCs w:val="24"/>
              </w:rPr>
            </w:pPr>
            <w:r>
              <w:rPr>
                <w:sz w:val="24"/>
                <w:szCs w:val="24"/>
              </w:rPr>
            </w:r>
          </w:p>
        </w:tc>
        <w:tc>
          <w:tcPr>
            <w:tcW w:w="12" w:type="dxa"/>
            <w:tcBorders/>
          </w:tcPr>
          <w:p>
            <w:pPr>
              <w:pStyle w:val="Normal"/>
              <w:widowControl w:val="false"/>
              <w:rPr/>
            </w:pPr>
            <w:r>
              <w:rPr/>
            </w:r>
          </w:p>
        </w:tc>
      </w:tr>
    </w:tbl>
    <w:p>
      <w:pPr>
        <w:sectPr>
          <w:headerReference w:type="default" r:id="rId2"/>
          <w:headerReference w:type="first" r:id="rId3"/>
          <w:footerReference w:type="default" r:id="rId4"/>
          <w:type w:val="nextPage"/>
          <w:pgSz w:w="11906" w:h="16838"/>
          <w:pgMar w:left="1418" w:right="851" w:gutter="0" w:header="709" w:top="1134" w:footer="709" w:bottom="2268"/>
          <w:pgNumType w:fmt="decimal"/>
          <w:formProt w:val="false"/>
          <w:titlePg/>
          <w:textDirection w:val="lrTb"/>
          <w:docGrid w:type="default" w:linePitch="360" w:charSpace="8192"/>
        </w:sectPr>
      </w:pPr>
    </w:p>
    <w:p>
      <w:pPr>
        <w:pStyle w:val="Normal"/>
        <w:suppressAutoHyphens w:val="true"/>
        <w:ind w:firstLine="5103" w:right="96"/>
        <w:jc w:val="right"/>
        <w:rPr>
          <w:sz w:val="24"/>
          <w:szCs w:val="24"/>
        </w:rPr>
      </w:pPr>
      <w:r>
        <w:rPr>
          <w:sz w:val="24"/>
          <w:szCs w:val="24"/>
        </w:rPr>
        <w:t>Приложение № 2</w:t>
      </w:r>
    </w:p>
    <w:p>
      <w:pPr>
        <w:pStyle w:val="Normal"/>
        <w:suppressAutoHyphens w:val="true"/>
        <w:ind w:firstLine="5103" w:right="96"/>
        <w:jc w:val="right"/>
        <w:rPr>
          <w:sz w:val="24"/>
          <w:szCs w:val="24"/>
        </w:rPr>
      </w:pPr>
      <w:r>
        <w:rPr>
          <w:sz w:val="24"/>
          <w:szCs w:val="24"/>
        </w:rPr>
        <w:t xml:space="preserve">к Договору поставки </w:t>
      </w:r>
    </w:p>
    <w:p>
      <w:pPr>
        <w:pStyle w:val="Normal"/>
        <w:suppressAutoHyphens w:val="true"/>
        <w:ind w:firstLine="5103" w:right="96"/>
        <w:jc w:val="right"/>
        <w:rPr>
          <w:sz w:val="24"/>
          <w:szCs w:val="24"/>
        </w:rPr>
      </w:pPr>
      <w:r>
        <w:rPr>
          <w:sz w:val="24"/>
          <w:szCs w:val="24"/>
        </w:rPr>
        <w:t xml:space="preserve">от «____» __________ 20 _ г. </w:t>
      </w:r>
    </w:p>
    <w:p>
      <w:pPr>
        <w:pStyle w:val="Normal"/>
        <w:suppressAutoHyphens w:val="true"/>
        <w:ind w:firstLine="5103" w:right="96"/>
        <w:jc w:val="right"/>
        <w:rPr>
          <w:sz w:val="24"/>
          <w:szCs w:val="24"/>
        </w:rPr>
      </w:pPr>
      <w:r>
        <w:rPr>
          <w:sz w:val="24"/>
          <w:szCs w:val="24"/>
        </w:rPr>
        <w:t xml:space="preserve">№ </w:t>
      </w:r>
    </w:p>
    <w:p>
      <w:pPr>
        <w:pStyle w:val="Normal"/>
        <w:widowControl/>
        <w:rPr>
          <w:rFonts w:eastAsia="Calibri"/>
          <w:b/>
          <w:sz w:val="24"/>
          <w:szCs w:val="24"/>
          <w:lang w:eastAsia="en-US"/>
        </w:rPr>
      </w:pPr>
      <w:r>
        <w:rPr>
          <w:rFonts w:eastAsia="Calibri"/>
          <w:b/>
          <w:sz w:val="24"/>
          <w:szCs w:val="24"/>
          <w:lang w:eastAsia="en-US"/>
        </w:rPr>
      </w:r>
    </w:p>
    <w:p>
      <w:pPr>
        <w:pStyle w:val="Normal"/>
        <w:jc w:val="center"/>
        <w:rPr>
          <w:b/>
          <w:bCs/>
          <w:sz w:val="24"/>
          <w:szCs w:val="24"/>
        </w:rPr>
      </w:pPr>
      <w:r>
        <w:rPr>
          <w:b/>
          <w:bCs/>
          <w:sz w:val="24"/>
          <w:szCs w:val="24"/>
        </w:rPr>
        <w:t>Размер ответственности Поставщика за нарушения</w:t>
      </w:r>
    </w:p>
    <w:p>
      <w:pPr>
        <w:pStyle w:val="Normal"/>
        <w:jc w:val="center"/>
        <w:rPr>
          <w:b/>
          <w:bCs/>
          <w:sz w:val="24"/>
          <w:szCs w:val="24"/>
        </w:rPr>
      </w:pPr>
      <w:r>
        <w:rPr>
          <w:b/>
          <w:bCs/>
          <w:sz w:val="24"/>
          <w:szCs w:val="24"/>
        </w:rPr>
        <w:t>пропускного и внутриобъектового режима, требований охраны труда,</w:t>
      </w:r>
    </w:p>
    <w:p>
      <w:pPr>
        <w:pStyle w:val="Normal"/>
        <w:jc w:val="center"/>
        <w:rPr>
          <w:b/>
          <w:sz w:val="24"/>
          <w:szCs w:val="24"/>
        </w:rPr>
      </w:pPr>
      <w:r>
        <w:rPr>
          <w:b/>
          <w:bCs/>
          <w:sz w:val="24"/>
          <w:szCs w:val="24"/>
        </w:rPr>
        <w:t>пожарной и промышленной безопасности</w:t>
      </w:r>
    </w:p>
    <w:tbl>
      <w:tblPr>
        <w:tblW w:w="4900" w:type="pct"/>
        <w:jc w:val="left"/>
        <w:tblInd w:w="0" w:type="dxa"/>
        <w:tblLayout w:type="fixed"/>
        <w:tblCellMar>
          <w:top w:w="0" w:type="dxa"/>
          <w:left w:w="108" w:type="dxa"/>
          <w:bottom w:w="0" w:type="dxa"/>
          <w:right w:w="108" w:type="dxa"/>
        </w:tblCellMar>
        <w:tblLook w:val="01e0" w:noHBand="0" w:noVBand="0" w:firstColumn="1" w:lastRow="1" w:lastColumn="1" w:firstRow="1"/>
      </w:tblPr>
      <w:tblGrid>
        <w:gridCol w:w="3646"/>
        <w:gridCol w:w="5797"/>
      </w:tblGrid>
      <w:tr>
        <w:trPr/>
        <w:tc>
          <w:tcPr>
            <w:tcW w:w="3646" w:type="dxa"/>
            <w:tcBorders>
              <w:top w:val="single" w:sz="4" w:space="0" w:color="000000"/>
              <w:left w:val="single" w:sz="4" w:space="0" w:color="000000"/>
              <w:bottom w:val="single" w:sz="4" w:space="0" w:color="000000"/>
              <w:right w:val="single" w:sz="4" w:space="0" w:color="000000"/>
            </w:tcBorders>
          </w:tcPr>
          <w:p>
            <w:pPr>
              <w:pStyle w:val="Normal"/>
              <w:widowControl w:val="false"/>
              <w:rPr>
                <w:b/>
                <w:sz w:val="24"/>
                <w:szCs w:val="24"/>
              </w:rPr>
            </w:pPr>
            <w:r>
              <w:rPr>
                <w:b/>
                <w:sz w:val="24"/>
                <w:szCs w:val="24"/>
              </w:rPr>
              <w:t>Виды нарушений</w:t>
            </w:r>
          </w:p>
        </w:tc>
        <w:tc>
          <w:tcPr>
            <w:tcW w:w="5797" w:type="dxa"/>
            <w:tcBorders>
              <w:top w:val="single" w:sz="4" w:space="0" w:color="000000"/>
              <w:left w:val="single" w:sz="4" w:space="0" w:color="000000"/>
              <w:bottom w:val="single" w:sz="4" w:space="0" w:color="000000"/>
              <w:right w:val="single" w:sz="4" w:space="0" w:color="000000"/>
            </w:tcBorders>
          </w:tcPr>
          <w:p>
            <w:pPr>
              <w:pStyle w:val="Normal"/>
              <w:widowControl w:val="false"/>
              <w:rPr>
                <w:b/>
                <w:sz w:val="24"/>
                <w:szCs w:val="24"/>
              </w:rPr>
            </w:pPr>
            <w:r>
              <w:rPr>
                <w:b/>
                <w:sz w:val="24"/>
                <w:szCs w:val="24"/>
              </w:rPr>
              <w:t>Штрафные санкции</w:t>
            </w:r>
          </w:p>
        </w:tc>
      </w:tr>
      <w:tr>
        <w:trPr/>
        <w:tc>
          <w:tcPr>
            <w:tcW w:w="3646"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1. Нарушение правил пожарной безопасности (ППБ):</w:t>
            </w:r>
          </w:p>
        </w:tc>
        <w:tc>
          <w:tcPr>
            <w:tcW w:w="5797"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r>
          </w:p>
        </w:tc>
      </w:tr>
      <w:tr>
        <w:trPr/>
        <w:tc>
          <w:tcPr>
            <w:tcW w:w="3646"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1.1. Нарушение ППБ без возникновения пожара</w:t>
            </w:r>
          </w:p>
          <w:p>
            <w:pPr>
              <w:pStyle w:val="Normal"/>
              <w:widowControl w:val="false"/>
              <w:rPr>
                <w:b/>
                <w:sz w:val="24"/>
                <w:szCs w:val="24"/>
              </w:rPr>
            </w:pPr>
            <w:r>
              <w:rPr>
                <w:b/>
                <w:sz w:val="24"/>
                <w:szCs w:val="24"/>
              </w:rPr>
            </w:r>
          </w:p>
        </w:tc>
        <w:tc>
          <w:tcPr>
            <w:tcW w:w="5797"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25 000 (Двадцать пять тысяч) рублей за каждый случай нарушения.</w:t>
            </w:r>
          </w:p>
          <w:p>
            <w:pPr>
              <w:pStyle w:val="Normal"/>
              <w:widowControl w:val="false"/>
              <w:jc w:val="both"/>
              <w:rPr>
                <w:sz w:val="24"/>
                <w:szCs w:val="24"/>
              </w:rPr>
            </w:pPr>
            <w:r>
              <w:rPr>
                <w:sz w:val="24"/>
                <w:szCs w:val="24"/>
              </w:rPr>
              <w:t>Сумма штрафа, установленная настоящим пунктом, увеличивается на 50 (Пятьдесят) процентов по отношению к предыдущему случаю за каждое следующее нарушение.</w:t>
            </w:r>
          </w:p>
        </w:tc>
      </w:tr>
      <w:tr>
        <w:trPr/>
        <w:tc>
          <w:tcPr>
            <w:tcW w:w="3646"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1.2. Нарушение ППБ, ставшее причиной возникновения пожара, не причинившего ущерб имуществу Покупателя</w:t>
            </w:r>
          </w:p>
        </w:tc>
        <w:tc>
          <w:tcPr>
            <w:tcW w:w="5797"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50 000 (Пятьдесят тысяч) рублей за каждый случай нарушения.</w:t>
            </w:r>
          </w:p>
          <w:p>
            <w:pPr>
              <w:pStyle w:val="Normal"/>
              <w:widowControl w:val="false"/>
              <w:jc w:val="both"/>
              <w:rPr>
                <w:sz w:val="24"/>
                <w:szCs w:val="24"/>
              </w:rPr>
            </w:pPr>
            <w:r>
              <w:rPr>
                <w:sz w:val="24"/>
                <w:szCs w:val="24"/>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r>
        <w:trPr/>
        <w:tc>
          <w:tcPr>
            <w:tcW w:w="3646"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1.3. Нарушение ППБ, ставшее причиной возникновения пожара, причинившего ущерб имуществу Покупателя.</w:t>
            </w:r>
          </w:p>
        </w:tc>
        <w:tc>
          <w:tcPr>
            <w:tcW w:w="5797"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 xml:space="preserve"> </w:t>
            </w:r>
            <w:r>
              <w:rPr>
                <w:sz w:val="24"/>
                <w:szCs w:val="24"/>
              </w:rPr>
              <w:t>250 000 (Двести пятьдесят тысяч) рублей за каждый случай нарушения.</w:t>
            </w:r>
          </w:p>
        </w:tc>
      </w:tr>
      <w:tr>
        <w:trPr/>
        <w:tc>
          <w:tcPr>
            <w:tcW w:w="3646"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2.</w:t>
            </w:r>
            <w:r>
              <w:rPr>
                <w:b/>
                <w:sz w:val="24"/>
                <w:szCs w:val="24"/>
              </w:rPr>
              <w:t xml:space="preserve"> </w:t>
            </w:r>
            <w:r>
              <w:rPr>
                <w:sz w:val="24"/>
                <w:szCs w:val="24"/>
              </w:rPr>
              <w:t>Нарушение пропускного и внутриобъектового режима, требований охраны труда, промышленной безопасности, охраны окружающей среды, санитарно-эпидемиологических правил и норм.</w:t>
            </w:r>
            <w:r>
              <w:rPr>
                <w:b/>
                <w:sz w:val="24"/>
                <w:szCs w:val="24"/>
              </w:rPr>
              <w:t xml:space="preserve"> </w:t>
            </w:r>
          </w:p>
        </w:tc>
        <w:tc>
          <w:tcPr>
            <w:tcW w:w="5797"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- 50 000 (Пятьдесят тысяч) рублей за каждый случай нарушения;</w:t>
            </w:r>
          </w:p>
          <w:p>
            <w:pPr>
              <w:pStyle w:val="Normal"/>
              <w:widowControl w:val="false"/>
              <w:jc w:val="both"/>
              <w:rPr>
                <w:sz w:val="24"/>
                <w:szCs w:val="24"/>
              </w:rPr>
            </w:pPr>
            <w:r>
              <w:rPr>
                <w:sz w:val="24"/>
                <w:szCs w:val="24"/>
              </w:rPr>
              <w:t xml:space="preserve">- 500 (Пятьсот) рублей в случае утраты или приведения в негодность электронного пропуска, выданного Покупателем. </w:t>
            </w:r>
          </w:p>
          <w:p>
            <w:pPr>
              <w:pStyle w:val="Normal"/>
              <w:widowControl w:val="false"/>
              <w:jc w:val="both"/>
              <w:rPr>
                <w:sz w:val="24"/>
                <w:szCs w:val="24"/>
              </w:rPr>
            </w:pPr>
            <w:r>
              <w:rPr>
                <w:sz w:val="24"/>
                <w:szCs w:val="24"/>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bl>
    <w:p>
      <w:pPr>
        <w:pStyle w:val="Normal"/>
        <w:rPr>
          <w:sz w:val="24"/>
          <w:szCs w:val="24"/>
        </w:rPr>
      </w:pPr>
      <w:r>
        <w:rPr>
          <w:sz w:val="24"/>
          <w:szCs w:val="24"/>
        </w:rPr>
      </w:r>
    </w:p>
    <w:p>
      <w:pPr>
        <w:pStyle w:val="Normal"/>
        <w:numPr>
          <w:ilvl w:val="0"/>
          <w:numId w:val="0"/>
        </w:numPr>
        <w:ind w:hanging="0" w:left="0"/>
        <w:jc w:val="center"/>
        <w:outlineLvl w:val="0"/>
        <w:rPr>
          <w:b/>
          <w:bCs/>
          <w:sz w:val="24"/>
          <w:szCs w:val="24"/>
        </w:rPr>
      </w:pPr>
      <w:r>
        <w:rPr>
          <w:b/>
          <w:bCs/>
          <w:sz w:val="24"/>
          <w:szCs w:val="24"/>
        </w:rPr>
        <w:t>ПОДПИСИ СТОРОН:</w:t>
      </w:r>
    </w:p>
    <w:p>
      <w:pPr>
        <w:pStyle w:val="Normal"/>
        <w:numPr>
          <w:ilvl w:val="0"/>
          <w:numId w:val="0"/>
        </w:numPr>
        <w:ind w:hanging="0" w:left="0"/>
        <w:jc w:val="center"/>
        <w:outlineLvl w:val="0"/>
        <w:rPr>
          <w:bCs/>
          <w:sz w:val="24"/>
          <w:szCs w:val="24"/>
        </w:rPr>
      </w:pPr>
      <w:r>
        <w:rPr>
          <w:bCs/>
          <w:sz w:val="24"/>
          <w:szCs w:val="24"/>
        </w:rPr>
      </w:r>
    </w:p>
    <w:tbl>
      <w:tblPr>
        <w:tblW w:w="9769" w:type="dxa"/>
        <w:jc w:val="left"/>
        <w:tblInd w:w="-176" w:type="dxa"/>
        <w:tblLayout w:type="fixed"/>
        <w:tblCellMar>
          <w:top w:w="0" w:type="dxa"/>
          <w:left w:w="108" w:type="dxa"/>
          <w:bottom w:w="0" w:type="dxa"/>
          <w:right w:w="108" w:type="dxa"/>
        </w:tblCellMar>
        <w:tblLook w:val="04a0" w:noHBand="0" w:noVBand="1" w:firstColumn="1" w:lastRow="0" w:lastColumn="0" w:firstRow="1"/>
      </w:tblPr>
      <w:tblGrid>
        <w:gridCol w:w="4973"/>
        <w:gridCol w:w="4795"/>
      </w:tblGrid>
      <w:tr>
        <w:trPr>
          <w:trHeight w:val="1797" w:hRule="atLeast"/>
        </w:trPr>
        <w:tc>
          <w:tcPr>
            <w:tcW w:w="4973" w:type="dxa"/>
            <w:tcBorders/>
            <w:shd w:color="auto" w:fill="auto" w:val="clear"/>
          </w:tcPr>
          <w:p>
            <w:pPr>
              <w:pStyle w:val="Normal"/>
              <w:widowControl w:val="false"/>
              <w:spacing w:lineRule="auto" w:line="252"/>
              <w:rPr>
                <w:b/>
                <w:sz w:val="24"/>
                <w:szCs w:val="24"/>
                <w:lang w:eastAsia="en-US"/>
              </w:rPr>
            </w:pPr>
            <w:r>
              <w:rPr>
                <w:b/>
                <w:sz w:val="24"/>
                <w:szCs w:val="24"/>
                <w:lang w:eastAsia="en-US"/>
              </w:rPr>
              <w:t>Покупатель:</w:t>
            </w:r>
          </w:p>
          <w:p>
            <w:pPr>
              <w:pStyle w:val="Normal"/>
              <w:widowControl w:val="false"/>
              <w:spacing w:lineRule="auto" w:line="252"/>
              <w:rPr>
                <w:sz w:val="24"/>
                <w:szCs w:val="24"/>
                <w:lang w:eastAsia="en-US"/>
              </w:rPr>
            </w:pPr>
            <w:r>
              <w:rPr>
                <w:sz w:val="24"/>
                <w:szCs w:val="24"/>
                <w:lang w:eastAsia="en-US"/>
              </w:rPr>
            </w:r>
          </w:p>
          <w:p>
            <w:pPr>
              <w:pStyle w:val="Normal"/>
              <w:widowControl w:val="false"/>
              <w:spacing w:lineRule="auto" w:line="252"/>
              <w:rPr>
                <w:sz w:val="24"/>
                <w:szCs w:val="24"/>
                <w:lang w:eastAsia="en-US"/>
              </w:rPr>
            </w:pPr>
            <w:r>
              <w:rPr>
                <w:sz w:val="24"/>
                <w:szCs w:val="24"/>
                <w:lang w:eastAsia="en-US"/>
              </w:rPr>
              <w:t xml:space="preserve">___________________   / </w:t>
            </w:r>
          </w:p>
          <w:p>
            <w:pPr>
              <w:pStyle w:val="Normal"/>
              <w:widowControl w:val="false"/>
              <w:spacing w:lineRule="auto" w:line="360"/>
              <w:rPr>
                <w:sz w:val="24"/>
                <w:szCs w:val="24"/>
              </w:rPr>
            </w:pPr>
            <w:r>
              <w:rPr>
                <w:sz w:val="24"/>
                <w:szCs w:val="24"/>
              </w:rPr>
            </w:r>
          </w:p>
        </w:tc>
        <w:tc>
          <w:tcPr>
            <w:tcW w:w="4795" w:type="dxa"/>
            <w:tcBorders/>
            <w:shd w:color="auto" w:fill="auto" w:val="clear"/>
          </w:tcPr>
          <w:p>
            <w:pPr>
              <w:pStyle w:val="Normal"/>
              <w:widowControl w:val="false"/>
              <w:spacing w:lineRule="auto" w:line="252"/>
              <w:ind w:firstLine="34"/>
              <w:rPr>
                <w:b/>
                <w:sz w:val="24"/>
                <w:szCs w:val="24"/>
                <w:lang w:eastAsia="en-US"/>
              </w:rPr>
            </w:pPr>
            <w:r>
              <w:rPr>
                <w:b/>
                <w:sz w:val="24"/>
                <w:szCs w:val="24"/>
                <w:lang w:eastAsia="en-US"/>
              </w:rPr>
              <w:t>Поставщик:</w:t>
            </w:r>
          </w:p>
          <w:p>
            <w:pPr>
              <w:pStyle w:val="Normal"/>
              <w:widowControl w:val="false"/>
              <w:spacing w:lineRule="auto" w:line="252"/>
              <w:rPr>
                <w:sz w:val="24"/>
                <w:szCs w:val="24"/>
                <w:lang w:eastAsia="en-US"/>
              </w:rPr>
            </w:pPr>
            <w:r>
              <w:rPr>
                <w:sz w:val="24"/>
                <w:szCs w:val="24"/>
                <w:lang w:eastAsia="en-US"/>
              </w:rPr>
            </w:r>
          </w:p>
          <w:p>
            <w:pPr>
              <w:pStyle w:val="Normal"/>
              <w:widowControl w:val="false"/>
              <w:spacing w:lineRule="auto" w:line="360"/>
              <w:ind w:firstLine="33"/>
              <w:rPr>
                <w:b/>
                <w:sz w:val="24"/>
                <w:szCs w:val="24"/>
              </w:rPr>
            </w:pPr>
            <w:r>
              <w:rPr>
                <w:sz w:val="24"/>
                <w:szCs w:val="24"/>
                <w:lang w:eastAsia="en-US"/>
              </w:rPr>
              <w:t>__________________ /</w:t>
            </w:r>
            <w:r>
              <w:rPr>
                <w:b/>
                <w:sz w:val="24"/>
                <w:szCs w:val="24"/>
              </w:rPr>
              <w:t xml:space="preserve"> </w:t>
            </w:r>
          </w:p>
        </w:tc>
      </w:tr>
    </w:tbl>
    <w:p>
      <w:pPr>
        <w:pStyle w:val="Normal"/>
        <w:rPr>
          <w:b/>
          <w:bCs/>
          <w:sz w:val="24"/>
          <w:szCs w:val="24"/>
        </w:rPr>
      </w:pPr>
      <w:r>
        <w:rPr>
          <w:b/>
          <w:bCs/>
          <w:sz w:val="24"/>
          <w:szCs w:val="24"/>
        </w:rPr>
      </w:r>
    </w:p>
    <w:sectPr>
      <w:headerReference w:type="default" r:id="rId5"/>
      <w:headerReference w:type="first" r:id="rId6"/>
      <w:footerReference w:type="default" r:id="rId7"/>
      <w:footerReference w:type="first" r:id="rId8"/>
      <w:type w:val="nextPage"/>
      <w:pgSz w:w="11906" w:h="16838"/>
      <w:pgMar w:left="1418" w:right="851" w:gutter="0" w:header="567" w:top="1134" w:footer="709" w:bottom="2268"/>
      <w:pgNumType w:fmt="decimal"/>
      <w:formProt w:val="false"/>
      <w:textDirection w:val="lrTb"/>
      <w:docGrid w:type="default" w:linePitch="36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Times New Roman">
    <w:charset w:val="01"/>
    <w:family w:val="roman"/>
    <w:pitch w:val="variable"/>
  </w:font>
  <w:font w:name="Arial">
    <w:charset w:val="01"/>
    <w:family w:val="roman"/>
    <w:pitch w:val="variable"/>
  </w:font>
  <w:font w:name="Cambria">
    <w:charset w:val="01"/>
    <w:family w:val="roman"/>
    <w:pitch w:val="variable"/>
  </w:font>
  <w:font w:name="Liberation Sans">
    <w:altName w:val="Arial"/>
    <w:charset w:val="01"/>
    <w:family w:val="roman"/>
    <w:pitch w:val="variable"/>
  </w:font>
  <w:font w:name="Courier New">
    <w:charset w:val="01"/>
    <w:family w:val="roman"/>
    <w:pitch w:val="variable"/>
  </w:font>
  <w:font w:name="Tahoma">
    <w:charset w:val="01"/>
    <w:family w:val="roman"/>
    <w:pitch w:val="variable"/>
  </w:font>
  <w:font w:name="Verdana">
    <w:charset w:val="01"/>
    <w:family w:val="roman"/>
    <w:pitch w:val="variable"/>
  </w:font>
  <w:font w:name="Calibri">
    <w:charset w:val="01"/>
    <w:family w:val="roman"/>
    <w:pitch w:val="variable"/>
  </w:font>
  <w:font w:name="Lucida Grande CY">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r>
  </w:p>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08"/>
        <w:tab w:val="left" w:pos="1875" w:leader="none"/>
        <w:tab w:val="center" w:pos="4153" w:leader="none"/>
        <w:tab w:val="right" w:pos="8306" w:leader="none"/>
      </w:tabs>
      <w:rPr>
        <w:i/>
        <w:i/>
      </w:rPr>
    </w:pPr>
    <w:r>
      <w:rPr>
        <w:i/>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360"/>
        </w:tabs>
        <w:ind w:left="360" w:hanging="360"/>
      </w:pPr>
      <w:rPr/>
    </w:lvl>
    <w:lvl w:ilvl="1">
      <w:start w:val="1"/>
      <w:numFmt w:val="decimal"/>
      <w:lvlText w:val="%1.%2."/>
      <w:lvlJc w:val="left"/>
      <w:pPr>
        <w:tabs>
          <w:tab w:val="num" w:pos="1141"/>
        </w:tabs>
        <w:ind w:left="1141" w:hanging="432"/>
      </w:pPr>
      <w:rPr>
        <w:sz w:val="24"/>
        <w:b w:val="false"/>
        <w:szCs w:val="24"/>
      </w:rPr>
    </w:lvl>
    <w:lvl w:ilvl="2">
      <w:start w:val="1"/>
      <w:numFmt w:val="decimal"/>
      <w:lvlText w:val="%1.%2.%3."/>
      <w:lvlJc w:val="left"/>
      <w:pPr>
        <w:tabs>
          <w:tab w:val="num" w:pos="1855"/>
        </w:tabs>
        <w:ind w:left="1639"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3">
    <w:lvl w:ilvl="0">
      <w:start w:val="1"/>
      <w:numFmt w:val="bullet"/>
      <w:lvlText w:val=""/>
      <w:lvlJc w:val="left"/>
      <w:pPr>
        <w:tabs>
          <w:tab w:val="num" w:pos="1353"/>
        </w:tabs>
        <w:ind w:left="1353"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
    <w:lvl w:ilvl="0">
      <w:start w:val="1"/>
      <w:numFmt w:val="bullet"/>
      <w:lvlText w:val=""/>
      <w:lvlJc w:val="left"/>
      <w:pPr>
        <w:tabs>
          <w:tab w:val="num" w:pos="1778"/>
        </w:tabs>
        <w:ind w:left="1778" w:hanging="360"/>
      </w:pPr>
      <w:rPr>
        <w:rFonts w:ascii="Symbol" w:hAnsi="Symbol" w:cs="Symbol" w:hint="default"/>
      </w:rPr>
    </w:lvl>
    <w:lvl w:ilvl="1">
      <w:start w:val="1"/>
      <w:numFmt w:val="bullet"/>
      <w:lvlText w:val="o"/>
      <w:lvlJc w:val="left"/>
      <w:pPr>
        <w:tabs>
          <w:tab w:val="num" w:pos="2498"/>
        </w:tabs>
        <w:ind w:left="2498" w:hanging="360"/>
      </w:pPr>
      <w:rPr>
        <w:rFonts w:ascii="Courier New" w:hAnsi="Courier New" w:cs="Courier New" w:hint="default"/>
      </w:rPr>
    </w:lvl>
    <w:lvl w:ilvl="2">
      <w:start w:val="1"/>
      <w:numFmt w:val="bullet"/>
      <w:lvlText w:val=""/>
      <w:lvlJc w:val="left"/>
      <w:pPr>
        <w:tabs>
          <w:tab w:val="num" w:pos="3218"/>
        </w:tabs>
        <w:ind w:left="3218" w:hanging="360"/>
      </w:pPr>
      <w:rPr>
        <w:rFonts w:ascii="Wingdings" w:hAnsi="Wingdings" w:cs="Wingdings" w:hint="default"/>
      </w:rPr>
    </w:lvl>
    <w:lvl w:ilvl="3">
      <w:start w:val="1"/>
      <w:numFmt w:val="bullet"/>
      <w:lvlText w:val=""/>
      <w:lvlJc w:val="left"/>
      <w:pPr>
        <w:tabs>
          <w:tab w:val="num" w:pos="3938"/>
        </w:tabs>
        <w:ind w:left="3938" w:hanging="360"/>
      </w:pPr>
      <w:rPr>
        <w:rFonts w:ascii="Symbol" w:hAnsi="Symbol" w:cs="Symbol" w:hint="default"/>
      </w:rPr>
    </w:lvl>
    <w:lvl w:ilvl="4">
      <w:start w:val="1"/>
      <w:numFmt w:val="bullet"/>
      <w:lvlText w:val="o"/>
      <w:lvlJc w:val="left"/>
      <w:pPr>
        <w:tabs>
          <w:tab w:val="num" w:pos="4658"/>
        </w:tabs>
        <w:ind w:left="4658" w:hanging="360"/>
      </w:pPr>
      <w:rPr>
        <w:rFonts w:ascii="Courier New" w:hAnsi="Courier New" w:cs="Courier New" w:hint="default"/>
      </w:rPr>
    </w:lvl>
    <w:lvl w:ilvl="5">
      <w:start w:val="1"/>
      <w:numFmt w:val="bullet"/>
      <w:lvlText w:val=""/>
      <w:lvlJc w:val="left"/>
      <w:pPr>
        <w:tabs>
          <w:tab w:val="num" w:pos="5378"/>
        </w:tabs>
        <w:ind w:left="5378" w:hanging="360"/>
      </w:pPr>
      <w:rPr>
        <w:rFonts w:ascii="Wingdings" w:hAnsi="Wingdings" w:cs="Wingdings" w:hint="default"/>
      </w:rPr>
    </w:lvl>
    <w:lvl w:ilvl="6">
      <w:start w:val="1"/>
      <w:numFmt w:val="bullet"/>
      <w:lvlText w:val=""/>
      <w:lvlJc w:val="left"/>
      <w:pPr>
        <w:tabs>
          <w:tab w:val="num" w:pos="6098"/>
        </w:tabs>
        <w:ind w:left="6098" w:hanging="360"/>
      </w:pPr>
      <w:rPr>
        <w:rFonts w:ascii="Symbol" w:hAnsi="Symbol" w:cs="Symbol" w:hint="default"/>
      </w:rPr>
    </w:lvl>
    <w:lvl w:ilvl="7">
      <w:start w:val="1"/>
      <w:numFmt w:val="bullet"/>
      <w:lvlText w:val="o"/>
      <w:lvlJc w:val="left"/>
      <w:pPr>
        <w:tabs>
          <w:tab w:val="num" w:pos="6818"/>
        </w:tabs>
        <w:ind w:left="6818" w:hanging="360"/>
      </w:pPr>
      <w:rPr>
        <w:rFonts w:ascii="Courier New" w:hAnsi="Courier New" w:cs="Courier New" w:hint="default"/>
      </w:rPr>
    </w:lvl>
    <w:lvl w:ilvl="8">
      <w:start w:val="1"/>
      <w:numFmt w:val="bullet"/>
      <w:lvlText w:val=""/>
      <w:lvlJc w:val="left"/>
      <w:pPr>
        <w:tabs>
          <w:tab w:val="num" w:pos="7538"/>
        </w:tabs>
        <w:ind w:left="7538" w:hanging="360"/>
      </w:pPr>
      <w:rPr>
        <w:rFonts w:ascii="Wingdings" w:hAnsi="Wingdings" w:cs="Wingdings" w:hint="default"/>
      </w:rPr>
    </w:lvl>
  </w:abstractNum>
  <w:abstractNum w:abstractNumId="5">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7">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0">
    <w:lvl w:ilvl="0">
      <w:start w:val="2"/>
      <w:numFmt w:val="decimal"/>
      <w:lvlText w:val="%1"/>
      <w:lvlJc w:val="left"/>
      <w:pPr>
        <w:tabs>
          <w:tab w:val="num" w:pos="0"/>
        </w:tabs>
        <w:ind w:left="480" w:hanging="480"/>
      </w:pPr>
      <w:rPr/>
    </w:lvl>
    <w:lvl w:ilvl="1">
      <w:start w:val="2"/>
      <w:numFmt w:val="decimal"/>
      <w:lvlText w:val="%1.%2"/>
      <w:lvlJc w:val="left"/>
      <w:pPr>
        <w:tabs>
          <w:tab w:val="num" w:pos="0"/>
        </w:tabs>
        <w:ind w:left="840" w:hanging="480"/>
      </w:pPr>
      <w:rPr/>
    </w:lvl>
    <w:lvl w:ilvl="2">
      <w:start w:val="2"/>
      <w:numFmt w:val="decimal"/>
      <w:lvlText w:val="%1.%2.%3"/>
      <w:lvlJc w:val="left"/>
      <w:pPr>
        <w:tabs>
          <w:tab w:val="num" w:pos="0"/>
        </w:tabs>
        <w:ind w:left="1440" w:hanging="720"/>
      </w:pPr>
      <w:rPr/>
    </w:lvl>
    <w:lvl w:ilvl="3">
      <w:start w:val="1"/>
      <w:numFmt w:val="decimal"/>
      <w:lvlText w:val="%1.%2.%3.%4"/>
      <w:lvlJc w:val="left"/>
      <w:pPr>
        <w:tabs>
          <w:tab w:val="num" w:pos="0"/>
        </w:tabs>
        <w:ind w:left="1800" w:hanging="72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2880" w:hanging="1080"/>
      </w:pPr>
      <w:rPr/>
    </w:lvl>
    <w:lvl w:ilvl="6">
      <w:start w:val="1"/>
      <w:numFmt w:val="decimal"/>
      <w:lvlText w:val="%1.%2.%3.%4.%5.%6.%7"/>
      <w:lvlJc w:val="left"/>
      <w:pPr>
        <w:tabs>
          <w:tab w:val="num" w:pos="0"/>
        </w:tabs>
        <w:ind w:left="3600" w:hanging="1440"/>
      </w:pPr>
      <w:rPr/>
    </w:lvl>
    <w:lvl w:ilvl="7">
      <w:start w:val="1"/>
      <w:numFmt w:val="decimal"/>
      <w:lvlText w:val="%1.%2.%3.%4.%5.%6.%7.%8"/>
      <w:lvlJc w:val="left"/>
      <w:pPr>
        <w:tabs>
          <w:tab w:val="num" w:pos="0"/>
        </w:tabs>
        <w:ind w:left="3960" w:hanging="1440"/>
      </w:pPr>
      <w:rPr/>
    </w:lvl>
    <w:lvl w:ilvl="8">
      <w:start w:val="1"/>
      <w:numFmt w:val="decimal"/>
      <w:lvlText w:val="%1.%2.%3.%4.%5.%6.%7.%8.%9"/>
      <w:lvlJc w:val="left"/>
      <w:pPr>
        <w:tabs>
          <w:tab w:val="num" w:pos="0"/>
        </w:tabs>
        <w:ind w:left="4680" w:hanging="180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umentProtection w:edit="trackedChanges" w:cryptProviderType="rsaAES" w:cryptAlgorithmClass="hash" w:cryptAlgorithmType="typeAny" w:cryptAlgorithmSid="" w:cryptSpinCount="0" w:hash="" w:sal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uiPriority="99" w:semiHidden="1" w:unhideWhenUsed="1"/>
    <w:lsdException w:name="annotation text" w:semiHidden="1" w:unhideWhenUsed="1"/>
    <w:lsdException w:name="header" w:uiPriority="99"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uiPriority="99"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3b206e"/>
    <w:pPr>
      <w:widowControl w:val="false"/>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ing1">
    <w:name w:val="Heading 1"/>
    <w:basedOn w:val="Normal"/>
    <w:next w:val="Normal"/>
    <w:qFormat/>
    <w:rsid w:val="00a264b0"/>
    <w:pPr>
      <w:keepNext w:val="true"/>
      <w:spacing w:before="240" w:after="60"/>
      <w:outlineLvl w:val="0"/>
    </w:pPr>
    <w:rPr>
      <w:rFonts w:ascii="Arial" w:hAnsi="Arial" w:cs="Arial"/>
      <w:b/>
      <w:bCs/>
      <w:kern w:val="2"/>
      <w:sz w:val="32"/>
      <w:szCs w:val="32"/>
    </w:rPr>
  </w:style>
  <w:style w:type="paragraph" w:styleId="Heading3">
    <w:name w:val="Heading 3"/>
    <w:basedOn w:val="Normal"/>
    <w:next w:val="Normal"/>
    <w:link w:val="31"/>
    <w:qFormat/>
    <w:rsid w:val="001b1bd9"/>
    <w:pPr>
      <w:keepNext w:val="true"/>
      <w:keepLines/>
      <w:spacing w:before="200" w:after="0"/>
      <w:outlineLvl w:val="2"/>
    </w:pPr>
    <w:rPr>
      <w:rFonts w:ascii="Cambria" w:hAnsi="Cambria"/>
      <w:b/>
      <w:bCs/>
      <w:color w:val="4F81BD"/>
    </w:rPr>
  </w:style>
  <w:style w:type="character" w:styleId="DefaultParagraphFont" w:default="1">
    <w:name w:val="Default Paragraph Font"/>
    <w:uiPriority w:val="1"/>
    <w:semiHidden/>
    <w:unhideWhenUsed/>
    <w:qFormat/>
    <w:rPr/>
  </w:style>
  <w:style w:type="character" w:styleId="Style7" w:customStyle="1">
    <w:name w:val="Заголовок Знак"/>
    <w:qFormat/>
    <w:locked/>
    <w:rsid w:val="00565582"/>
    <w:rPr>
      <w:b/>
      <w:bCs/>
      <w:sz w:val="24"/>
      <w:szCs w:val="24"/>
      <w:lang w:val="ru-RU" w:eastAsia="ru-RU" w:bidi="ar-SA"/>
    </w:rPr>
  </w:style>
  <w:style w:type="character" w:styleId="Style8" w:customStyle="1">
    <w:name w:val="Основной текст Знак"/>
    <w:qFormat/>
    <w:rsid w:val="00565582"/>
    <w:rPr>
      <w:lang w:val="ru-RU" w:eastAsia="ru-RU" w:bidi="ar-SA"/>
    </w:rPr>
  </w:style>
  <w:style w:type="character" w:styleId="Pagenumber">
    <w:name w:val="page number"/>
    <w:basedOn w:val="DefaultParagraphFont"/>
    <w:qFormat/>
    <w:rsid w:val="008b02a1"/>
    <w:rPr/>
  </w:style>
  <w:style w:type="character" w:styleId="3" w:customStyle="1">
    <w:name w:val="Основной текст 3 Знак"/>
    <w:link w:val="BodyText3"/>
    <w:qFormat/>
    <w:rsid w:val="005a0965"/>
    <w:rPr>
      <w:sz w:val="16"/>
      <w:szCs w:val="16"/>
    </w:rPr>
  </w:style>
  <w:style w:type="character" w:styleId="Annotationreference">
    <w:name w:val="annotation reference"/>
    <w:qFormat/>
    <w:rsid w:val="00d36934"/>
    <w:rPr>
      <w:sz w:val="16"/>
      <w:szCs w:val="16"/>
    </w:rPr>
  </w:style>
  <w:style w:type="character" w:styleId="Style9" w:customStyle="1">
    <w:name w:val="Текст примечания Знак"/>
    <w:basedOn w:val="DefaultParagraphFont"/>
    <w:link w:val="Annotationtext"/>
    <w:qFormat/>
    <w:rsid w:val="00d36934"/>
    <w:rPr/>
  </w:style>
  <w:style w:type="character" w:styleId="Style10" w:customStyle="1">
    <w:name w:val="Тема примечания Знак"/>
    <w:link w:val="Annotationsubject"/>
    <w:qFormat/>
    <w:rsid w:val="00d36934"/>
    <w:rPr>
      <w:b/>
      <w:bCs/>
    </w:rPr>
  </w:style>
  <w:style w:type="character" w:styleId="31" w:customStyle="1">
    <w:name w:val="Заголовок 3 Знак"/>
    <w:semiHidden/>
    <w:qFormat/>
    <w:rsid w:val="001b1bd9"/>
    <w:rPr>
      <w:rFonts w:ascii="Cambria" w:hAnsi="Cambria" w:eastAsia="Times New Roman" w:cs="Times New Roman"/>
      <w:b/>
      <w:bCs/>
      <w:color w:val="4F81BD"/>
    </w:rPr>
  </w:style>
  <w:style w:type="character" w:styleId="Style11" w:customStyle="1">
    <w:name w:val="Основной текст с отступом Знак"/>
    <w:basedOn w:val="DefaultParagraphFont"/>
    <w:qFormat/>
    <w:rsid w:val="00e00bca"/>
    <w:rPr/>
  </w:style>
  <w:style w:type="character" w:styleId="Style12" w:customStyle="1">
    <w:name w:val="комментарий"/>
    <w:uiPriority w:val="99"/>
    <w:qFormat/>
    <w:rsid w:val="00d562c0"/>
    <w:rPr>
      <w:rFonts w:cs="Times New Roman"/>
      <w:b/>
      <w:bCs/>
      <w:i/>
      <w:iCs/>
      <w:shd w:fill="FFFF99" w:val="clear"/>
    </w:rPr>
  </w:style>
  <w:style w:type="character" w:styleId="Style13" w:customStyle="1">
    <w:name w:val="Текст сноски Знак"/>
    <w:basedOn w:val="DefaultParagraphFont"/>
    <w:uiPriority w:val="99"/>
    <w:qFormat/>
    <w:rsid w:val="00f47c6a"/>
    <w:rPr/>
  </w:style>
  <w:style w:type="character" w:styleId="Style14">
    <w:name w:val="Символ сноски"/>
    <w:qFormat/>
    <w:rsid w:val="00f47c6a"/>
    <w:rPr>
      <w:vertAlign w:val="superscript"/>
    </w:rPr>
  </w:style>
  <w:style w:type="character" w:styleId="FootnoteReference">
    <w:name w:val="Footnote Reference"/>
    <w:rPr>
      <w:vertAlign w:val="superscript"/>
    </w:rPr>
  </w:style>
  <w:style w:type="character" w:styleId="Style15" w:customStyle="1">
    <w:name w:val="Верхний колонтитул Знак"/>
    <w:basedOn w:val="DefaultParagraphFont"/>
    <w:uiPriority w:val="99"/>
    <w:qFormat/>
    <w:rsid w:val="000449a5"/>
    <w:rPr/>
  </w:style>
  <w:style w:type="character" w:styleId="Hyperlink">
    <w:name w:val="Hyperlink"/>
    <w:uiPriority w:val="99"/>
    <w:rsid w:val="005e6f32"/>
    <w:rPr>
      <w:color w:val="0000FF"/>
      <w:u w:val="single"/>
    </w:rPr>
  </w:style>
  <w:style w:type="character" w:styleId="Style16" w:customStyle="1">
    <w:name w:val="Нижний колонтитул Знак"/>
    <w:uiPriority w:val="99"/>
    <w:qFormat/>
    <w:rsid w:val="00d925fb"/>
    <w:rPr/>
  </w:style>
  <w:style w:type="character" w:styleId="Style17" w:customStyle="1">
    <w:name w:val="Абзац списка Знак"/>
    <w:link w:val="ListParagraph"/>
    <w:uiPriority w:val="34"/>
    <w:qFormat/>
    <w:locked/>
    <w:rsid w:val="00182860"/>
    <w:rPr/>
  </w:style>
  <w:style w:type="paragraph" w:styleId="Style18">
    <w:name w:val="Заголовок"/>
    <w:basedOn w:val="Normal"/>
    <w:next w:val="BodyText"/>
    <w:qForma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link w:val="Style8"/>
    <w:rsid w:val="00084bde"/>
    <w:pPr>
      <w:spacing w:before="0" w:after="120"/>
    </w:pPr>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Style19">
    <w:name w:val="Указатель"/>
    <w:basedOn w:val="Normal"/>
    <w:qFormat/>
    <w:pPr>
      <w:suppressLineNumbers/>
    </w:pPr>
    <w:rPr/>
  </w:style>
  <w:style w:type="paragraph" w:styleId="Title">
    <w:name w:val="Title"/>
    <w:basedOn w:val="Normal"/>
    <w:link w:val="Style7"/>
    <w:qFormat/>
    <w:rsid w:val="00a264b0"/>
    <w:pPr>
      <w:jc w:val="center"/>
    </w:pPr>
    <w:rPr>
      <w:b/>
      <w:bCs/>
      <w:sz w:val="24"/>
      <w:szCs w:val="24"/>
    </w:rPr>
  </w:style>
  <w:style w:type="paragraph" w:styleId="Style20" w:customStyle="1">
    <w:name w:val="Таблицы (моноширинный)"/>
    <w:basedOn w:val="Normal"/>
    <w:next w:val="Normal"/>
    <w:qFormat/>
    <w:rsid w:val="00a264b0"/>
    <w:pPr>
      <w:jc w:val="both"/>
    </w:pPr>
    <w:rPr>
      <w:rFonts w:ascii="Courier New" w:hAnsi="Courier New" w:cs="Courier New"/>
    </w:rPr>
  </w:style>
  <w:style w:type="paragraph" w:styleId="BodyTextIndent2">
    <w:name w:val="Body Text Indent 2"/>
    <w:basedOn w:val="Normal"/>
    <w:qFormat/>
    <w:rsid w:val="00a264b0"/>
    <w:pPr>
      <w:ind w:hanging="0" w:left="1843"/>
      <w:jc w:val="both"/>
    </w:pPr>
    <w:rPr>
      <w:sz w:val="24"/>
    </w:rPr>
  </w:style>
  <w:style w:type="paragraph" w:styleId="BalloonText">
    <w:name w:val="Balloon Text"/>
    <w:basedOn w:val="Normal"/>
    <w:semiHidden/>
    <w:qFormat/>
    <w:rsid w:val="00080acb"/>
    <w:pPr/>
    <w:rPr>
      <w:rFonts w:ascii="Tahoma" w:hAnsi="Tahoma" w:cs="Tahoma"/>
      <w:sz w:val="16"/>
      <w:szCs w:val="16"/>
    </w:rPr>
  </w:style>
  <w:style w:type="paragraph" w:styleId="BodyText2">
    <w:name w:val="Body Text 2"/>
    <w:basedOn w:val="Normal"/>
    <w:qFormat/>
    <w:rsid w:val="006257f9"/>
    <w:pPr>
      <w:widowControl/>
      <w:spacing w:lineRule="auto" w:line="480" w:before="0" w:after="120"/>
    </w:pPr>
    <w:rPr>
      <w:sz w:val="24"/>
      <w:szCs w:val="24"/>
    </w:rPr>
  </w:style>
  <w:style w:type="paragraph" w:styleId="Style21">
    <w:name w:val="Колонтитул"/>
    <w:basedOn w:val="Normal"/>
    <w:qFormat/>
    <w:pPr/>
    <w:rPr/>
  </w:style>
  <w:style w:type="paragraph" w:styleId="Footer">
    <w:name w:val="Footer"/>
    <w:basedOn w:val="Normal"/>
    <w:link w:val="Style16"/>
    <w:uiPriority w:val="99"/>
    <w:rsid w:val="008b02a1"/>
    <w:pPr>
      <w:tabs>
        <w:tab w:val="clear" w:pos="708"/>
        <w:tab w:val="center" w:pos="4677" w:leader="none"/>
        <w:tab w:val="right" w:pos="9355" w:leader="none"/>
      </w:tabs>
    </w:pPr>
    <w:rPr/>
  </w:style>
  <w:style w:type="paragraph" w:styleId="BodyText3">
    <w:name w:val="Body Text 3"/>
    <w:basedOn w:val="Normal"/>
    <w:link w:val="3"/>
    <w:qFormat/>
    <w:rsid w:val="005a0965"/>
    <w:pPr>
      <w:spacing w:before="0" w:after="120"/>
    </w:pPr>
    <w:rPr>
      <w:sz w:val="16"/>
      <w:szCs w:val="16"/>
    </w:rPr>
  </w:style>
  <w:style w:type="paragraph" w:styleId="Annotationtext">
    <w:name w:val="annotation text"/>
    <w:basedOn w:val="Normal"/>
    <w:link w:val="Style9"/>
    <w:qFormat/>
    <w:rsid w:val="00d36934"/>
    <w:pPr/>
    <w:rPr/>
  </w:style>
  <w:style w:type="paragraph" w:styleId="Annotationsubject">
    <w:name w:val="annotation subject"/>
    <w:basedOn w:val="Annotationtext"/>
    <w:next w:val="Annotationtext"/>
    <w:link w:val="Style10"/>
    <w:qFormat/>
    <w:rsid w:val="00d36934"/>
    <w:pPr/>
    <w:rPr>
      <w:b/>
      <w:bCs/>
    </w:rPr>
  </w:style>
  <w:style w:type="paragraph" w:styleId="ListParagraph">
    <w:name w:val="List Paragraph"/>
    <w:basedOn w:val="Normal"/>
    <w:link w:val="Style17"/>
    <w:uiPriority w:val="34"/>
    <w:qFormat/>
    <w:rsid w:val="00ec6e7d"/>
    <w:pPr>
      <w:spacing w:before="0" w:after="0"/>
      <w:ind w:hanging="0" w:left="720"/>
      <w:contextualSpacing/>
    </w:pPr>
    <w:rPr/>
  </w:style>
  <w:style w:type="paragraph" w:styleId="Style22" w:customStyle="1">
    <w:name w:val="Знак Знак Знак Знак Знак Знак Знак Знак Знак"/>
    <w:basedOn w:val="Normal"/>
    <w:uiPriority w:val="99"/>
    <w:qFormat/>
    <w:rsid w:val="00d31bfd"/>
    <w:pPr>
      <w:widowControl/>
      <w:spacing w:lineRule="exact" w:line="240" w:before="0" w:after="160"/>
      <w:jc w:val="both"/>
    </w:pPr>
    <w:rPr>
      <w:rFonts w:ascii="Verdana" w:hAnsi="Verdana"/>
      <w:sz w:val="22"/>
      <w:lang w:val="en-US" w:eastAsia="en-US"/>
    </w:rPr>
  </w:style>
  <w:style w:type="paragraph" w:styleId="Style23" w:customStyle="1">
    <w:name w:val="Подпункт договора"/>
    <w:basedOn w:val="Normal"/>
    <w:qFormat/>
    <w:rsid w:val="00d31bfd"/>
    <w:pPr>
      <w:widowControl/>
      <w:tabs>
        <w:tab w:val="clear" w:pos="708"/>
        <w:tab w:val="left" w:pos="360" w:leader="none"/>
      </w:tabs>
      <w:jc w:val="both"/>
    </w:pPr>
    <w:rPr>
      <w:rFonts w:ascii="Arial" w:hAnsi="Arial"/>
    </w:rPr>
  </w:style>
  <w:style w:type="paragraph" w:styleId="ConsNormal" w:customStyle="1">
    <w:name w:val="ConsNormal"/>
    <w:qFormat/>
    <w:rsid w:val="00b53021"/>
    <w:pPr>
      <w:widowControl/>
      <w:suppressAutoHyphens w:val="true"/>
      <w:bidi w:val="0"/>
      <w:spacing w:before="0" w:after="0"/>
      <w:ind w:firstLine="720" w:right="19772"/>
      <w:jc w:val="left"/>
    </w:pPr>
    <w:rPr>
      <w:rFonts w:ascii="Arial" w:hAnsi="Arial" w:eastAsia="Times New Roman" w:cs="Times New Roman"/>
      <w:color w:val="auto"/>
      <w:kern w:val="0"/>
      <w:sz w:val="32"/>
      <w:szCs w:val="20"/>
      <w:lang w:val="ru-RU" w:eastAsia="en-US" w:bidi="ar-SA"/>
    </w:rPr>
  </w:style>
  <w:style w:type="paragraph" w:styleId="BodyTextIndent">
    <w:name w:val="Body Text Indent"/>
    <w:basedOn w:val="Normal"/>
    <w:link w:val="Style11"/>
    <w:rsid w:val="00e00bca"/>
    <w:pPr>
      <w:spacing w:before="0" w:after="120"/>
      <w:ind w:hanging="0" w:left="283"/>
    </w:pPr>
    <w:rPr/>
  </w:style>
  <w:style w:type="paragraph" w:styleId="Style24" w:customStyle="1">
    <w:name w:val="Знак"/>
    <w:basedOn w:val="Normal"/>
    <w:qFormat/>
    <w:rsid w:val="00d562c0"/>
    <w:pPr>
      <w:widowControl/>
      <w:spacing w:lineRule="exact" w:line="240" w:before="0" w:after="160"/>
    </w:pPr>
    <w:rPr>
      <w:rFonts w:ascii="Verdana" w:hAnsi="Verdana" w:cs="Verdana"/>
      <w:lang w:val="en-US" w:eastAsia="en-US"/>
    </w:rPr>
  </w:style>
  <w:style w:type="paragraph" w:styleId="FootnoteText">
    <w:name w:val="Footnote Text"/>
    <w:basedOn w:val="Normal"/>
    <w:link w:val="Style13"/>
    <w:uiPriority w:val="99"/>
    <w:rsid w:val="00f47c6a"/>
    <w:pPr/>
    <w:rPr/>
  </w:style>
  <w:style w:type="paragraph" w:styleId="ListBullet3">
    <w:name w:val="List Bullet 3"/>
    <w:basedOn w:val="Normal"/>
    <w:uiPriority w:val="99"/>
    <w:unhideWhenUsed/>
    <w:qFormat/>
    <w:rsid w:val="00fa3bf9"/>
    <w:pPr>
      <w:widowControl/>
      <w:tabs>
        <w:tab w:val="clear" w:pos="708"/>
        <w:tab w:val="left" w:pos="1418" w:leader="none"/>
      </w:tabs>
      <w:spacing w:lineRule="auto" w:line="360" w:before="120" w:after="0"/>
      <w:ind w:firstLine="720"/>
      <w:jc w:val="both"/>
    </w:pPr>
    <w:rPr>
      <w:rFonts w:eastAsia="Calibri"/>
      <w:i/>
      <w:iCs/>
      <w:sz w:val="24"/>
      <w:szCs w:val="24"/>
    </w:rPr>
  </w:style>
  <w:style w:type="paragraph" w:styleId="-" w:customStyle="1">
    <w:name w:val="Контракт-пункт"/>
    <w:basedOn w:val="Normal"/>
    <w:qFormat/>
    <w:rsid w:val="00fa3bf9"/>
    <w:pPr>
      <w:widowControl/>
      <w:tabs>
        <w:tab w:val="clear" w:pos="708"/>
        <w:tab w:val="left" w:pos="851" w:leader="none"/>
      </w:tabs>
      <w:spacing w:lineRule="auto" w:line="360"/>
      <w:ind w:hanging="851" w:left="851"/>
      <w:jc w:val="both"/>
    </w:pPr>
    <w:rPr>
      <w:rFonts w:eastAsia="Calibri"/>
      <w:sz w:val="28"/>
      <w:szCs w:val="28"/>
    </w:rPr>
  </w:style>
  <w:style w:type="paragraph" w:styleId="DocumentMap">
    <w:name w:val="Document Map"/>
    <w:basedOn w:val="Normal"/>
    <w:semiHidden/>
    <w:qFormat/>
    <w:rsid w:val="00936d2a"/>
    <w:pPr>
      <w:shd w:val="clear" w:color="auto" w:fill="000080"/>
    </w:pPr>
    <w:rPr>
      <w:rFonts w:ascii="Tahoma" w:hAnsi="Tahoma" w:cs="Tahoma"/>
    </w:rPr>
  </w:style>
  <w:style w:type="paragraph" w:styleId="Revision">
    <w:name w:val="Revision"/>
    <w:uiPriority w:val="99"/>
    <w:semiHidden/>
    <w:qFormat/>
    <w:rsid w:val="00f2582e"/>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er">
    <w:name w:val="Header"/>
    <w:basedOn w:val="Normal"/>
    <w:link w:val="Style15"/>
    <w:uiPriority w:val="99"/>
    <w:rsid w:val="000449a5"/>
    <w:pPr>
      <w:tabs>
        <w:tab w:val="clear" w:pos="708"/>
        <w:tab w:val="center" w:pos="4677" w:leader="none"/>
        <w:tab w:val="right" w:pos="9355" w:leader="none"/>
      </w:tabs>
    </w:pPr>
    <w:rPr/>
  </w:style>
  <w:style w:type="paragraph" w:styleId="Style25" w:customStyle="1">
    <w:name w:val="Пункт договора"/>
    <w:basedOn w:val="Normal"/>
    <w:qFormat/>
    <w:rsid w:val="00e65842"/>
    <w:pPr>
      <w:jc w:val="both"/>
    </w:pPr>
    <w:rPr>
      <w:rFonts w:ascii="Arial" w:hAnsi="Arial"/>
    </w:rPr>
  </w:style>
  <w:style w:type="paragraph" w:styleId="1" w:customStyle="1">
    <w:name w:val="Знак Знак Знак Знак Знак Знак Знак Знак Знак1"/>
    <w:basedOn w:val="Normal"/>
    <w:qFormat/>
    <w:rsid w:val="007d41d8"/>
    <w:pPr>
      <w:widowControl/>
      <w:spacing w:lineRule="exact" w:line="240" w:before="0" w:after="160"/>
      <w:jc w:val="both"/>
    </w:pPr>
    <w:rPr>
      <w:rFonts w:ascii="Verdana" w:hAnsi="Verdana"/>
      <w:sz w:val="22"/>
      <w:lang w:val="en-US" w:eastAsia="en-US"/>
    </w:rPr>
  </w:style>
  <w:style w:type="paragraph" w:styleId="11" w:customStyle="1">
    <w:name w:val="Обычный1"/>
    <w:qFormat/>
    <w:rsid w:val="0073039c"/>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ConsPlusNormal" w:customStyle="1">
    <w:name w:val="ConsPlusNormal"/>
    <w:qFormat/>
    <w:rsid w:val="00a510bb"/>
    <w:pPr>
      <w:widowControl w:val="false"/>
      <w:suppressAutoHyphens w:val="true"/>
      <w:bidi w:val="0"/>
      <w:spacing w:before="0" w:after="0"/>
      <w:jc w:val="left"/>
    </w:pPr>
    <w:rPr>
      <w:rFonts w:ascii="Calibri" w:hAnsi="Calibri" w:eastAsia="Times New Roman" w:cs="Calibri"/>
      <w:color w:val="auto"/>
      <w:kern w:val="0"/>
      <w:sz w:val="22"/>
      <w:szCs w:val="20"/>
      <w:lang w:val="ru-RU" w:eastAsia="ru-RU" w:bidi="ar-SA"/>
    </w:rPr>
  </w:style>
  <w:style w:type="paragraph" w:styleId="Default" w:customStyle="1">
    <w:name w:val="Default"/>
    <w:qFormat/>
    <w:rsid w:val="003e6e1a"/>
    <w:pPr>
      <w:widowControl/>
      <w:suppressAutoHyphens w:val="true"/>
      <w:bidi w:val="0"/>
      <w:spacing w:before="0" w:after="0"/>
      <w:jc w:val="left"/>
    </w:pPr>
    <w:rPr>
      <w:rFonts w:ascii="Times New Roman" w:hAnsi="Times New Roman" w:eastAsia="Calibri" w:cs="Times New Roman"/>
      <w:color w:val="000000"/>
      <w:kern w:val="0"/>
      <w:sz w:val="24"/>
      <w:szCs w:val="24"/>
      <w:lang w:val="ru-RU" w:eastAsia="ru-RU" w:bidi="ar-SA"/>
    </w:rPr>
  </w:style>
  <w:style w:type="paragraph" w:styleId="12" w:customStyle="1">
    <w:name w:val="Без интервала1"/>
    <w:uiPriority w:val="1"/>
    <w:qFormat/>
    <w:rsid w:val="00140e4a"/>
    <w:pPr>
      <w:widowControl/>
      <w:suppressAutoHyphens w:val="true"/>
      <w:bidi w:val="0"/>
      <w:spacing w:before="0" w:after="0"/>
      <w:jc w:val="left"/>
    </w:pPr>
    <w:rPr>
      <w:rFonts w:ascii="Lucida Grande CY" w:hAnsi="Lucida Grande CY" w:eastAsia="Lucida Grande CY" w:cs="Times New Roman"/>
      <w:color w:val="auto"/>
      <w:kern w:val="0"/>
      <w:sz w:val="24"/>
      <w:szCs w:val="24"/>
      <w:lang w:val="ru-RU" w:eastAsia="ar-SA" w:bidi="ar-SA"/>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9">
    <w:name w:val="Table Grid"/>
    <w:basedOn w:val="a1"/>
    <w:rsid w:val="00084bde"/>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footer" Target="footer1.xml"/><Relationship Id="rId5" Type="http://schemas.openxmlformats.org/officeDocument/2006/relationships/header" Target="header3.xml"/><Relationship Id="rId6" Type="http://schemas.openxmlformats.org/officeDocument/2006/relationships/header" Target="header4.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Relationship Id="rId13" Type="http://schemas.openxmlformats.org/officeDocument/2006/relationships/customXml" Target="../customXml/item1.xml"/><Relationship Id="rId14" Type="http://schemas.openxmlformats.org/officeDocument/2006/relationships/customXml" Target="../customXml/item2.xml"/><Relationship Id="rId15" Type="http://schemas.openxmlformats.org/officeDocument/2006/relationships/customXml" Target="../customXml/item3.xml"/><Relationship Id="rId16" Type="http://schemas.openxmlformats.org/officeDocument/2006/relationships/customXml" Target="../customXml/item4.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45F010-B91C-4CB9-B37A-3E8BDFBAAF03}">
  <ds:schemaRefs>
    <ds:schemaRef ds:uri="http://schemas.microsoft.com/sharepoint/v3/contenttype/forms"/>
  </ds:schemaRefs>
</ds:datastoreItem>
</file>

<file path=customXml/itemProps2.xml><?xml version="1.0" encoding="utf-8"?>
<ds:datastoreItem xmlns:ds="http://schemas.openxmlformats.org/officeDocument/2006/customXml" ds:itemID="{F4B0BAB9-8B8F-4B85-B8DF-266ED50E1B2E}">
  <ds:schemaRef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www.w3.org/XML/1998/namespace"/>
    <ds:schemaRef ds:uri="http://purl.org/dc/dcmitype/"/>
  </ds:schemaRefs>
</ds:datastoreItem>
</file>

<file path=customXml/itemProps3.xml><?xml version="1.0" encoding="utf-8"?>
<ds:datastoreItem xmlns:ds="http://schemas.openxmlformats.org/officeDocument/2006/customXml" ds:itemID="{B160C69B-2C2A-40E1-B81F-0B6FB38451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AD9F4474-FED9-4D99-B59D-BF04B5D6D5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393</TotalTime>
  <Application>AlterOffice/2026.2.0.0$Linux_X86_64 LibreOffice_project/bc4ef1adf80b36c7a6365f8ed6cbf29021361edd</Application>
  <AppVersion>15.0000</AppVersion>
  <Pages>18</Pages>
  <Words>6164</Words>
  <Characters>43706</Characters>
  <CharactersWithSpaces>49653</CharactersWithSpaces>
  <Paragraphs>269</Paragraphs>
  <Company>Inter RAO UES</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2025-03-11T01:25:00Z</dcterms:created>
  <dc:creator>tsypilev_ag</dc:creator>
  <dc:description/>
  <dc:language>ru-RU</dc:language>
  <cp:lastModifiedBy>dvortcovaaa@corp.gidroogk.com</cp:lastModifiedBy>
  <cp:lastPrinted>2018-05-22T09:46:00Z</cp:lastPrinted>
  <dcterms:modified xsi:type="dcterms:W3CDTF">2026-11-06T16:49:13Z</dcterms:modified>
  <cp:revision>11</cp:revision>
  <dc:subject/>
  <dc:title>Договор № _________</dc:title>
</cp:coreProperties>
</file>

<file path=docProps/custom.xml><?xml version="1.0" encoding="utf-8"?>
<Properties xmlns="http://schemas.openxmlformats.org/officeDocument/2006/custom-properties" xmlns:vt="http://schemas.openxmlformats.org/officeDocument/2006/docPropsVTypes"/>
</file>