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cs="Arial"/>
          <w:sz w:val="24"/>
        </w:rPr>
        <w:t xml:space="preserve">П</w:t>
      </w:r>
      <w:r>
        <w:rPr>
          <w:rFonts w:ascii="Arial" w:hAnsi="Arial" w:cs="Arial"/>
          <w:sz w:val="24"/>
        </w:rPr>
        <w:t xml:space="preserve">риложение 2</w: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  <w:szCs w:val="24"/>
          <w:highlight w:val="none"/>
        </w:rPr>
      </w:r>
    </w:p>
    <w:p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</w:r>
      <w:r>
        <w:rPr>
          <w:rFonts w:ascii="Arial" w:hAnsi="Arial" w:cs="Arial"/>
          <w:b/>
          <w:sz w:val="26"/>
          <w:szCs w:val="26"/>
        </w:rPr>
      </w:r>
      <w:r>
        <w:rPr>
          <w:rFonts w:ascii="Arial" w:hAnsi="Arial" w:cs="Arial"/>
          <w:b/>
          <w:sz w:val="26"/>
          <w:szCs w:val="26"/>
        </w:rPr>
      </w:r>
    </w:p>
    <w:p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Форма для заполнения поставщиком (подрядчиком, исполнителем)</w:t>
      </w:r>
      <w:r>
        <w:rPr>
          <w:rFonts w:ascii="Arial" w:hAnsi="Arial" w:cs="Arial"/>
          <w:b/>
          <w:sz w:val="26"/>
          <w:szCs w:val="26"/>
        </w:rPr>
      </w:r>
      <w:r>
        <w:rPr>
          <w:rFonts w:ascii="Arial" w:hAnsi="Arial" w:cs="Arial"/>
          <w:b/>
          <w:sz w:val="26"/>
          <w:szCs w:val="26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tblStyle w:val="681"/>
        <w:tblW w:w="9923" w:type="dxa"/>
        <w:tblInd w:w="-572" w:type="dxa"/>
        <w:tblLook w:val="04A0" w:firstRow="1" w:lastRow="0" w:firstColumn="1" w:lastColumn="0" w:noHBand="0" w:noVBand="1"/>
      </w:tblPr>
      <w:tblGrid>
        <w:gridCol w:w="573"/>
        <w:gridCol w:w="2688"/>
        <w:gridCol w:w="3699"/>
        <w:gridCol w:w="2963"/>
      </w:tblGrid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№</w: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  <w:p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п/п</w: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Наименование условий исполнения договора </w: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Условия исполнения договора Заказчика</w: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Предложение поставщика (подрядчика, исполнителя)</w: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</w:tc>
      </w:tr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1.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Предмет закупки: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jc w:val="left"/>
              <w:rPr>
                <w:rFonts w:ascii="Arial" w:hAnsi="Arial" w:cs="Arial"/>
                <w:bCs/>
                <w:spacing w:val="1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-</w:t>
            </w:r>
            <w:r>
              <w:rPr>
                <w:rFonts w:ascii="Arial" w:hAnsi="Arial" w:cs="Arial"/>
                <w:sz w:val="24"/>
              </w:rPr>
              <w:t xml:space="preserve">поставка диспенсеров и аксессуаров для санузла</w:t>
            </w:r>
            <w:r>
              <w:rPr>
                <w:rFonts w:ascii="Arial" w:hAnsi="Arial" w:cs="Arial"/>
                <w:bCs/>
                <w:spacing w:val="1"/>
                <w:sz w:val="24"/>
              </w:rPr>
            </w:r>
          </w:p>
          <w:p>
            <w:pPr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смотреть техническое задание (Приложение № 1.1) 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Представленное поставщиком (подрядчиком, исполнителем) Техническое задание, соответствующее техническому заданию Заказчика.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2.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Сроки (периоды) поставки товаров, выполнения работ, оказания услуг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В течение 10 (десяти) календарных дней с момента подписания договора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3.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Место поставки товаров, выполнения работ, оказания услуг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г. Тюмень, ул. Пермякова, 3а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  <w:tr>
        <w:tblPrEx/>
        <w:trPr>
          <w:trHeight w:val="1150"/>
        </w:trPr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4.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Срок и условия оплаты поставок товаров, выполнения работ, оказания услуг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смотреть техническое задание (Приложение № 1.1) 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numPr>
                <w:ilvl w:val="2"/>
                <w:numId w:val="0"/>
              </w:numPr>
              <w:jc w:val="both"/>
              <w:tabs>
                <w:tab w:val="num" w:pos="0" w:leader="none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5.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Цена единицы товара, работы, услуги и общая цена договора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Р</w:t>
            </w:r>
            <w:r>
              <w:rPr>
                <w:rFonts w:ascii="Arial" w:hAnsi="Arial" w:cs="Arial"/>
                <w:sz w:val="24"/>
              </w:rPr>
              <w:t xml:space="preserve">асчет осуществляется в рублях Российской Федерации в безналичной форме путем перечисления денежных средств на расчетный счет поставщика (подрядчика, исполнителя), в течение 7 (семи) рабочих дней с даты подписания обеими сторонами товарной накладной или УПД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Цена указывается в Приложении 2.1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6.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Срок действия ценовой информации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Устанавливается поставщиком (подрядчиком, исполнителем).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</w:tbl>
    <w:p>
      <w:r/>
      <w:r/>
    </w:p>
    <w:p>
      <w:r/>
      <w:r/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  <w:sectPr>
          <w:footnotePr/>
          <w:endnotePr/>
          <w:type w:val="nextPage"/>
          <w:pgSz w:w="11906" w:h="16838" w:orient="portrait"/>
          <w:pgMar w:top="1134" w:right="850" w:bottom="1134" w:left="1418" w:header="0" w:footer="0" w:gutter="0"/>
          <w:cols w:num="1" w:sep="0" w:space="1701" w:equalWidth="1"/>
          <w:docGrid w:linePitch="360"/>
        </w:sect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Приложение 2.1.</w: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</w:r>
    </w:p>
    <w:p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</w:r>
    </w:p>
    <w:tbl>
      <w:tblPr>
        <w:tblStyle w:val="681"/>
        <w:tblW w:w="1531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8"/>
        <w:gridCol w:w="3261"/>
        <w:gridCol w:w="851"/>
        <w:gridCol w:w="2835"/>
        <w:gridCol w:w="1701"/>
        <w:gridCol w:w="1417"/>
        <w:gridCol w:w="1560"/>
        <w:gridCol w:w="1559"/>
      </w:tblGrid>
      <w:tr>
        <w:tblPrEx/>
        <w:trPr/>
        <w:tc>
          <w:tcPr>
            <w:tcW w:w="568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jc w:val="center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№ п/п</w:t>
            </w:r>
            <w:r>
              <w:rPr>
                <w:rFonts w:ascii="Arial" w:hAnsi="Arial" w:cs="Arial"/>
                <w:bCs/>
                <w:szCs w:val="20"/>
              </w:rPr>
            </w:r>
            <w:r>
              <w:rPr>
                <w:rFonts w:ascii="Arial" w:hAnsi="Arial" w:cs="Arial"/>
                <w:bCs/>
                <w:szCs w:val="20"/>
              </w:rPr>
            </w:r>
          </w:p>
        </w:tc>
        <w:tc>
          <w:tcPr>
            <w:tcW w:w="15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Наименование объекта закупки (товара)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Функциональные, технические, качественные характеристики объекта закупки (товара), единицы измерения, предложенные Заказчиком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Кол-во 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шт.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Функциональные, технические, качественные характеристики объекта закупки (товара), единицы измерения, предложенные Поставщиком 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Наименовани</w:t>
            </w:r>
            <w:r>
              <w:rPr>
                <w:rFonts w:ascii="Arial" w:hAnsi="Arial" w:cs="Arial"/>
                <w:b/>
                <w:szCs w:val="20"/>
              </w:rPr>
              <w:t xml:space="preserve">е/</w:t>
            </w:r>
            <w:r>
              <w:rPr>
                <w:rFonts w:ascii="Arial" w:hAnsi="Arial" w:cs="Arial"/>
                <w:b/>
                <w:szCs w:val="20"/>
              </w:rPr>
              <w:t xml:space="preserve">марка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Страна происхождения</w:t>
            </w:r>
            <w:r>
              <w:rPr>
                <w:rFonts w:ascii="Arial" w:hAnsi="Arial" w:cs="Arial"/>
                <w:b/>
                <w:szCs w:val="20"/>
              </w:rPr>
              <w:t xml:space="preserve">/реестровый номер (если имеется)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Цена за ед., руб.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Цена</w:t>
            </w:r>
            <w:r>
              <w:rPr>
                <w:rFonts w:ascii="Arial" w:hAnsi="Arial" w:cs="Arial"/>
                <w:b/>
                <w:szCs w:val="20"/>
              </w:rPr>
              <w:t xml:space="preserve">, руб.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1</w:t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58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212731"/>
                <w:sz w:val="20"/>
                <w:szCs w:val="20"/>
                <w:shd w:val="clear" w:color="auto" w:fill="ffffff"/>
                <w:lang w:eastAsia="ru-RU"/>
              </w:rPr>
              <w:t xml:space="preserve">Дисперсен</w:t>
            </w:r>
            <w:r>
              <w:rPr>
                <w:rFonts w:ascii="Arial" w:hAnsi="Arial" w:eastAsia="Arial" w:cs="Arial"/>
                <w:color w:val="212731"/>
                <w:sz w:val="20"/>
                <w:szCs w:val="20"/>
                <w:shd w:val="clear" w:color="auto" w:fill="ffffff"/>
                <w:lang w:eastAsia="ru-RU"/>
              </w:rPr>
              <w:t xml:space="preserve"> для листовых б</w:t>
            </w:r>
            <w:r>
              <w:rPr>
                <w:rFonts w:ascii="Arial" w:hAnsi="Arial" w:eastAsia="Arial" w:cs="Arial"/>
                <w:color w:val="212731"/>
                <w:sz w:val="20"/>
                <w:szCs w:val="20"/>
                <w:shd w:val="clear" w:color="auto" w:fill="ffffff"/>
                <w:lang w:eastAsia="ru-RU"/>
              </w:rPr>
              <w:t xml:space="preserve">у</w:t>
            </w:r>
            <w:r>
              <w:rPr>
                <w:rFonts w:ascii="Arial" w:hAnsi="Arial" w:eastAsia="Arial" w:cs="Arial"/>
                <w:color w:val="212731"/>
                <w:sz w:val="20"/>
                <w:szCs w:val="20"/>
                <w:shd w:val="clear" w:color="auto" w:fill="ffffff"/>
                <w:lang w:eastAsia="ru-RU"/>
              </w:rPr>
              <w:t xml:space="preserve">мажных полот</w:t>
            </w:r>
            <w:r>
              <w:rPr>
                <w:rFonts w:ascii="Arial" w:hAnsi="Arial" w:eastAsia="Arial" w:cs="Arial"/>
                <w:color w:val="212731"/>
                <w:sz w:val="20"/>
                <w:szCs w:val="20"/>
                <w:shd w:val="clear" w:color="auto" w:fill="ffffff"/>
                <w:lang w:eastAsia="ru-RU"/>
              </w:rPr>
              <w:t xml:space="preserve">е</w:t>
            </w:r>
            <w:r>
              <w:rPr>
                <w:rFonts w:ascii="Arial" w:hAnsi="Arial" w:eastAsia="Arial" w:cs="Arial"/>
                <w:color w:val="212731"/>
                <w:sz w:val="20"/>
                <w:szCs w:val="20"/>
                <w:shd w:val="clear" w:color="auto" w:fill="ffffff"/>
                <w:lang w:eastAsia="ru-RU"/>
              </w:rPr>
              <w:t xml:space="preserve">нец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jc w:val="both"/>
              <w:spacing w:after="0" w:line="240" w:lineRule="auto"/>
              <w:shd w:val="clear" w:color="ffffff" w:fill="ffffff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212731"/>
                <w:sz w:val="20"/>
                <w:szCs w:val="20"/>
                <w:highlight w:val="white"/>
                <w:shd w:val="clear" w:color="auto" w:fill="ffffff"/>
                <w:lang w:eastAsia="ru-RU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Диспенсерная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система: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Н3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Тип: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м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еханический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Количество листов: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не более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400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шт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Тип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установки: настенный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Цвет: белый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Поверхность: глянцевая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Тип сложения бумаги: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ZZ и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V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Материал: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ABS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-пластик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Длин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а: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не менее 270 мм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Ширина: не менее 240 мм</w:t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eastAsia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Глубин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а: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не менее130 мм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Индикация: смотровое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окно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Антивандальная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защит: да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Замок: да</w:t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eastAsia="Arial" w:cs="Arial"/>
                <w:sz w:val="20"/>
                <w:szCs w:val="20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2</w:t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bCs/>
                <w:color w:val="242424"/>
                <w:sz w:val="20"/>
                <w:szCs w:val="20"/>
              </w:rPr>
            </w:r>
            <w:r>
              <w:rPr>
                <w:rFonts w:ascii="Arial" w:hAnsi="Arial" w:eastAsia="Arial" w:cs="Arial"/>
                <w:color w:val="212731"/>
                <w:sz w:val="20"/>
                <w:szCs w:val="20"/>
                <w:shd w:val="clear" w:color="auto" w:fill="ffffff"/>
                <w:lang w:eastAsia="ru-RU"/>
              </w:rPr>
              <w:t xml:space="preserve">Диспенсер для туалетной бум</w:t>
            </w:r>
            <w:r>
              <w:rPr>
                <w:rFonts w:ascii="Arial" w:hAnsi="Arial" w:eastAsia="Arial" w:cs="Arial"/>
                <w:color w:val="212731"/>
                <w:sz w:val="20"/>
                <w:szCs w:val="20"/>
                <w:shd w:val="clear" w:color="auto" w:fill="ffffff"/>
                <w:lang w:eastAsia="ru-RU"/>
              </w:rPr>
              <w:t xml:space="preserve">а</w:t>
            </w:r>
            <w:r>
              <w:rPr>
                <w:rFonts w:ascii="Arial" w:hAnsi="Arial" w:eastAsia="Arial" w:cs="Arial"/>
                <w:color w:val="212731"/>
                <w:sz w:val="20"/>
                <w:szCs w:val="20"/>
                <w:shd w:val="clear" w:color="auto" w:fill="ffffff"/>
                <w:lang w:eastAsia="ru-RU"/>
              </w:rPr>
              <w:t xml:space="preserve">ги в рулонах</w:t>
            </w:r>
            <w:r>
              <w:rPr>
                <w:sz w:val="20"/>
                <w:szCs w:val="20"/>
              </w:rPr>
            </w:r>
            <w:r>
              <w:rPr>
                <w:rFonts w:ascii="Arial" w:hAnsi="Arial" w:eastAsia="Times New Roman" w:cs="Arial"/>
                <w:bCs/>
                <w:color w:val="242424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ип установки: </w:t>
            </w:r>
            <w:hyperlink r:id="rId9" w:tooltip="https://www.vseinstrumenti.ru/tag-page/dispensery-dlya-tualetnoj-bumagi-nastennye-2305601/" w:history="1">
              <w:r>
                <w:rPr>
                  <w:rStyle w:val="823"/>
                  <w:rFonts w:ascii="Arial" w:hAnsi="Arial" w:eastAsia="Arial" w:cs="Arial"/>
                  <w:color w:val="1c2126"/>
                  <w:sz w:val="20"/>
                  <w:szCs w:val="20"/>
                  <w:u w:val="none"/>
                </w:rPr>
                <w:t xml:space="preserve">настенный</w:t>
              </w:r>
            </w:hyperlink>
            <w:r>
              <w:rPr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Тип сложения бумаги: </w:t>
            </w:r>
            <w:hyperlink r:id="rId10" w:tooltip="https://www.vseinstrumenti.ru/tag-page/dispensery-dlya-tualetnoj-bumagi-v-rulonah-2305613/" w:history="1">
              <w:r>
                <w:rPr>
                  <w:rStyle w:val="823"/>
                  <w:rFonts w:ascii="Arial" w:hAnsi="Arial" w:eastAsia="Arial" w:cs="Arial"/>
                  <w:color w:val="1c2126"/>
                  <w:sz w:val="20"/>
                  <w:szCs w:val="20"/>
                  <w:u w:val="none"/>
                </w:rPr>
                <w:t xml:space="preserve">рулон</w:t>
              </w:r>
            </w:hyperlink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Цвет: </w:t>
            </w:r>
            <w:hyperlink r:id="rId11" w:tooltip="https://www.vseinstrumenti.ru/tag-page/dispensery-dlya-tualetnoj-bumagi-tsvet-belyj-50824/" w:history="1">
              <w:r>
                <w:rPr>
                  <w:rStyle w:val="823"/>
                  <w:rFonts w:ascii="Arial" w:hAnsi="Arial" w:eastAsia="Arial" w:cs="Arial"/>
                  <w:color w:val="1c2126"/>
                  <w:sz w:val="20"/>
                  <w:szCs w:val="20"/>
                  <w:u w:val="none"/>
                </w:rPr>
                <w:t xml:space="preserve">белый</w:t>
              </w:r>
            </w:hyperlink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Материал: </w:t>
            </w:r>
            <w:hyperlink r:id="rId12" w:tooltip="https://www.vseinstrumenti.ru/tag-page/dispensery-dlya-tualetnoj-bumagi-abs-plastik-50836/" w:history="1">
              <w:r>
                <w:rPr>
                  <w:rStyle w:val="823"/>
                  <w:rFonts w:ascii="Arial" w:hAnsi="Arial" w:eastAsia="Arial" w:cs="Arial"/>
                  <w:color w:val="1c2126"/>
                  <w:sz w:val="20"/>
                  <w:szCs w:val="20"/>
                  <w:u w:val="none"/>
                </w:rPr>
                <w:t xml:space="preserve">ABS-пластик</w:t>
              </w:r>
            </w:hyperlink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Диаметр втулки: не менее 65 мм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Вместимость: </w:t>
            </w:r>
            <w:hyperlink r:id="rId13" w:tooltip="https://www.vseinstrumenti.ru/tag-page/dispensery-dlya-tualetnoj-bumagi-na-1-rulon-1769303/" w:history="1">
              <w:r>
                <w:rPr>
                  <w:rStyle w:val="823"/>
                  <w:rFonts w:ascii="Arial" w:hAnsi="Arial" w:eastAsia="Arial" w:cs="Arial"/>
                  <w:color w:val="1c2126"/>
                  <w:sz w:val="20"/>
                  <w:szCs w:val="20"/>
                  <w:u w:val="none"/>
                </w:rPr>
                <w:t xml:space="preserve">1 рулон</w:t>
              </w:r>
            </w:hyperlink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Длина: </w:t>
            </w: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не менее </w:t>
            </w: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293 мм и</w:t>
            </w: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 не более 295мм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Глубина: </w:t>
            </w: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не менее </w:t>
            </w: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136 мм и</w:t>
            </w: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 не более 138мм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Ширина: </w:t>
            </w: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 не менее </w:t>
            </w: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298 мм</w:t>
            </w: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  и не более 300 мм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Тип управления: </w:t>
            </w:r>
            <w:hyperlink r:id="rId14" w:tooltip="https://www.vseinstrumenti.ru/tag-page/dispensery-dlya-tualetnoj-bumagi-ruchnye-1769297/" w:history="1">
              <w:r>
                <w:rPr>
                  <w:rStyle w:val="823"/>
                  <w:rFonts w:ascii="Arial" w:hAnsi="Arial" w:eastAsia="Arial" w:cs="Arial"/>
                  <w:color w:val="1c2126"/>
                  <w:sz w:val="20"/>
                  <w:szCs w:val="20"/>
                  <w:u w:val="none"/>
                </w:rPr>
                <w:t xml:space="preserve">ручное</w:t>
              </w:r>
            </w:hyperlink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Индикация: </w:t>
            </w:r>
            <w:hyperlink r:id="rId15" w:tooltip="https://www.vseinstrumenti.ru/tag-page/dispensery-dlya-tualetnoj-bumagi-so-smotrovym-oknom-1769291/" w:history="1">
              <w:r>
                <w:rPr>
                  <w:rStyle w:val="823"/>
                  <w:rFonts w:ascii="Arial" w:hAnsi="Arial" w:eastAsia="Arial" w:cs="Arial"/>
                  <w:color w:val="1c2126"/>
                  <w:sz w:val="20"/>
                  <w:szCs w:val="20"/>
                  <w:u w:val="none"/>
                </w:rPr>
                <w:t xml:space="preserve">смотровое окно</w:t>
              </w:r>
            </w:hyperlink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Антивандальная защита: </w:t>
            </w:r>
            <w:hyperlink r:id="rId16" w:tooltip="https://www.vseinstrumenti.ru/tag-page/antivandalnye-dispensery-dlya-tualetnoj-bumagi-10414/" w:history="1">
              <w:r>
                <w:rPr>
                  <w:rStyle w:val="823"/>
                  <w:rFonts w:ascii="Arial" w:hAnsi="Arial" w:eastAsia="Arial" w:cs="Arial"/>
                  <w:color w:val="1c2126"/>
                  <w:sz w:val="20"/>
                  <w:szCs w:val="20"/>
                  <w:u w:val="none"/>
                </w:rPr>
                <w:t xml:space="preserve">да</w:t>
              </w:r>
            </w:hyperlink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Центральная вытяжка: нет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1c2126"/>
                <w:sz w:val="20"/>
                <w:szCs w:val="20"/>
              </w:rPr>
              <w:t xml:space="preserve">Замок: </w:t>
            </w:r>
            <w:hyperlink r:id="rId17" w:tooltip="https://www.vseinstrumenti.ru/tag-page/dispensery-dlya-tualetnoj-bumagi-s-zamkom-10417/" w:history="1">
              <w:r>
                <w:rPr>
                  <w:rStyle w:val="823"/>
                  <w:rFonts w:ascii="Arial" w:hAnsi="Arial" w:eastAsia="Arial" w:cs="Arial"/>
                  <w:color w:val="1c2126"/>
                  <w:sz w:val="20"/>
                  <w:szCs w:val="20"/>
                  <w:u w:val="none"/>
                </w:rPr>
                <w:t xml:space="preserve">да</w:t>
              </w:r>
            </w:hyperlink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</w:p>
        </w:tc>
      </w:tr>
      <w:tr>
        <w:tblPrEx/>
        <w:trPr/>
        <w:tc>
          <w:tcPr>
            <w:tcW w:w="5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3</w:t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58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Arial" w:hAnsi="Arial" w:cs="Arial"/>
                <w:color w:val="212731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eastAsia="Arial" w:cs="Arial"/>
                <w:color w:val="212731"/>
                <w:sz w:val="20"/>
                <w:szCs w:val="20"/>
                <w:shd w:val="clear" w:color="auto" w:fill="ffffff"/>
                <w:lang w:eastAsia="ru-RU"/>
              </w:rPr>
              <w:t xml:space="preserve">Дозатор для жидкого мыла</w:t>
            </w:r>
            <w:r>
              <w:rPr>
                <w:rFonts w:ascii="Arial" w:hAnsi="Arial" w:cs="Arial"/>
                <w:color w:val="212731"/>
                <w:sz w:val="20"/>
                <w:szCs w:val="20"/>
                <w:shd w:val="clear" w:color="auto" w:fill="ffffff"/>
              </w:rPr>
            </w:r>
            <w:r>
              <w:rPr>
                <w:rFonts w:ascii="Arial" w:hAnsi="Arial" w:cs="Arial"/>
                <w:color w:val="212731"/>
                <w:sz w:val="20"/>
                <w:szCs w:val="20"/>
                <w:shd w:val="clear" w:color="auto" w:fill="ffffff"/>
              </w:rPr>
            </w:r>
          </w:p>
          <w:p>
            <w:pPr>
              <w:jc w:val="center"/>
              <w:rPr>
                <w:rFonts w:ascii="Arial" w:hAnsi="Arial" w:eastAsia="Times New Roman" w:cs="Arial"/>
                <w:bCs/>
                <w:color w:val="24242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bCs/>
                <w:color w:val="242424"/>
                <w:sz w:val="20"/>
                <w:szCs w:val="20"/>
              </w:rPr>
            </w:r>
            <w:r>
              <w:rPr>
                <w:rFonts w:ascii="Arial" w:hAnsi="Arial" w:eastAsia="Times New Roman" w:cs="Arial"/>
                <w:bCs/>
                <w:color w:val="242424"/>
                <w:sz w:val="20"/>
                <w:szCs w:val="20"/>
              </w:rPr>
            </w:r>
          </w:p>
        </w:tc>
        <w:tc>
          <w:tcPr>
            <w:tcW w:w="326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Тип: наливной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Питание: нет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Объем: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1 л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Тип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монтажа: настенный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Индикация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заполнения: да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Тип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управления: механический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Локтевой: нет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Пенообразователь: нет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Способ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закрывания: ключ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Габариты без упаковки: 227x112x105 мм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Антивандальный: да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Материал корпуса: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ABS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-пластик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Поверхность: матовая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Цвет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корпуса: белый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Для жидкого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мыла: да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Для шампуня/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кондиционера: да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Для моющего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средства: да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W w:w="283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</w:p>
        </w:tc>
      </w:tr>
      <w:tr>
        <w:tblPrEx/>
        <w:trPr/>
        <w:tc>
          <w:tcPr>
            <w:tcW w:w="5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4</w:t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58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Arial" w:hAnsi="Arial" w:cs="Arial"/>
                <w:color w:val="212731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eastAsia="Arial" w:cs="Arial"/>
                <w:color w:val="212731"/>
                <w:sz w:val="20"/>
                <w:szCs w:val="20"/>
                <w:shd w:val="clear" w:color="auto" w:fill="ffffff"/>
                <w:lang w:eastAsia="ru-RU"/>
              </w:rPr>
              <w:t xml:space="preserve">Ведро-контейнер для мусора</w:t>
            </w:r>
            <w:r>
              <w:rPr>
                <w:rFonts w:ascii="Arial" w:hAnsi="Arial" w:cs="Arial"/>
                <w:color w:val="212731"/>
                <w:sz w:val="20"/>
                <w:szCs w:val="20"/>
                <w:shd w:val="clear" w:color="auto" w:fill="ffffff"/>
              </w:rPr>
            </w:r>
            <w:r>
              <w:rPr>
                <w:rFonts w:ascii="Arial" w:hAnsi="Arial" w:cs="Arial"/>
                <w:color w:val="212731"/>
                <w:sz w:val="20"/>
                <w:szCs w:val="20"/>
                <w:shd w:val="clear" w:color="auto" w:fill="ffffff"/>
              </w:rPr>
            </w:r>
          </w:p>
          <w:p>
            <w:pPr>
              <w:jc w:val="center"/>
              <w:rPr>
                <w:rFonts w:ascii="Arial" w:hAnsi="Arial" w:eastAsia="Times New Roman" w:cs="Arial"/>
                <w:bCs/>
                <w:color w:val="242424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bCs/>
                <w:color w:val="242424"/>
                <w:sz w:val="20"/>
                <w:szCs w:val="20"/>
              </w:rPr>
            </w:r>
            <w:r>
              <w:rPr>
                <w:rFonts w:ascii="Arial" w:hAnsi="Arial" w:eastAsia="Times New Roman" w:cs="Arial"/>
                <w:bCs/>
                <w:color w:val="242424"/>
                <w:sz w:val="20"/>
                <w:szCs w:val="20"/>
              </w:rPr>
            </w:r>
          </w:p>
        </w:tc>
        <w:tc>
          <w:tcPr>
            <w:tcW w:w="3261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393939"/>
                <w:sz w:val="20"/>
                <w:szCs w:val="20"/>
              </w:rPr>
              <w:t xml:space="preserve">Объем: 20 л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393939"/>
                <w:sz w:val="20"/>
                <w:szCs w:val="20"/>
              </w:rPr>
              <w:t xml:space="preserve">Педаль: да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393939"/>
                <w:sz w:val="20"/>
                <w:szCs w:val="20"/>
              </w:rPr>
              <w:t xml:space="preserve">Крышка: да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393939"/>
                <w:sz w:val="20"/>
                <w:szCs w:val="20"/>
              </w:rPr>
              <w:t xml:space="preserve">Съемный внутренний контейнер: да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393939"/>
                <w:sz w:val="20"/>
                <w:szCs w:val="20"/>
              </w:rPr>
              <w:t xml:space="preserve">Нескользящее основание: да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393939"/>
                <w:sz w:val="20"/>
                <w:szCs w:val="20"/>
              </w:rPr>
              <w:t xml:space="preserve">Объем рекомендуемого мешка: 30 л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color w:val="393939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393939"/>
                <w:sz w:val="20"/>
                <w:szCs w:val="20"/>
              </w:rPr>
              <w:t xml:space="preserve">Материал: нержавеющая сталь</w:t>
            </w:r>
            <w:r>
              <w:rPr>
                <w:rFonts w:ascii="Arial" w:hAnsi="Arial" w:cs="Arial"/>
                <w:color w:val="393939"/>
                <w:sz w:val="20"/>
                <w:szCs w:val="20"/>
              </w:rPr>
            </w:r>
            <w:r>
              <w:rPr>
                <w:rFonts w:ascii="Arial" w:hAnsi="Arial" w:cs="Arial"/>
                <w:color w:val="393939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393939"/>
                <w:sz w:val="20"/>
                <w:szCs w:val="20"/>
              </w:rPr>
              <w:t xml:space="preserve">Покрытие: зеркальное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color w:val="393939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393939"/>
                <w:sz w:val="20"/>
                <w:szCs w:val="20"/>
              </w:rPr>
              <w:t xml:space="preserve">Высота: 45 см</w:t>
            </w:r>
            <w:r>
              <w:rPr>
                <w:rFonts w:ascii="Arial" w:hAnsi="Arial" w:cs="Arial"/>
                <w:color w:val="393939"/>
                <w:sz w:val="20"/>
                <w:szCs w:val="20"/>
              </w:rPr>
            </w:r>
            <w:r>
              <w:rPr>
                <w:rFonts w:ascii="Arial" w:hAnsi="Arial" w:cs="Arial"/>
                <w:color w:val="393939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393939"/>
                <w:sz w:val="20"/>
                <w:szCs w:val="20"/>
              </w:rPr>
              <w:t xml:space="preserve">Ширина: 29.2 см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393939"/>
                <w:sz w:val="20"/>
                <w:szCs w:val="20"/>
              </w:rPr>
              <w:t xml:space="preserve">Глубина: 29.2 см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spacing w:after="0"/>
              <w:rPr>
                <w:rFonts w:ascii="Arial" w:hAnsi="Arial" w:cs="Arial"/>
                <w:color w:val="393939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393939"/>
                <w:sz w:val="20"/>
                <w:szCs w:val="20"/>
              </w:rPr>
              <w:t xml:space="preserve">Цвет: стальной</w:t>
            </w:r>
            <w:r>
              <w:rPr>
                <w:rFonts w:ascii="Arial" w:hAnsi="Arial" w:cs="Arial"/>
                <w:color w:val="393939"/>
                <w:sz w:val="20"/>
                <w:szCs w:val="20"/>
              </w:rPr>
            </w:r>
            <w:r>
              <w:rPr>
                <w:rFonts w:ascii="Arial" w:hAnsi="Arial" w:cs="Arial"/>
                <w:color w:val="393939"/>
                <w:sz w:val="20"/>
                <w:szCs w:val="20"/>
              </w:rPr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cs="Arial"/>
                <w:color w:val="393939"/>
                <w:sz w:val="20"/>
                <w:szCs w:val="20"/>
              </w:rPr>
            </w:r>
          </w:p>
        </w:tc>
        <w:tc>
          <w:tcPr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</w:t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W w:w="283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</w:p>
        </w:tc>
      </w:tr>
      <w:tr>
        <w:tblPrEx/>
        <w:trPr/>
        <w:tc>
          <w:tcPr>
            <w:gridSpan w:val="8"/>
            <w:tcW w:w="1375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 xml:space="preserve">ИТОГО</w:t>
            </w:r>
            <w:r>
              <w:rPr>
                <w:rFonts w:ascii="Arial" w:hAnsi="Arial" w:cs="Arial"/>
                <w:b/>
                <w:bCs/>
                <w:szCs w:val="20"/>
              </w:rPr>
            </w:r>
            <w:r>
              <w:rPr>
                <w:rFonts w:ascii="Arial" w:hAnsi="Arial" w:cs="Arial"/>
                <w:b/>
                <w:bCs/>
                <w:szCs w:val="20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</w:p>
        </w:tc>
      </w:tr>
    </w:tbl>
    <w:p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</w:r>
    </w:p>
    <w:sectPr>
      <w:footnotePr/>
      <w:endnotePr/>
      <w:type w:val="nextPage"/>
      <w:pgSz w:w="16838" w:h="11906" w:orient="landscape"/>
      <w:pgMar w:top="1418" w:right="1134" w:bottom="850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Times New Roman">
    <w:panose1 w:val="02020603050405020304"/>
  </w:font>
  <w:font w:name="Droid Sans Fallback">
    <w:panose1 w:val="02000603000000000000"/>
  </w:font>
  <w:font w:name="Droid Sans Devanagari">
    <w:panose1 w:val="02000603000000000000"/>
  </w:font>
  <w:font w:name="Courier New">
    <w:panose1 w:val="02070309020205020404"/>
  </w:font>
  <w:font w:name="Mangal">
    <w:panose1 w:val="02040503050203030202"/>
  </w:font>
  <w:font w:name="NSimSun">
    <w:panose1 w:val="02010609030101010101"/>
  </w:font>
  <w:font w:name="Arial">
    <w:panose1 w:val="020B0604020202020204"/>
  </w:font>
  <w:font w:name="Segoe UI">
    <w:panose1 w:val="020B0502040204020203"/>
  </w:font>
  <w:font w:name="Tahoma">
    <w:panose1 w:val="020B0604030504040204"/>
  </w:font>
  <w:font w:name="Liberation Serif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3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3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3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977" w:hanging="141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184" w:hanging="141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391" w:hanging="141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98" w:hanging="141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Segoe UI" w:cs="Tahoma"/>
        <w:color w:val="000000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7">
    <w:name w:val="Caption Char"/>
    <w:basedOn w:val="678"/>
    <w:link w:val="856"/>
    <w:uiPriority w:val="35"/>
    <w:rPr>
      <w:b/>
      <w:bCs/>
      <w:color w:val="4f81bd" w:themeColor="accent1"/>
      <w:sz w:val="18"/>
      <w:szCs w:val="18"/>
    </w:rPr>
  </w:style>
  <w:style w:type="paragraph" w:styleId="668" w:default="1">
    <w:name w:val="Normal"/>
    <w:qFormat/>
  </w:style>
  <w:style w:type="paragraph" w:styleId="669">
    <w:name w:val="Heading 1"/>
    <w:basedOn w:val="828"/>
    <w:uiPriority w:val="9"/>
    <w:qFormat/>
    <w:pPr>
      <w:spacing w:before="480" w:after="200"/>
      <w:outlineLvl w:val="0"/>
    </w:pPr>
    <w:rPr>
      <w:rFonts w:ascii="Arial" w:hAnsi="Arial" w:eastAsia="Arial" w:cs="Arial"/>
      <w:sz w:val="40"/>
    </w:rPr>
  </w:style>
  <w:style w:type="paragraph" w:styleId="670">
    <w:name w:val="Heading 2"/>
    <w:basedOn w:val="828"/>
    <w:uiPriority w:val="9"/>
    <w:qFormat/>
    <w:pPr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1">
    <w:name w:val="Heading 3"/>
    <w:basedOn w:val="828"/>
    <w:uiPriority w:val="9"/>
    <w:qFormat/>
    <w:pPr>
      <w:spacing w:before="320" w:after="200"/>
      <w:outlineLvl w:val="2"/>
    </w:pPr>
    <w:rPr>
      <w:rFonts w:ascii="Arial" w:hAnsi="Arial" w:eastAsia="Arial" w:cs="Arial"/>
      <w:sz w:val="30"/>
    </w:rPr>
  </w:style>
  <w:style w:type="paragraph" w:styleId="672">
    <w:name w:val="Heading 4"/>
    <w:basedOn w:val="828"/>
    <w:uiPriority w:val="9"/>
    <w:qFormat/>
    <w:pPr>
      <w:spacing w:before="320" w:after="200"/>
      <w:outlineLvl w:val="3"/>
    </w:pPr>
    <w:rPr>
      <w:rFonts w:ascii="Arial" w:hAnsi="Arial" w:eastAsia="Arial" w:cs="Arial"/>
      <w:b/>
      <w:sz w:val="26"/>
    </w:rPr>
  </w:style>
  <w:style w:type="paragraph" w:styleId="673">
    <w:name w:val="Heading 5"/>
    <w:basedOn w:val="828"/>
    <w:uiPriority w:val="9"/>
    <w:qFormat/>
    <w:pPr>
      <w:spacing w:before="320" w:after="200"/>
      <w:outlineLvl w:val="4"/>
    </w:pPr>
    <w:rPr>
      <w:rFonts w:ascii="Arial" w:hAnsi="Arial" w:eastAsia="Arial" w:cs="Arial"/>
      <w:b/>
      <w:sz w:val="24"/>
    </w:rPr>
  </w:style>
  <w:style w:type="paragraph" w:styleId="674">
    <w:name w:val="Heading 6"/>
    <w:basedOn w:val="828"/>
    <w:uiPriority w:val="9"/>
    <w:qFormat/>
    <w:pPr>
      <w:spacing w:before="320" w:after="200"/>
      <w:outlineLvl w:val="5"/>
    </w:pPr>
    <w:rPr>
      <w:rFonts w:ascii="Arial" w:hAnsi="Arial" w:eastAsia="Arial" w:cs="Arial"/>
      <w:b/>
      <w:sz w:val="22"/>
    </w:rPr>
  </w:style>
  <w:style w:type="paragraph" w:styleId="675">
    <w:name w:val="Heading 7"/>
    <w:basedOn w:val="828"/>
    <w:uiPriority w:val="9"/>
    <w:qFormat/>
    <w:pPr>
      <w:spacing w:before="320" w:after="200"/>
      <w:outlineLvl w:val="6"/>
    </w:pPr>
    <w:rPr>
      <w:rFonts w:ascii="Arial" w:hAnsi="Arial" w:eastAsia="Arial" w:cs="Arial"/>
      <w:b/>
      <w:i/>
      <w:sz w:val="22"/>
    </w:rPr>
  </w:style>
  <w:style w:type="paragraph" w:styleId="676">
    <w:name w:val="Heading 8"/>
    <w:basedOn w:val="828"/>
    <w:uiPriority w:val="9"/>
    <w:qFormat/>
    <w:pPr>
      <w:spacing w:before="320" w:after="200"/>
      <w:outlineLvl w:val="7"/>
    </w:pPr>
    <w:rPr>
      <w:rFonts w:ascii="Arial" w:hAnsi="Arial" w:eastAsia="Arial" w:cs="Arial"/>
      <w:i/>
      <w:sz w:val="22"/>
    </w:rPr>
  </w:style>
  <w:style w:type="paragraph" w:styleId="677">
    <w:name w:val="Heading 9"/>
    <w:basedOn w:val="828"/>
    <w:uiPriority w:val="9"/>
    <w:qFormat/>
    <w:pPr>
      <w:spacing w:before="320" w:after="200"/>
      <w:outlineLvl w:val="8"/>
    </w:pPr>
    <w:rPr>
      <w:rFonts w:ascii="Arial" w:hAnsi="Arial" w:eastAsia="Arial" w:cs="Arial"/>
      <w:i/>
      <w:sz w:val="21"/>
    </w:rPr>
  </w:style>
  <w:style w:type="character" w:styleId="678" w:default="1">
    <w:name w:val="Default Paragraph Font"/>
    <w:uiPriority w:val="1"/>
    <w:semiHidden/>
    <w:unhideWhenUsed/>
  </w:style>
  <w:style w:type="table" w:styleId="6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0" w:default="1">
    <w:name w:val="No List"/>
    <w:uiPriority w:val="99"/>
    <w:semiHidden/>
    <w:unhideWhenUsed/>
  </w:style>
  <w:style w:type="table" w:styleId="681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2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3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4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5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6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8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0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11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12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13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14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15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16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17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18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19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20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21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22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23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24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25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26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27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28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29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30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45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46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47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48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49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50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5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6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7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8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9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0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1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2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73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74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75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76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77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78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79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87" w:customStyle="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788" w:customStyle="1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789" w:customStyle="1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790" w:customStyle="1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791" w:customStyle="1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792" w:customStyle="1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793" w:customStyle="1">
    <w:name w:val="Bordered &amp; 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4" w:customStyle="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795" w:customStyle="1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796" w:customStyle="1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797" w:customStyle="1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798" w:customStyle="1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799" w:customStyle="1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0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01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02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03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04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05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06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07" w:customStyle="1">
    <w:name w:val="Heading 1 Char"/>
    <w:uiPriority w:val="9"/>
    <w:rPr>
      <w:rFonts w:ascii="Arial" w:hAnsi="Arial" w:eastAsia="Arial" w:cs="Arial"/>
      <w:sz w:val="40"/>
    </w:rPr>
  </w:style>
  <w:style w:type="character" w:styleId="808" w:customStyle="1">
    <w:name w:val="Heading 2 Char"/>
    <w:uiPriority w:val="9"/>
    <w:rPr>
      <w:rFonts w:ascii="Arial" w:hAnsi="Arial" w:eastAsia="Arial" w:cs="Arial"/>
      <w:sz w:val="34"/>
    </w:rPr>
  </w:style>
  <w:style w:type="character" w:styleId="809" w:customStyle="1">
    <w:name w:val="Heading 3 Char"/>
    <w:uiPriority w:val="9"/>
    <w:rPr>
      <w:rFonts w:ascii="Arial" w:hAnsi="Arial" w:eastAsia="Arial" w:cs="Arial"/>
      <w:sz w:val="30"/>
    </w:rPr>
  </w:style>
  <w:style w:type="character" w:styleId="810" w:customStyle="1">
    <w:name w:val="Heading 4 Char"/>
    <w:uiPriority w:val="9"/>
    <w:rPr>
      <w:rFonts w:ascii="Arial" w:hAnsi="Arial" w:eastAsia="Arial" w:cs="Arial"/>
      <w:b/>
      <w:sz w:val="26"/>
    </w:rPr>
  </w:style>
  <w:style w:type="character" w:styleId="811" w:customStyle="1">
    <w:name w:val="Heading 5 Char"/>
    <w:uiPriority w:val="9"/>
    <w:rPr>
      <w:rFonts w:ascii="Arial" w:hAnsi="Arial" w:eastAsia="Arial" w:cs="Arial"/>
      <w:b/>
      <w:sz w:val="24"/>
    </w:rPr>
  </w:style>
  <w:style w:type="character" w:styleId="812" w:customStyle="1">
    <w:name w:val="Heading 6 Char"/>
    <w:uiPriority w:val="9"/>
    <w:rPr>
      <w:rFonts w:ascii="Arial" w:hAnsi="Arial" w:eastAsia="Arial" w:cs="Arial"/>
      <w:b/>
      <w:sz w:val="22"/>
    </w:rPr>
  </w:style>
  <w:style w:type="character" w:styleId="813" w:customStyle="1">
    <w:name w:val="Heading 7 Char"/>
    <w:uiPriority w:val="9"/>
    <w:rPr>
      <w:rFonts w:ascii="Arial" w:hAnsi="Arial" w:eastAsia="Arial" w:cs="Arial"/>
      <w:b/>
      <w:i/>
      <w:sz w:val="22"/>
    </w:rPr>
  </w:style>
  <w:style w:type="character" w:styleId="814" w:customStyle="1">
    <w:name w:val="Heading 8 Char"/>
    <w:uiPriority w:val="9"/>
    <w:rPr>
      <w:rFonts w:ascii="Arial" w:hAnsi="Arial" w:eastAsia="Arial" w:cs="Arial"/>
      <w:i/>
      <w:sz w:val="22"/>
    </w:rPr>
  </w:style>
  <w:style w:type="character" w:styleId="815" w:customStyle="1">
    <w:name w:val="Heading 9 Char"/>
    <w:uiPriority w:val="9"/>
    <w:rPr>
      <w:rFonts w:ascii="Arial" w:hAnsi="Arial" w:eastAsia="Arial" w:cs="Arial"/>
      <w:i/>
      <w:sz w:val="21"/>
    </w:rPr>
  </w:style>
  <w:style w:type="character" w:styleId="816" w:customStyle="1">
    <w:name w:val="Title Char"/>
    <w:uiPriority w:val="10"/>
    <w:rPr>
      <w:sz w:val="48"/>
    </w:rPr>
  </w:style>
  <w:style w:type="character" w:styleId="817" w:customStyle="1">
    <w:name w:val="Subtitle Char"/>
    <w:uiPriority w:val="11"/>
    <w:rPr>
      <w:sz w:val="24"/>
    </w:rPr>
  </w:style>
  <w:style w:type="character" w:styleId="818" w:customStyle="1">
    <w:name w:val="Quote Char"/>
    <w:uiPriority w:val="29"/>
    <w:rPr>
      <w:i/>
    </w:rPr>
  </w:style>
  <w:style w:type="character" w:styleId="819" w:customStyle="1">
    <w:name w:val="Intense Quote Char"/>
    <w:uiPriority w:val="30"/>
    <w:rPr>
      <w:i/>
    </w:rPr>
  </w:style>
  <w:style w:type="character" w:styleId="820" w:customStyle="1">
    <w:name w:val="Header Char"/>
    <w:uiPriority w:val="99"/>
  </w:style>
  <w:style w:type="character" w:styleId="821" w:customStyle="1">
    <w:name w:val="Footer Char"/>
    <w:uiPriority w:val="99"/>
  </w:style>
  <w:style w:type="character" w:styleId="822" w:customStyle="1">
    <w:name w:val="Название объекта Знак"/>
    <w:link w:val="856"/>
    <w:rPr>
      <w:b/>
      <w:color w:val="4f81bd"/>
      <w:sz w:val="18"/>
    </w:rPr>
  </w:style>
  <w:style w:type="character" w:styleId="823">
    <w:name w:val="Hyperlink"/>
    <w:uiPriority w:val="99"/>
    <w:rPr>
      <w:color w:val="0000ff"/>
      <w:u w:val="single"/>
    </w:rPr>
  </w:style>
  <w:style w:type="character" w:styleId="824" w:customStyle="1">
    <w:name w:val="Footnote Text Char"/>
    <w:uiPriority w:val="99"/>
    <w:rPr>
      <w:sz w:val="18"/>
    </w:rPr>
  </w:style>
  <w:style w:type="character" w:styleId="825">
    <w:name w:val="footnote reference"/>
    <w:uiPriority w:val="99"/>
    <w:rPr>
      <w:vertAlign w:val="superscript"/>
    </w:rPr>
  </w:style>
  <w:style w:type="character" w:styleId="826" w:customStyle="1">
    <w:name w:val="Endnote Text Char"/>
    <w:uiPriority w:val="99"/>
    <w:rPr>
      <w:sz w:val="20"/>
    </w:rPr>
  </w:style>
  <w:style w:type="character" w:styleId="827">
    <w:name w:val="endnote reference"/>
    <w:uiPriority w:val="99"/>
    <w:rPr>
      <w:vertAlign w:val="superscript"/>
    </w:rPr>
  </w:style>
  <w:style w:type="paragraph" w:styleId="828" w:customStyle="1">
    <w:name w:val="LO-Normal"/>
    <w:qFormat/>
    <w:pPr>
      <w:widowControl w:val="off"/>
    </w:pPr>
  </w:style>
  <w:style w:type="paragraph" w:styleId="829">
    <w:name w:val="Title"/>
    <w:basedOn w:val="828"/>
    <w:uiPriority w:val="10"/>
    <w:qFormat/>
    <w:pPr>
      <w:contextualSpacing/>
      <w:spacing w:before="300" w:after="200"/>
    </w:pPr>
    <w:rPr>
      <w:sz w:val="48"/>
    </w:rPr>
  </w:style>
  <w:style w:type="paragraph" w:styleId="830">
    <w:name w:val="Body Text"/>
    <w:basedOn w:val="668"/>
    <w:pPr>
      <w:spacing w:after="140" w:line="288" w:lineRule="auto"/>
    </w:pPr>
  </w:style>
  <w:style w:type="paragraph" w:styleId="831">
    <w:name w:val="List Paragraph"/>
    <w:basedOn w:val="828"/>
    <w:uiPriority w:val="34"/>
    <w:qFormat/>
    <w:pPr>
      <w:contextualSpacing/>
      <w:ind w:left="720"/>
    </w:pPr>
  </w:style>
  <w:style w:type="paragraph" w:styleId="832">
    <w:name w:val="No Spacing"/>
    <w:uiPriority w:val="1"/>
    <w:qFormat/>
    <w:pPr>
      <w:widowControl w:val="off"/>
    </w:pPr>
  </w:style>
  <w:style w:type="paragraph" w:styleId="833">
    <w:name w:val="Subtitle"/>
    <w:basedOn w:val="828"/>
    <w:uiPriority w:val="11"/>
    <w:qFormat/>
    <w:pPr>
      <w:spacing w:before="200" w:after="200"/>
    </w:pPr>
    <w:rPr>
      <w:sz w:val="24"/>
    </w:rPr>
  </w:style>
  <w:style w:type="paragraph" w:styleId="834">
    <w:name w:val="Quote"/>
    <w:basedOn w:val="828"/>
    <w:uiPriority w:val="29"/>
    <w:qFormat/>
    <w:pPr>
      <w:ind w:left="720" w:right="720"/>
    </w:pPr>
    <w:rPr>
      <w:i/>
    </w:rPr>
  </w:style>
  <w:style w:type="paragraph" w:styleId="835">
    <w:name w:val="Intense Quote"/>
    <w:basedOn w:val="828"/>
    <w:uiPriority w:val="30"/>
    <w:qFormat/>
    <w:pPr>
      <w:contextualSpacing/>
      <w:ind w:left="720" w:right="720"/>
      <w:shd w:val="clear" w:color="auto" w:fill="f2f2f2"/>
      <w:pBdr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</w:pBdr>
    </w:pPr>
    <w:rPr>
      <w:i/>
    </w:rPr>
  </w:style>
  <w:style w:type="paragraph" w:styleId="836" w:customStyle="1">
    <w:name w:val="Колонтитул"/>
    <w:basedOn w:val="668"/>
    <w:qFormat/>
    <w:pPr>
      <w:tabs>
        <w:tab w:val="center" w:pos="4818" w:leader="none"/>
        <w:tab w:val="right" w:pos="9638" w:leader="none"/>
      </w:tabs>
    </w:pPr>
  </w:style>
  <w:style w:type="paragraph" w:styleId="837">
    <w:name w:val="Footer"/>
    <w:basedOn w:val="828"/>
    <w:uiPriority w:val="99"/>
    <w:pPr>
      <w:tabs>
        <w:tab w:val="center" w:pos="7143" w:leader="none"/>
        <w:tab w:val="right" w:pos="14287" w:leader="none"/>
      </w:tabs>
    </w:pPr>
  </w:style>
  <w:style w:type="paragraph" w:styleId="838">
    <w:name w:val="footnote text"/>
    <w:basedOn w:val="828"/>
    <w:uiPriority w:val="99"/>
    <w:pPr>
      <w:spacing w:after="40"/>
    </w:pPr>
    <w:rPr>
      <w:sz w:val="18"/>
    </w:rPr>
  </w:style>
  <w:style w:type="paragraph" w:styleId="839">
    <w:name w:val="endnote text"/>
    <w:basedOn w:val="828"/>
    <w:uiPriority w:val="99"/>
  </w:style>
  <w:style w:type="paragraph" w:styleId="840">
    <w:name w:val="toc 1"/>
    <w:basedOn w:val="828"/>
    <w:uiPriority w:val="39"/>
    <w:pPr>
      <w:spacing w:after="57"/>
    </w:pPr>
  </w:style>
  <w:style w:type="paragraph" w:styleId="841">
    <w:name w:val="toc 2"/>
    <w:basedOn w:val="828"/>
    <w:uiPriority w:val="39"/>
    <w:pPr>
      <w:ind w:left="283"/>
      <w:spacing w:after="57"/>
    </w:pPr>
  </w:style>
  <w:style w:type="paragraph" w:styleId="842">
    <w:name w:val="toc 3"/>
    <w:basedOn w:val="828"/>
    <w:uiPriority w:val="39"/>
    <w:pPr>
      <w:ind w:left="567"/>
      <w:spacing w:after="57"/>
    </w:pPr>
  </w:style>
  <w:style w:type="paragraph" w:styleId="843">
    <w:name w:val="toc 4"/>
    <w:basedOn w:val="828"/>
    <w:uiPriority w:val="39"/>
    <w:pPr>
      <w:ind w:left="850"/>
      <w:spacing w:after="57"/>
    </w:pPr>
  </w:style>
  <w:style w:type="paragraph" w:styleId="844">
    <w:name w:val="toc 5"/>
    <w:basedOn w:val="828"/>
    <w:uiPriority w:val="39"/>
    <w:pPr>
      <w:ind w:left="1134"/>
      <w:spacing w:after="57"/>
    </w:pPr>
  </w:style>
  <w:style w:type="paragraph" w:styleId="845">
    <w:name w:val="toc 6"/>
    <w:basedOn w:val="828"/>
    <w:uiPriority w:val="39"/>
    <w:pPr>
      <w:ind w:left="1417"/>
      <w:spacing w:after="57"/>
    </w:pPr>
  </w:style>
  <w:style w:type="paragraph" w:styleId="846">
    <w:name w:val="toc 7"/>
    <w:basedOn w:val="828"/>
    <w:uiPriority w:val="39"/>
    <w:pPr>
      <w:ind w:left="1701"/>
      <w:spacing w:after="57"/>
    </w:pPr>
  </w:style>
  <w:style w:type="paragraph" w:styleId="847">
    <w:name w:val="toc 8"/>
    <w:basedOn w:val="828"/>
    <w:uiPriority w:val="39"/>
    <w:pPr>
      <w:ind w:left="1984"/>
      <w:spacing w:after="57"/>
    </w:pPr>
  </w:style>
  <w:style w:type="paragraph" w:styleId="848">
    <w:name w:val="toc 9"/>
    <w:basedOn w:val="828"/>
    <w:uiPriority w:val="39"/>
    <w:pPr>
      <w:ind w:left="2268"/>
      <w:spacing w:after="57"/>
    </w:pPr>
  </w:style>
  <w:style w:type="paragraph" w:styleId="849">
    <w:name w:val="TOC Heading"/>
    <w:uiPriority w:val="39"/>
    <w:pPr>
      <w:widowControl w:val="off"/>
    </w:pPr>
  </w:style>
  <w:style w:type="paragraph" w:styleId="850">
    <w:name w:val="table of figures"/>
    <w:basedOn w:val="828"/>
    <w:uiPriority w:val="99"/>
  </w:style>
  <w:style w:type="paragraph" w:styleId="851" w:customStyle="1">
    <w:name w:val="DStyle_paragraph"/>
    <w:pPr>
      <w:widowControl w:val="off"/>
    </w:pPr>
    <w:rPr>
      <w:rFonts w:eastAsia="NSimSun" w:cs="Mangal"/>
      <w:sz w:val="24"/>
    </w:rPr>
  </w:style>
  <w:style w:type="paragraph" w:styleId="852">
    <w:name w:val="Body Text Indent"/>
    <w:basedOn w:val="668"/>
    <w:pPr>
      <w:ind w:left="283" w:hanging="566"/>
      <w:spacing w:after="120"/>
    </w:pPr>
  </w:style>
  <w:style w:type="paragraph" w:styleId="853">
    <w:name w:val="Header"/>
    <w:basedOn w:val="668"/>
    <w:uiPriority w:val="99"/>
    <w:pPr>
      <w:tabs>
        <w:tab w:val="center" w:pos="4152" w:leader="none"/>
        <w:tab w:val="right" w:pos="8306" w:leader="none"/>
      </w:tabs>
    </w:pPr>
    <w:rPr>
      <w:rFonts w:ascii="Arial" w:hAnsi="Arial" w:cs="Arial"/>
      <w:sz w:val="27"/>
    </w:rPr>
  </w:style>
  <w:style w:type="paragraph" w:styleId="854" w:customStyle="1">
    <w:name w:val="Содержимое таблицы"/>
    <w:basedOn w:val="668"/>
    <w:qFormat/>
  </w:style>
  <w:style w:type="paragraph" w:styleId="855">
    <w:name w:val="List"/>
    <w:basedOn w:val="830"/>
  </w:style>
  <w:style w:type="paragraph" w:styleId="856">
    <w:name w:val="Caption"/>
    <w:basedOn w:val="668"/>
    <w:link w:val="822"/>
    <w:uiPriority w:val="35"/>
    <w:qFormat/>
    <w:pPr>
      <w:spacing w:before="120" w:after="120"/>
    </w:pPr>
    <w:rPr>
      <w:i/>
    </w:rPr>
  </w:style>
  <w:style w:type="paragraph" w:styleId="857">
    <w:name w:val="index heading"/>
    <w:basedOn w:val="668"/>
    <w:qFormat/>
  </w:style>
  <w:style w:type="character" w:styleId="858">
    <w:name w:val="Unresolved Mention"/>
    <w:basedOn w:val="678"/>
    <w:uiPriority w:val="99"/>
    <w:semiHidden/>
    <w:unhideWhenUsed/>
    <w:rPr>
      <w:color w:val="605e5c"/>
      <w:shd w:val="clear" w:color="auto" w:fill="e1dfdd"/>
    </w:rPr>
  </w:style>
  <w:style w:type="paragraph" w:styleId="859" w:customStyle="1">
    <w:name w:val="Standard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Liberation Serif" w:hAnsi="Liberation Serif" w:eastAsia="Droid Sans Fallback" w:cs="Droid Sans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vseinstrumenti.ru/tag-page/dispensery-dlya-tualetnoj-bumagi-nastennye-2305601/" TargetMode="External"/><Relationship Id="rId10" Type="http://schemas.openxmlformats.org/officeDocument/2006/relationships/hyperlink" Target="https://www.vseinstrumenti.ru/tag-page/dispensery-dlya-tualetnoj-bumagi-v-rulonah-2305613/" TargetMode="External"/><Relationship Id="rId11" Type="http://schemas.openxmlformats.org/officeDocument/2006/relationships/hyperlink" Target="https://www.vseinstrumenti.ru/tag-page/dispensery-dlya-tualetnoj-bumagi-tsvet-belyj-50824/" TargetMode="External"/><Relationship Id="rId12" Type="http://schemas.openxmlformats.org/officeDocument/2006/relationships/hyperlink" Target="https://www.vseinstrumenti.ru/tag-page/dispensery-dlya-tualetnoj-bumagi-abs-plastik-50836/" TargetMode="External"/><Relationship Id="rId13" Type="http://schemas.openxmlformats.org/officeDocument/2006/relationships/hyperlink" Target="https://www.vseinstrumenti.ru/tag-page/dispensery-dlya-tualetnoj-bumagi-na-1-rulon-1769303/" TargetMode="External"/><Relationship Id="rId14" Type="http://schemas.openxmlformats.org/officeDocument/2006/relationships/hyperlink" Target="https://www.vseinstrumenti.ru/tag-page/dispensery-dlya-tualetnoj-bumagi-ruchnye-1769297/" TargetMode="External"/><Relationship Id="rId15" Type="http://schemas.openxmlformats.org/officeDocument/2006/relationships/hyperlink" Target="https://www.vseinstrumenti.ru/tag-page/dispensery-dlya-tualetnoj-bumagi-so-smotrovym-oknom-1769291/" TargetMode="External"/><Relationship Id="rId16" Type="http://schemas.openxmlformats.org/officeDocument/2006/relationships/hyperlink" Target="https://www.vseinstrumenti.ru/tag-page/antivandalnye-dispensery-dlya-tualetnoj-bumagi-10414/" TargetMode="External"/><Relationship Id="rId17" Type="http://schemas.openxmlformats.org/officeDocument/2006/relationships/hyperlink" Target="https://www.vseinstrumenti.ru/tag-page/dispensery-dlya-tualetnoj-bumagi-s-zamkom-10417/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Кирносова Татьяна Владимировна</dc:creator>
  <dc:description/>
  <dc:language>ru-RU</dc:language>
  <cp:lastModifiedBy>kirnosova_tv</cp:lastModifiedBy>
  <cp:revision>5</cp:revision>
  <dcterms:created xsi:type="dcterms:W3CDTF">2026-10-09T05:12:00Z</dcterms:created>
  <dcterms:modified xsi:type="dcterms:W3CDTF">2026-10-28T13:01:04Z</dcterms:modified>
</cp:coreProperties>
</file>