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  <w:t>ТЕХНИЧЕСКИЕ ТРЕБОВАНИЯ</w:t>
      </w:r>
    </w:p>
    <w:p>
      <w:pPr>
        <w:pStyle w:val="Normal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Normal"/>
        <w:keepNext w:val="true"/>
        <w:keepLines/>
        <w:numPr>
          <w:ilvl w:val="0"/>
          <w:numId w:val="1"/>
        </w:numPr>
        <w:tabs>
          <w:tab w:val="clear" w:pos="708"/>
          <w:tab w:val="left" w:pos="851" w:leader="none"/>
        </w:tabs>
        <w:spacing w:lineRule="exact" w:line="274"/>
        <w:ind w:firstLine="360"/>
        <w:outlineLvl w:val="6"/>
        <w:rPr>
          <w:rFonts w:ascii="Times New Roman" w:hAnsi="Times New Roman" w:cs="Times New Roman"/>
          <w:b/>
          <w:bCs/>
          <w:lang w:eastAsia="en-US"/>
        </w:rPr>
      </w:pPr>
      <w:bookmarkStart w:id="0" w:name="bookmark5"/>
      <w:r>
        <w:rPr>
          <w:rFonts w:cs="Times New Roman" w:ascii="Times New Roman" w:hAnsi="Times New Roman"/>
          <w:b/>
          <w:bCs/>
          <w:lang w:eastAsia="en-US"/>
        </w:rPr>
        <w:t>Общие требования к Товару (далее -оборудование)</w:t>
      </w:r>
      <w:bookmarkEnd w:id="0"/>
    </w:p>
    <w:p>
      <w:pPr>
        <w:pStyle w:val="ListParagraph"/>
        <w:numPr>
          <w:ilvl w:val="1"/>
          <w:numId w:val="1"/>
        </w:numPr>
        <w:tabs>
          <w:tab w:val="clear" w:pos="708"/>
          <w:tab w:val="left" w:pos="851" w:leader="none"/>
          <w:tab w:val="left" w:pos="1105" w:leader="none"/>
        </w:tabs>
        <w:spacing w:lineRule="exact" w:line="274"/>
        <w:jc w:val="both"/>
        <w:rPr>
          <w:rFonts w:ascii="Times New Roman" w:hAnsi="Times New Roman" w:cs="Times New Roman"/>
          <w:lang w:eastAsia="en-US"/>
        </w:rPr>
      </w:pPr>
      <w:r>
        <w:rPr>
          <w:rFonts w:cs="Times New Roman" w:ascii="Times New Roman" w:hAnsi="Times New Roman"/>
          <w:lang w:eastAsia="en-US"/>
        </w:rPr>
        <w:t>Поставляемое оборудование должно быть новым оборудованием, не ранее 2025 г. выпуска, (оборудованием, которое не было в употреблении, в ремонте, в том числе, которое не было восстановлено, у которого не была осуществлена замена составных частей, не были восстановлены потребительские свойства), заводской сборки, серийным, свободно распространяться на территории Российской Федерации, в ненарушенной заводской упаковке.</w:t>
      </w:r>
    </w:p>
    <w:p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lang w:eastAsia="en-US"/>
        </w:rPr>
      </w:pPr>
      <w:r>
        <w:rPr>
          <w:rFonts w:cs="Times New Roman" w:ascii="Times New Roman" w:hAnsi="Times New Roman"/>
          <w:lang w:eastAsia="en-US"/>
        </w:rPr>
        <w:t>Поставляемое оборудование должно быть российского происхождения и включено в единый реестр российской радиоэлектронной продукции (либо в реестр промышленной продукции, произведенной на территории РФ) в соответствии с постановлениями Правительства РФ».</w:t>
      </w:r>
    </w:p>
    <w:p>
      <w:pPr>
        <w:pStyle w:val="ListParagraph"/>
        <w:numPr>
          <w:ilvl w:val="1"/>
          <w:numId w:val="1"/>
        </w:numPr>
        <w:tabs>
          <w:tab w:val="clear" w:pos="708"/>
          <w:tab w:val="left" w:pos="851" w:leader="none"/>
          <w:tab w:val="left" w:pos="1105" w:leader="none"/>
        </w:tabs>
        <w:spacing w:lineRule="exact" w:line="274"/>
        <w:jc w:val="both"/>
        <w:rPr>
          <w:rFonts w:ascii="Times New Roman" w:hAnsi="Times New Roman" w:cs="Times New Roman"/>
          <w:lang w:eastAsia="en-US"/>
        </w:rPr>
      </w:pPr>
      <w:r>
        <w:rPr>
          <w:rFonts w:cs="Times New Roman" w:ascii="Times New Roman" w:hAnsi="Times New Roman"/>
          <w:lang w:eastAsia="en-US"/>
        </w:rPr>
        <w:t>Поставляемое оборудование должно быть укомплектовано драйверами, необходимыми для его эксплуатации.</w:t>
      </w:r>
    </w:p>
    <w:p>
      <w:pPr>
        <w:pStyle w:val="ListParagraph"/>
        <w:numPr>
          <w:ilvl w:val="1"/>
          <w:numId w:val="1"/>
        </w:numPr>
        <w:tabs>
          <w:tab w:val="clear" w:pos="708"/>
          <w:tab w:val="left" w:pos="851" w:leader="none"/>
          <w:tab w:val="left" w:pos="1105" w:leader="none"/>
        </w:tabs>
        <w:spacing w:lineRule="exact" w:line="274"/>
        <w:jc w:val="both"/>
        <w:rPr>
          <w:rFonts w:ascii="Times New Roman" w:hAnsi="Times New Roman" w:cs="Times New Roman"/>
          <w:lang w:eastAsia="en-US"/>
        </w:rPr>
      </w:pPr>
      <w:r>
        <w:rPr>
          <w:rFonts w:cs="Times New Roman" w:ascii="Times New Roman" w:hAnsi="Times New Roman"/>
          <w:lang w:eastAsia="en-US"/>
        </w:rPr>
        <w:t>Поставляемое оборудование должно быть обеспечено сервисным обслуживанием через соответствующие сервисные службы производителя оборудования.</w:t>
      </w:r>
    </w:p>
    <w:p>
      <w:pPr>
        <w:pStyle w:val="ListParagraph"/>
        <w:numPr>
          <w:ilvl w:val="1"/>
          <w:numId w:val="1"/>
        </w:numPr>
        <w:tabs>
          <w:tab w:val="clear" w:pos="708"/>
          <w:tab w:val="left" w:pos="851" w:leader="none"/>
          <w:tab w:val="left" w:pos="1105" w:leader="none"/>
        </w:tabs>
        <w:spacing w:lineRule="exact" w:line="274"/>
        <w:jc w:val="both"/>
        <w:rPr>
          <w:rFonts w:ascii="Times New Roman" w:hAnsi="Times New Roman" w:cs="Times New Roman"/>
          <w:lang w:eastAsia="en-US"/>
        </w:rPr>
      </w:pPr>
      <w:r>
        <w:rPr>
          <w:rFonts w:cs="Times New Roman" w:ascii="Times New Roman" w:hAnsi="Times New Roman"/>
          <w:lang w:eastAsia="en-US"/>
        </w:rPr>
        <w:t>Технические характеристики предлагаемого оборудования должны соответствовать представленным в Таблице №2.</w:t>
      </w:r>
    </w:p>
    <w:p>
      <w:pPr>
        <w:pStyle w:val="ListParagraph"/>
        <w:numPr>
          <w:ilvl w:val="1"/>
          <w:numId w:val="1"/>
        </w:numPr>
        <w:tabs>
          <w:tab w:val="clear" w:pos="708"/>
          <w:tab w:val="left" w:pos="851" w:leader="none"/>
          <w:tab w:val="left" w:pos="1105" w:leader="none"/>
        </w:tabs>
        <w:spacing w:lineRule="exact" w:line="274"/>
        <w:jc w:val="both"/>
        <w:rPr>
          <w:rFonts w:ascii="Times New Roman" w:hAnsi="Times New Roman" w:cs="Times New Roman"/>
          <w:lang w:eastAsia="en-US"/>
        </w:rPr>
      </w:pPr>
      <w:r>
        <w:rPr>
          <w:rFonts w:cs="Times New Roman" w:ascii="Times New Roman" w:hAnsi="Times New Roman"/>
          <w:lang w:eastAsia="en-US"/>
        </w:rPr>
        <w:t>Срок поставки оборудования — 25.12.2026 г.</w:t>
      </w:r>
    </w:p>
    <w:p>
      <w:pPr>
        <w:pStyle w:val="ListParagraph"/>
        <w:numPr>
          <w:ilvl w:val="1"/>
          <w:numId w:val="1"/>
        </w:numPr>
        <w:tabs>
          <w:tab w:val="clear" w:pos="708"/>
          <w:tab w:val="left" w:pos="851" w:leader="none"/>
          <w:tab w:val="left" w:pos="1105" w:leader="none"/>
        </w:tabs>
        <w:spacing w:lineRule="exact" w:line="274"/>
        <w:jc w:val="both"/>
        <w:rPr>
          <w:rFonts w:ascii="Times New Roman" w:hAnsi="Times New Roman" w:cs="Times New Roman"/>
          <w:lang w:eastAsia="en-US"/>
        </w:rPr>
      </w:pPr>
      <w:r>
        <w:rPr>
          <w:rFonts w:cs="Times New Roman" w:ascii="Times New Roman" w:hAnsi="Times New Roman"/>
          <w:lang w:eastAsia="en-US"/>
        </w:rPr>
        <w:t>Место поставки: г. Санкт-Петербург, ул. Салова, д.32, лит. П</w:t>
      </w:r>
    </w:p>
    <w:p>
      <w:pPr>
        <w:pStyle w:val="ListParagraph"/>
        <w:tabs>
          <w:tab w:val="clear" w:pos="708"/>
          <w:tab w:val="left" w:pos="851" w:leader="none"/>
          <w:tab w:val="left" w:pos="1105" w:leader="none"/>
        </w:tabs>
        <w:spacing w:lineRule="exact" w:line="274"/>
        <w:ind w:start="0"/>
        <w:jc w:val="both"/>
        <w:rPr>
          <w:rFonts w:ascii="Times New Roman" w:hAnsi="Times New Roman" w:cs="Times New Roman"/>
          <w:lang w:eastAsia="en-US"/>
        </w:rPr>
      </w:pPr>
      <w:r>
        <w:rPr>
          <w:rFonts w:cs="Times New Roman" w:ascii="Times New Roman" w:hAnsi="Times New Roman"/>
          <w:lang w:eastAsia="en-US"/>
        </w:rPr>
      </w:r>
    </w:p>
    <w:p>
      <w:pPr>
        <w:pStyle w:val="Normal"/>
        <w:keepNext w:val="true"/>
        <w:keepLines/>
        <w:numPr>
          <w:ilvl w:val="0"/>
          <w:numId w:val="1"/>
        </w:numPr>
        <w:tabs>
          <w:tab w:val="clear" w:pos="708"/>
          <w:tab w:val="left" w:pos="709" w:leader="none"/>
        </w:tabs>
        <w:spacing w:lineRule="exact" w:line="281"/>
        <w:ind w:firstLine="360"/>
        <w:jc w:val="both"/>
        <w:outlineLvl w:val="6"/>
        <w:rPr>
          <w:rFonts w:ascii="Times New Roman" w:hAnsi="Times New Roman" w:cs="Times New Roman"/>
          <w:b/>
          <w:bCs/>
          <w:lang w:eastAsia="en-US"/>
        </w:rPr>
      </w:pPr>
      <w:r>
        <w:rPr>
          <w:rFonts w:cs="Times New Roman" w:ascii="Times New Roman" w:hAnsi="Times New Roman"/>
          <w:b/>
          <w:bCs/>
          <w:lang w:eastAsia="en-US"/>
        </w:rPr>
        <w:t>Перечень и количество поставляемого оборудования</w:t>
      </w:r>
    </w:p>
    <w:p>
      <w:pPr>
        <w:pStyle w:val="Normal"/>
        <w:tabs>
          <w:tab w:val="clear" w:pos="708"/>
          <w:tab w:val="left" w:pos="1134" w:leader="none"/>
        </w:tabs>
        <w:spacing w:lineRule="auto" w:line="276"/>
        <w:ind w:start="709"/>
        <w:jc w:val="end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  <w:t xml:space="preserve">Таблица № 1 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noHBand="0" w:noVBand="1" w:firstColumn="1" w:lastRow="0" w:lastColumn="0" w:firstRow="1"/>
      </w:tblPr>
      <w:tblGrid>
        <w:gridCol w:w="937"/>
        <w:gridCol w:w="5727"/>
        <w:gridCol w:w="1562"/>
        <w:gridCol w:w="1129"/>
      </w:tblGrid>
      <w:tr>
        <w:trPr>
          <w:trHeight w:val="20" w:hRule="atLeast"/>
        </w:trPr>
        <w:tc>
          <w:tcPr>
            <w:tcW w:w="9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57"/>
              <w:jc w:val="center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>
              <w:rPr>
                <w:rFonts w:cs="Times New Roman" w:ascii="Times New Roman" w:hAnsi="Times New Roman"/>
                <w:b/>
                <w:bCs/>
                <w:lang w:eastAsia="en-US"/>
              </w:rPr>
              <w:t xml:space="preserve">№ </w:t>
            </w:r>
            <w:r>
              <w:rPr>
                <w:rFonts w:cs="Times New Roman" w:ascii="Times New Roman" w:hAnsi="Times New Roman"/>
                <w:b/>
                <w:bCs/>
                <w:lang w:eastAsia="en-US"/>
              </w:rPr>
              <w:t>п/п </w:t>
            </w:r>
          </w:p>
        </w:tc>
        <w:tc>
          <w:tcPr>
            <w:tcW w:w="57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57"/>
              <w:jc w:val="center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>
              <w:rPr>
                <w:rFonts w:cs="Times New Roman" w:ascii="Times New Roman" w:hAnsi="Times New Roman"/>
                <w:b/>
                <w:bCs/>
                <w:lang w:eastAsia="en-US"/>
              </w:rPr>
              <w:t>Наименование товара</w:t>
            </w:r>
          </w:p>
        </w:tc>
        <w:tc>
          <w:tcPr>
            <w:tcW w:w="15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57"/>
              <w:jc w:val="center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>
              <w:rPr>
                <w:rFonts w:cs="Times New Roman" w:ascii="Times New Roman" w:hAnsi="Times New Roman"/>
                <w:b/>
                <w:bCs/>
                <w:lang w:eastAsia="en-US"/>
              </w:rPr>
              <w:t>Ед. изм.</w:t>
            </w:r>
          </w:p>
        </w:tc>
        <w:tc>
          <w:tcPr>
            <w:tcW w:w="11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57"/>
              <w:jc w:val="center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>
              <w:rPr>
                <w:rFonts w:cs="Times New Roman" w:ascii="Times New Roman" w:hAnsi="Times New Roman"/>
                <w:b/>
                <w:bCs/>
                <w:lang w:eastAsia="en-US"/>
              </w:rPr>
              <w:t>Кол-во</w:t>
            </w:r>
          </w:p>
        </w:tc>
      </w:tr>
      <w:tr>
        <w:trPr>
          <w:trHeight w:val="2397" w:hRule="atLeast"/>
        </w:trPr>
        <w:tc>
          <w:tcPr>
            <w:tcW w:w="9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57"/>
              <w:ind w:start="36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cs="Times New Roman" w:ascii="Times New Roman" w:hAnsi="Times New Roman"/>
                <w:bCs/>
                <w:color w:val="000000"/>
              </w:rPr>
              <w:t>1</w:t>
            </w:r>
          </w:p>
        </w:tc>
        <w:tc>
          <w:tcPr>
            <w:tcW w:w="57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42" w:leader="none"/>
                <w:tab w:val="left" w:pos="284" w:leader="none"/>
              </w:tabs>
              <w:jc w:val="both"/>
              <w:rPr>
                <w:rFonts w:ascii="Times New Roman" w:hAnsi="Times New Roman" w:eastAsia="Arial Unicode MS" w:cs="Times New Roman"/>
                <w:color w:val="000000"/>
              </w:rPr>
            </w:pPr>
            <w:r>
              <w:rPr>
                <w:rFonts w:eastAsia="Arial Unicode MS" w:cs="Times New Roman" w:ascii="Times New Roman" w:hAnsi="Times New Roman"/>
                <w:color w:val="000000"/>
              </w:rPr>
              <w:t>Шкаф телекоммуникационный настенный антивандальный ТИП-3 (для эксплуатации внутри помещений)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142" w:leader="none"/>
                <w:tab w:val="left" w:pos="284" w:leader="none"/>
              </w:tabs>
              <w:spacing w:before="0" w:after="0"/>
              <w:ind w:start="720"/>
              <w:contextualSpacing/>
              <w:jc w:val="both"/>
              <w:rPr>
                <w:rFonts w:ascii="Times New Roman" w:hAnsi="Times New Roman" w:eastAsia="Arial Unicode MS" w:cs="Times New Roman"/>
                <w:color w:val="000000"/>
              </w:rPr>
            </w:pPr>
            <w:r>
              <w:rPr>
                <w:rFonts w:eastAsia="Arial Unicode MS" w:cs="Times New Roman" w:ascii="Times New Roman" w:hAnsi="Times New Roman"/>
                <w:color w:val="000000"/>
              </w:rPr>
            </w:r>
          </w:p>
        </w:tc>
        <w:tc>
          <w:tcPr>
            <w:tcW w:w="15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57"/>
              <w:jc w:val="center"/>
              <w:rPr>
                <w:rFonts w:ascii="Times New Roman" w:hAnsi="Times New Roman" w:cs="Times New Roman"/>
                <w:bCs/>
                <w:lang w:val="en-US" w:eastAsia="en-US"/>
              </w:rPr>
            </w:pPr>
            <w:r>
              <w:rPr>
                <w:rFonts w:cs="Times New Roman" w:ascii="Times New Roman" w:hAnsi="Times New Roman"/>
                <w:bCs/>
                <w:color w:val="000000"/>
              </w:rPr>
              <w:t>шт.</w:t>
            </w:r>
          </w:p>
        </w:tc>
        <w:tc>
          <w:tcPr>
            <w:tcW w:w="11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57"/>
              <w:jc w:val="center"/>
              <w:rPr>
                <w:rFonts w:ascii="Times New Roman" w:hAnsi="Times New Roman" w:cs="Times New Roman"/>
                <w:bCs/>
                <w:lang w:eastAsia="en-US"/>
              </w:rPr>
            </w:pPr>
            <w:r>
              <w:rPr>
                <w:rFonts w:cs="Times New Roman" w:ascii="Times New Roman" w:hAnsi="Times New Roman"/>
                <w:bCs/>
                <w:lang w:eastAsia="en-US"/>
              </w:rPr>
              <w:t>155</w:t>
            </w:r>
            <w:bookmarkStart w:id="1" w:name="_GoBack"/>
            <w:bookmarkEnd w:id="1"/>
          </w:p>
        </w:tc>
      </w:tr>
    </w:tbl>
    <w:p>
      <w:pPr>
        <w:pStyle w:val="Normal"/>
        <w:ind w:firstLine="426"/>
        <w:jc w:val="both"/>
        <w:rPr>
          <w:rFonts w:ascii="Times New Roman" w:hAnsi="Times New Roman" w:cs="Times New Roman"/>
          <w:bCs/>
        </w:rPr>
      </w:pPr>
      <w:r>
        <w:rPr>
          <w:rFonts w:cs="Times New Roman" w:ascii="Times New Roman" w:hAnsi="Times New Roman"/>
          <w:bCs/>
        </w:rPr>
      </w:r>
    </w:p>
    <w:p>
      <w:pPr>
        <w:pStyle w:val="Normal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jc w:val="end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keepNext w:val="true"/>
        <w:keepLines/>
        <w:numPr>
          <w:ilvl w:val="0"/>
          <w:numId w:val="1"/>
        </w:numPr>
        <w:tabs>
          <w:tab w:val="clear" w:pos="708"/>
          <w:tab w:val="left" w:pos="709" w:leader="none"/>
        </w:tabs>
        <w:spacing w:lineRule="exact" w:line="281"/>
        <w:ind w:firstLine="360"/>
        <w:jc w:val="both"/>
        <w:outlineLvl w:val="6"/>
        <w:rPr>
          <w:rFonts w:ascii="Times New Roman" w:hAnsi="Times New Roman" w:cs="Times New Roman"/>
          <w:b/>
          <w:bCs/>
          <w:lang w:eastAsia="en-US"/>
        </w:rPr>
      </w:pPr>
      <w:r>
        <w:rPr>
          <w:rFonts w:cs="Times New Roman" w:ascii="Times New Roman" w:hAnsi="Times New Roman"/>
          <w:b/>
          <w:bCs/>
          <w:lang w:eastAsia="en-US"/>
        </w:rPr>
        <w:t>Технические характеристики</w:t>
      </w:r>
    </w:p>
    <w:p>
      <w:pPr>
        <w:pStyle w:val="Normal"/>
        <w:keepNext w:val="true"/>
        <w:keepLines/>
        <w:numPr>
          <w:ilvl w:val="0"/>
          <w:numId w:val="0"/>
        </w:numPr>
        <w:tabs>
          <w:tab w:val="clear" w:pos="708"/>
          <w:tab w:val="left" w:pos="709" w:leader="none"/>
        </w:tabs>
        <w:spacing w:lineRule="exact" w:line="281"/>
        <w:ind w:start="360"/>
        <w:jc w:val="both"/>
        <w:outlineLvl w:val="6"/>
        <w:rPr>
          <w:rFonts w:ascii="Times New Roman" w:hAnsi="Times New Roman" w:cs="Times New Roman"/>
          <w:b/>
          <w:bCs/>
          <w:lang w:eastAsia="en-US"/>
        </w:rPr>
      </w:pPr>
      <w:r>
        <w:rPr>
          <w:rFonts w:cs="Times New Roman" w:ascii="Times New Roman" w:hAnsi="Times New Roman"/>
          <w:b/>
          <w:bCs/>
          <w:lang w:eastAsia="en-US"/>
        </w:rPr>
      </w:r>
    </w:p>
    <w:p>
      <w:pPr>
        <w:pStyle w:val="Normal"/>
        <w:ind w:firstLine="708"/>
        <w:jc w:val="both"/>
        <w:rPr>
          <w:rFonts w:ascii="Times New Roman" w:hAnsi="Times New Roman" w:cs="Times New Roman"/>
          <w:color w:val="000000"/>
          <w:lang w:eastAsia="en-US"/>
        </w:rPr>
      </w:pPr>
      <w:r>
        <w:rPr>
          <w:rFonts w:cs="Times New Roman" w:ascii="Times New Roman" w:hAnsi="Times New Roman"/>
          <w:color w:val="000000"/>
          <w:lang w:eastAsia="en-US"/>
        </w:rPr>
        <w:t xml:space="preserve">Шкаф телекоммуникационный, предназначен для размещения в общедоступных обогреваемых помещениях (лестничные площадки, тех этажи, чердаки, подвалы). Имеет устойчивость к деформации и взлому. Изделие представляет собой подвесной телекоммуникационный шкаф, предназначенный для размещения оборудования узлов доступа местных сетей связи, а также другого активного телекоммуникационного оборудования или внутридомовых технических средств систем безопасности, контроля и управления инженерным оборудованием и учета потребления ресурсов. Шкаф располагается на любых вертикальных поверхностях с предварительной подготовкой к установке. </w:t>
      </w:r>
    </w:p>
    <w:p>
      <w:pPr>
        <w:pStyle w:val="Normal"/>
        <w:ind w:firstLine="708"/>
        <w:jc w:val="both"/>
        <w:rPr>
          <w:rFonts w:ascii="Times New Roman" w:hAnsi="Times New Roman" w:cs="Times New Roman"/>
          <w:color w:val="000000"/>
          <w:lang w:eastAsia="en-US"/>
        </w:rPr>
      </w:pPr>
      <w:r>
        <w:rPr>
          <w:rFonts w:cs="Times New Roman" w:ascii="Times New Roman" w:hAnsi="Times New Roman"/>
          <w:color w:val="000000"/>
          <w:lang w:eastAsia="en-US"/>
        </w:rPr>
        <w:t xml:space="preserve">Изделие (основная часть и дверь) выполнено в антивандальном исполнении в виде цельносварной конструкции и окрашено порошковой краской светло-серого цвета (RAL 7035) с защитой от УФ-излучения. </w:t>
      </w:r>
    </w:p>
    <w:p>
      <w:pPr>
        <w:pStyle w:val="Normal"/>
        <w:ind w:firstLine="708"/>
        <w:jc w:val="both"/>
        <w:rPr>
          <w:rFonts w:ascii="Times New Roman" w:hAnsi="Times New Roman" w:cs="Times New Roman"/>
          <w:color w:val="000000"/>
          <w:lang w:eastAsia="en-US"/>
        </w:rPr>
      </w:pPr>
      <w:r>
        <w:rPr>
          <w:rFonts w:cs="Times New Roman" w:ascii="Times New Roman" w:hAnsi="Times New Roman"/>
          <w:color w:val="000000"/>
          <w:lang w:eastAsia="en-US"/>
        </w:rPr>
      </w:r>
    </w:p>
    <w:p>
      <w:pPr>
        <w:pStyle w:val="Normal"/>
        <w:ind w:firstLine="708"/>
        <w:jc w:val="both"/>
        <w:rPr>
          <w:rFonts w:ascii="Times New Roman" w:hAnsi="Times New Roman" w:cs="Times New Roman"/>
          <w:color w:val="000000"/>
          <w:lang w:eastAsia="en-US"/>
        </w:rPr>
      </w:pPr>
      <w:r>
        <w:rPr>
          <w:rFonts w:cs="Times New Roman" w:ascii="Times New Roman" w:hAnsi="Times New Roman"/>
          <w:color w:val="000000"/>
          <w:lang w:eastAsia="en-US"/>
        </w:rPr>
      </w:r>
    </w:p>
    <w:p>
      <w:pPr>
        <w:pStyle w:val="Normal"/>
        <w:ind w:firstLine="708"/>
        <w:jc w:val="both"/>
        <w:rPr>
          <w:rFonts w:ascii="Times New Roman" w:hAnsi="Times New Roman" w:cs="Times New Roman"/>
          <w:color w:val="000000"/>
          <w:lang w:eastAsia="en-US"/>
        </w:rPr>
      </w:pPr>
      <w:r>
        <w:rPr>
          <w:rFonts w:cs="Times New Roman" w:ascii="Times New Roman" w:hAnsi="Times New Roman"/>
          <w:color w:val="000000"/>
          <w:lang w:eastAsia="en-US"/>
        </w:rPr>
      </w:r>
    </w:p>
    <w:p>
      <w:pPr>
        <w:pStyle w:val="Normal"/>
        <w:ind w:firstLine="708"/>
        <w:jc w:val="both"/>
        <w:rPr>
          <w:rFonts w:ascii="Times New Roman" w:hAnsi="Times New Roman" w:cs="Times New Roman"/>
          <w:b/>
          <w:color w:val="000000"/>
          <w:lang w:eastAsia="en-US"/>
        </w:rPr>
      </w:pPr>
      <w:r>
        <w:rPr>
          <w:rFonts w:cs="Times New Roman" w:ascii="Times New Roman" w:hAnsi="Times New Roman"/>
          <w:color w:val="000000"/>
          <w:lang w:eastAsia="en-US"/>
        </w:rPr>
        <w:tab/>
        <w:tab/>
        <w:tab/>
        <w:tab/>
        <w:tab/>
        <w:tab/>
        <w:tab/>
        <w:tab/>
        <w:tab/>
      </w:r>
      <w:r>
        <w:rPr>
          <w:rFonts w:cs="Times New Roman" w:ascii="Times New Roman" w:hAnsi="Times New Roman"/>
          <w:b/>
          <w:color w:val="000000"/>
          <w:lang w:eastAsia="en-US"/>
        </w:rPr>
        <w:t xml:space="preserve">          Таблица №2</w:t>
      </w:r>
    </w:p>
    <w:tbl>
      <w:tblPr>
        <w:tblW w:w="900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noHBand="0" w:noVBand="1" w:firstColumn="1" w:lastRow="0" w:lastColumn="0" w:firstRow="1"/>
      </w:tblPr>
      <w:tblGrid>
        <w:gridCol w:w="3000"/>
        <w:gridCol w:w="3000"/>
        <w:gridCol w:w="3000"/>
      </w:tblGrid>
      <w:tr>
        <w:trPr/>
        <w:tc>
          <w:tcPr>
            <w:tcW w:w="30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  <w:color w:val="000000"/>
              </w:rPr>
              <w:t xml:space="preserve">Наименование параметра </w:t>
            </w:r>
          </w:p>
        </w:tc>
        <w:tc>
          <w:tcPr>
            <w:tcW w:w="30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  <w:color w:val="000000"/>
              </w:rPr>
              <w:t xml:space="preserve">Размерность </w:t>
            </w:r>
          </w:p>
        </w:tc>
        <w:tc>
          <w:tcPr>
            <w:tcW w:w="30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  <w:color w:val="000000"/>
              </w:rPr>
              <w:t>Значение</w:t>
            </w:r>
          </w:p>
        </w:tc>
      </w:tr>
      <w:tr>
        <w:trPr/>
        <w:tc>
          <w:tcPr>
            <w:tcW w:w="30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color w:val="000000"/>
              </w:rPr>
              <w:t xml:space="preserve">Габаритные размеры изделия </w:t>
            </w:r>
          </w:p>
        </w:tc>
        <w:tc>
          <w:tcPr>
            <w:tcW w:w="30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color w:val="000000"/>
              </w:rPr>
              <w:t xml:space="preserve">Ш х В х Г, мм </w:t>
            </w:r>
          </w:p>
        </w:tc>
        <w:tc>
          <w:tcPr>
            <w:tcW w:w="30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color w:val="000000"/>
              </w:rPr>
              <w:t>600х470х450</w:t>
            </w:r>
          </w:p>
        </w:tc>
      </w:tr>
      <w:tr>
        <w:trPr/>
        <w:tc>
          <w:tcPr>
            <w:tcW w:w="30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color w:val="000000"/>
              </w:rPr>
              <w:t>Полезная глубина от монтажного профиля 19’’ до задней стенки шкафа</w:t>
            </w:r>
          </w:p>
        </w:tc>
        <w:tc>
          <w:tcPr>
            <w:tcW w:w="30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color w:val="000000"/>
              </w:rPr>
              <w:t xml:space="preserve">мм </w:t>
            </w:r>
          </w:p>
        </w:tc>
        <w:tc>
          <w:tcPr>
            <w:tcW w:w="30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color w:val="000000"/>
              </w:rPr>
              <w:t>350</w:t>
            </w:r>
          </w:p>
        </w:tc>
      </w:tr>
      <w:tr>
        <w:trPr/>
        <w:tc>
          <w:tcPr>
            <w:tcW w:w="30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color w:val="000000"/>
              </w:rPr>
              <w:t xml:space="preserve">Температура эксплуатации </w:t>
            </w:r>
          </w:p>
        </w:tc>
        <w:tc>
          <w:tcPr>
            <w:tcW w:w="30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color w:val="000000"/>
              </w:rPr>
              <w:t xml:space="preserve">С </w:t>
            </w:r>
          </w:p>
        </w:tc>
        <w:tc>
          <w:tcPr>
            <w:tcW w:w="30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color w:val="000000"/>
              </w:rPr>
              <w:t>+10…+35</w:t>
            </w:r>
          </w:p>
        </w:tc>
      </w:tr>
      <w:tr>
        <w:trPr/>
        <w:tc>
          <w:tcPr>
            <w:tcW w:w="30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color w:val="000000"/>
              </w:rPr>
              <w:t xml:space="preserve">Температура хранения </w:t>
            </w:r>
          </w:p>
        </w:tc>
        <w:tc>
          <w:tcPr>
            <w:tcW w:w="30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color w:val="000000"/>
              </w:rPr>
              <w:t xml:space="preserve">С </w:t>
            </w:r>
          </w:p>
        </w:tc>
        <w:tc>
          <w:tcPr>
            <w:tcW w:w="30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color w:val="000000"/>
              </w:rPr>
              <w:t>-30…+60</w:t>
            </w:r>
          </w:p>
        </w:tc>
      </w:tr>
      <w:tr>
        <w:trPr/>
        <w:tc>
          <w:tcPr>
            <w:tcW w:w="30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color w:val="000000"/>
              </w:rPr>
              <w:t xml:space="preserve">Влажность воздуха </w:t>
            </w:r>
          </w:p>
        </w:tc>
        <w:tc>
          <w:tcPr>
            <w:tcW w:w="30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color w:val="000000"/>
              </w:rPr>
              <w:t xml:space="preserve">% </w:t>
            </w:r>
          </w:p>
        </w:tc>
        <w:tc>
          <w:tcPr>
            <w:tcW w:w="30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color w:val="000000"/>
              </w:rPr>
              <w:t>0…80</w:t>
            </w:r>
          </w:p>
        </w:tc>
      </w:tr>
      <w:tr>
        <w:trPr/>
        <w:tc>
          <w:tcPr>
            <w:tcW w:w="30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color w:val="000000"/>
              </w:rPr>
              <w:t>Рабочая высота над уровнем моря, не более</w:t>
            </w:r>
          </w:p>
        </w:tc>
        <w:tc>
          <w:tcPr>
            <w:tcW w:w="30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color w:val="000000"/>
              </w:rPr>
              <w:t xml:space="preserve">м </w:t>
            </w:r>
          </w:p>
        </w:tc>
        <w:tc>
          <w:tcPr>
            <w:tcW w:w="30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color w:val="000000"/>
              </w:rPr>
              <w:t>1200</w:t>
            </w:r>
          </w:p>
        </w:tc>
      </w:tr>
      <w:tr>
        <w:trPr/>
        <w:tc>
          <w:tcPr>
            <w:tcW w:w="30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color w:val="000000"/>
              </w:rPr>
              <w:t xml:space="preserve">Степень защиты от внешних условий </w:t>
            </w:r>
          </w:p>
        </w:tc>
        <w:tc>
          <w:tcPr>
            <w:tcW w:w="30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color w:val="000000"/>
              </w:rPr>
              <w:t xml:space="preserve">ГОСТ 14254-96 </w:t>
            </w:r>
          </w:p>
        </w:tc>
        <w:tc>
          <w:tcPr>
            <w:tcW w:w="30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color w:val="000000"/>
              </w:rPr>
              <w:t>IP 31</w:t>
            </w:r>
          </w:p>
        </w:tc>
      </w:tr>
      <w:tr>
        <w:trPr/>
        <w:tc>
          <w:tcPr>
            <w:tcW w:w="30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color w:val="000000"/>
              </w:rPr>
              <w:t xml:space="preserve">Вес шкафа, не более </w:t>
            </w:r>
          </w:p>
        </w:tc>
        <w:tc>
          <w:tcPr>
            <w:tcW w:w="30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color w:val="000000"/>
              </w:rPr>
              <w:t xml:space="preserve">кг </w:t>
            </w:r>
          </w:p>
        </w:tc>
        <w:tc>
          <w:tcPr>
            <w:tcW w:w="30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color w:val="000000"/>
              </w:rPr>
              <w:t>25</w:t>
            </w:r>
          </w:p>
        </w:tc>
      </w:tr>
      <w:tr>
        <w:trPr/>
        <w:tc>
          <w:tcPr>
            <w:tcW w:w="30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color w:val="000000"/>
              </w:rPr>
              <w:t xml:space="preserve">Гарантийный срок </w:t>
            </w:r>
          </w:p>
        </w:tc>
        <w:tc>
          <w:tcPr>
            <w:tcW w:w="30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color w:val="000000"/>
              </w:rPr>
              <w:t xml:space="preserve">лет </w:t>
            </w:r>
          </w:p>
        </w:tc>
        <w:tc>
          <w:tcPr>
            <w:tcW w:w="30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color w:val="000000"/>
              </w:rPr>
              <w:t>5</w:t>
            </w:r>
          </w:p>
        </w:tc>
      </w:tr>
      <w:tr>
        <w:trPr/>
        <w:tc>
          <w:tcPr>
            <w:tcW w:w="30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color w:val="000000"/>
              </w:rPr>
              <w:t xml:space="preserve">Срок эксплуатации </w:t>
            </w:r>
          </w:p>
        </w:tc>
        <w:tc>
          <w:tcPr>
            <w:tcW w:w="30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color w:val="000000"/>
              </w:rPr>
              <w:t xml:space="preserve">лет </w:t>
            </w:r>
          </w:p>
        </w:tc>
        <w:tc>
          <w:tcPr>
            <w:tcW w:w="30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color w:val="000000"/>
              </w:rPr>
              <w:t>10</w:t>
            </w:r>
          </w:p>
        </w:tc>
      </w:tr>
    </w:tbl>
    <w:p>
      <w:pPr>
        <w:pStyle w:val="Normal"/>
        <w:jc w:val="both"/>
        <w:rPr>
          <w:rFonts w:ascii="Times New Roman" w:hAnsi="Times New Roman" w:cs="Times New Roman"/>
          <w:color w:val="000000"/>
          <w:lang w:eastAsia="en-US"/>
        </w:rPr>
      </w:pPr>
      <w:r>
        <w:rPr>
          <w:rFonts w:cs="Times New Roman" w:ascii="Times New Roman" w:hAnsi="Times New Roman"/>
          <w:color w:val="000000"/>
          <w:lang w:eastAsia="en-US"/>
        </w:rPr>
      </w:r>
    </w:p>
    <w:p>
      <w:pPr>
        <w:pStyle w:val="Normal"/>
        <w:jc w:val="both"/>
        <w:rPr>
          <w:rFonts w:ascii="Times New Roman" w:hAnsi="Times New Roman" w:cs="Times New Roman"/>
          <w:color w:val="000000"/>
          <w:lang w:eastAsia="en-US"/>
        </w:rPr>
      </w:pPr>
      <w:r>
        <w:rPr>
          <w:rFonts w:cs="Times New Roman" w:ascii="Times New Roman" w:hAnsi="Times New Roman"/>
          <w:color w:val="000000"/>
          <w:lang w:eastAsia="en-US"/>
        </w:rPr>
      </w:r>
    </w:p>
    <w:p>
      <w:pPr>
        <w:pStyle w:val="Normal"/>
        <w:ind w:firstLine="708"/>
        <w:jc w:val="both"/>
        <w:rPr>
          <w:rFonts w:ascii="Times New Roman" w:hAnsi="Times New Roman" w:cs="Times New Roman"/>
          <w:color w:val="000000"/>
          <w:lang w:eastAsia="en-US"/>
        </w:rPr>
      </w:pPr>
      <w:r>
        <w:rPr>
          <w:rFonts w:cs="Times New Roman" w:ascii="Times New Roman" w:hAnsi="Times New Roman"/>
          <w:color w:val="000000"/>
          <w:lang w:eastAsia="en-US"/>
        </w:rPr>
      </w:r>
    </w:p>
    <w:p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color w:val="000000"/>
        </w:rPr>
      </w:pPr>
      <w:r>
        <w:rPr>
          <w:rFonts w:cs="Times New Roman" w:ascii="Times New Roman" w:hAnsi="Times New Roman"/>
          <w:b/>
          <w:bCs/>
          <w:color w:val="000000"/>
        </w:rPr>
        <w:t>Конструктивное исполнение</w:t>
      </w:r>
    </w:p>
    <w:p>
      <w:pPr>
        <w:pStyle w:val="ListParagraph"/>
        <w:ind w:start="0"/>
        <w:rPr>
          <w:rFonts w:ascii="Times New Roman" w:hAnsi="Times New Roman" w:cs="Times New Roman"/>
          <w:b/>
          <w:bCs/>
          <w:color w:val="000000"/>
        </w:rPr>
      </w:pPr>
      <w:r>
        <w:rPr>
          <w:rFonts w:cs="Times New Roman" w:ascii="Times New Roman" w:hAnsi="Times New Roman"/>
          <w:b/>
          <w:bCs/>
          <w:color w:val="000000"/>
        </w:rPr>
      </w:r>
    </w:p>
    <w:p>
      <w:pPr>
        <w:pStyle w:val="Normal"/>
        <w:ind w:firstLine="708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Изделие представляет собой цельно-сварную металлическую конструкцию из листовой стали толщиной 1,5 мм, выполненную в форме бокса.</w:t>
      </w:r>
    </w:p>
    <w:p>
      <w:pPr>
        <w:pStyle w:val="Normal"/>
        <w:ind w:firstLine="708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Количество вводимых отверстий - 12.</w:t>
      </w:r>
    </w:p>
    <w:p>
      <w:pPr>
        <w:pStyle w:val="Normal"/>
        <w:ind w:firstLine="708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В шкафу предусмотрены жаберные щели - в правой и левой боковых стенках сверху и снизу для притока воздуха.</w:t>
      </w:r>
    </w:p>
    <w:p>
      <w:pPr>
        <w:pStyle w:val="Normal"/>
        <w:ind w:firstLine="708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Конструкция вентиляционных отверстий исключает возможность прямого попадания посторонних предметов и осадков внутрь шкафа. Шкаф обеспечивает эффективный отвод тепла при условиях полной комплектации активным оборудованием при предельных параметрах окружающей среды.</w:t>
      </w:r>
    </w:p>
    <w:p>
      <w:pPr>
        <w:pStyle w:val="Normal"/>
        <w:ind w:firstLine="708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Конструкция двери шкафа выполнена из листовой стали толщиной 1,5 со скрытыми петлями и отсутствием доступа к элементам шарниров снаружи и невозможностью вынуть дверь из петель путем «отжима».</w:t>
      </w:r>
    </w:p>
    <w:p>
      <w:pPr>
        <w:pStyle w:val="Normal"/>
        <w:ind w:firstLine="708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Дверь шкафа, утоплена на 8 мм. относительно лицевой стороны изделия, усиленная (ребро жесткости изнутри по всей длине), представляет собой сварную металлическую конструкцию из сдвоенного металла по периметру, с жёсткими сгибами во внутрь, что препятствует ее деформации снаружи (скручивание, отгибание).</w:t>
      </w:r>
    </w:p>
    <w:p>
      <w:pPr>
        <w:pStyle w:val="Normal"/>
        <w:ind w:firstLine="708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Дверь предназначена для закрытия лицевой стороны основной части шкафа.</w:t>
      </w:r>
    </w:p>
    <w:p>
      <w:pPr>
        <w:pStyle w:val="Normal"/>
        <w:ind w:firstLine="708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Дверь шкафа для ограничения несанкционированного доступа запирается на съемный ригельный замок с распорными планками в трёх направлениях (в составе шкафа, одинаковые замки с универсальными ключами, 3 ключа на каждый шкаф).</w:t>
      </w:r>
    </w:p>
    <w:p>
      <w:pPr>
        <w:pStyle w:val="Normal"/>
        <w:ind w:firstLine="708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На внутренней стороне в верхней части двери предусмотрено два отверстия диаметром 4 мм для крепления датчика (геркон-магнит).</w:t>
      </w:r>
    </w:p>
    <w:p>
      <w:pPr>
        <w:pStyle w:val="Normal"/>
        <w:ind w:firstLine="708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Открывание двери обеспечивается на угол не менее 110 градусов.</w:t>
      </w:r>
    </w:p>
    <w:p>
      <w:pPr>
        <w:pStyle w:val="Normal"/>
        <w:ind w:firstLine="708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На задней стенке шкафа предусмотрены органайзеры для выкладки запасов оптического кабеля в виде четырех кронштейнов расположенных углами внутрь, монтажные отверстия 4 шт. для крепления шкафа на плоской поверхности. Диаметр отверстий 25 мм с переходом в верхней части на 10мм (для крепления анкерными болтами к стене), предусмотрено наличие усиливающих конструктивных элементов («усиливающие площадки») в местах крепления ТШ к плоской поверхности.</w:t>
      </w:r>
    </w:p>
    <w:p>
      <w:pPr>
        <w:pStyle w:val="Normal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Модульное электрооборудование шкафа, скоммутированно.</w:t>
      </w:r>
    </w:p>
    <w:p>
      <w:pPr>
        <w:pStyle w:val="Normal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АКСЕССУАРЫ</w:t>
      </w:r>
    </w:p>
    <w:p>
      <w:pPr>
        <w:pStyle w:val="Normal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- монтажный профиль 19" – 2 шт. (высота 9U)</w:t>
      </w:r>
    </w:p>
    <w:p>
      <w:pPr>
        <w:pStyle w:val="Normal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- болт заземления м8 с гайкой и шайбой (2 шт.) на корпусе и двери шкафа</w:t>
      </w:r>
    </w:p>
    <w:p>
      <w:pPr>
        <w:pStyle w:val="Normal"/>
        <w:ind w:firstLine="708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widowControl w:val="false"/>
        <w:tabs>
          <w:tab w:val="clear" w:pos="708"/>
          <w:tab w:val="left" w:pos="142" w:leader="none"/>
          <w:tab w:val="left" w:pos="284" w:leader="none"/>
        </w:tabs>
        <w:jc w:val="both"/>
        <w:rPr>
          <w:rFonts w:ascii="Times New Roman" w:hAnsi="Times New Roman" w:cs="Times New Roman"/>
          <w:b/>
          <w:bCs/>
          <w:sz w:val="23"/>
          <w:szCs w:val="23"/>
          <w:lang w:eastAsia="en-US"/>
        </w:rPr>
      </w:pPr>
      <w:r>
        <w:rPr>
          <w:rFonts w:cs="Times New Roman" w:ascii="Times New Roman" w:hAnsi="Times New Roman"/>
          <w:b/>
          <w:bCs/>
          <w:sz w:val="23"/>
          <w:szCs w:val="23"/>
          <w:lang w:eastAsia="en-US"/>
        </w:rPr>
      </w:r>
    </w:p>
    <w:p>
      <w:pPr>
        <w:pStyle w:val="Normal"/>
        <w:widowControl w:val="false"/>
        <w:tabs>
          <w:tab w:val="clear" w:pos="708"/>
          <w:tab w:val="left" w:pos="142" w:leader="none"/>
          <w:tab w:val="left" w:pos="284" w:leader="none"/>
        </w:tabs>
        <w:jc w:val="both"/>
        <w:rPr>
          <w:rFonts w:ascii="Times New Roman" w:hAnsi="Times New Roman" w:cs="Times New Roman"/>
          <w:b/>
          <w:bCs/>
          <w:sz w:val="23"/>
          <w:szCs w:val="23"/>
          <w:lang w:eastAsia="en-US"/>
        </w:rPr>
      </w:pPr>
      <w:r>
        <w:rPr>
          <w:rFonts w:cs="Times New Roman" w:ascii="Times New Roman" w:hAnsi="Times New Roman"/>
          <w:b/>
          <w:bCs/>
          <w:sz w:val="23"/>
          <w:szCs w:val="23"/>
          <w:lang w:eastAsia="en-US"/>
        </w:rPr>
        <w:t>Схема электрооборудования шкафа</w:t>
      </w:r>
    </w:p>
    <w:p>
      <w:pPr>
        <w:pStyle w:val="Normal"/>
        <w:widowControl w:val="false"/>
        <w:tabs>
          <w:tab w:val="clear" w:pos="708"/>
          <w:tab w:val="left" w:pos="142" w:leader="none"/>
          <w:tab w:val="left" w:pos="284" w:leader="none"/>
        </w:tabs>
        <w:jc w:val="both"/>
        <w:rPr>
          <w:rFonts w:ascii="Times New Roman" w:hAnsi="Times New Roman" w:cs="Times New Roman"/>
          <w:b/>
          <w:bCs/>
          <w:sz w:val="23"/>
          <w:szCs w:val="23"/>
          <w:lang w:eastAsia="en-US"/>
        </w:rPr>
      </w:pPr>
      <w:r>
        <w:rPr>
          <w:rFonts w:cs="Times New Roman" w:ascii="Times New Roman" w:hAnsi="Times New Roman"/>
          <w:b/>
          <w:bCs/>
          <w:sz w:val="23"/>
          <w:szCs w:val="23"/>
          <w:lang w:eastAsia="en-US"/>
        </w:rPr>
      </w:r>
    </w:p>
    <w:p>
      <w:pPr>
        <w:pStyle w:val="Normal"/>
        <w:widowControl w:val="false"/>
        <w:tabs>
          <w:tab w:val="clear" w:pos="708"/>
          <w:tab w:val="left" w:pos="142" w:leader="none"/>
          <w:tab w:val="left" w:pos="284" w:leader="none"/>
        </w:tabs>
        <w:spacing w:before="0" w:after="0"/>
        <w:ind w:start="-284"/>
        <w:contextualSpacing/>
        <w:jc w:val="both"/>
        <w:rPr>
          <w:rFonts w:ascii="Times New Roman" w:hAnsi="Times New Roman" w:eastAsia="Arial Unicode MS" w:cs="Times New Roman"/>
          <w:color w:val="000000"/>
        </w:rPr>
      </w:pPr>
      <w:r>
        <w:rPr/>
        <w:drawing>
          <wp:inline distT="0" distB="0" distL="0" distR="0">
            <wp:extent cx="5940425" cy="3823335"/>
            <wp:effectExtent l="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0" t="6503" r="0" b="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823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widowControl w:val="false"/>
        <w:tabs>
          <w:tab w:val="clear" w:pos="708"/>
          <w:tab w:val="left" w:pos="142" w:leader="none"/>
          <w:tab w:val="left" w:pos="284" w:leader="none"/>
        </w:tabs>
        <w:jc w:val="both"/>
        <w:rPr>
          <w:rFonts w:ascii="Times New Roman" w:hAnsi="Times New Roman" w:eastAsia="Arial Unicode MS" w:cs="Times New Roman"/>
        </w:rPr>
      </w:pPr>
      <w:r>
        <w:rPr>
          <w:rFonts w:eastAsia="Arial Unicode MS" w:cs="Times New Roman" w:ascii="Times New Roman" w:hAnsi="Times New Roman"/>
        </w:rPr>
      </w:r>
    </w:p>
    <w:p>
      <w:pPr>
        <w:pStyle w:val="Normal"/>
        <w:widowControl w:val="false"/>
        <w:rPr>
          <w:rFonts w:ascii="Times New Roman" w:hAnsi="Times New Roman" w:eastAsia="Arial Unicode MS" w:cs="Times New Roman"/>
          <w:b/>
          <w:bCs/>
          <w:color w:val="000000"/>
        </w:rPr>
      </w:pPr>
      <w:r>
        <w:rPr>
          <w:rFonts w:eastAsia="Arial Unicode MS" w:cs="Times New Roman" w:ascii="Times New Roman" w:hAnsi="Times New Roman"/>
          <w:b/>
          <w:bCs/>
          <w:color w:val="000000"/>
        </w:rPr>
        <w:t>Комплектность</w:t>
      </w:r>
    </w:p>
    <w:p>
      <w:pPr>
        <w:pStyle w:val="Normal"/>
        <w:widowControl w:val="false"/>
        <w:rPr>
          <w:rFonts w:ascii="Times New Roman" w:hAnsi="Times New Roman" w:eastAsia="Arial Unicode MS" w:cs="Times New Roman"/>
          <w:b/>
          <w:bCs/>
          <w:color w:val="000000"/>
        </w:rPr>
      </w:pPr>
      <w:r>
        <w:rPr>
          <w:rFonts w:eastAsia="Arial Unicode MS" w:cs="Times New Roman" w:ascii="Times New Roman" w:hAnsi="Times New Roman"/>
          <w:b/>
          <w:bCs/>
          <w:color w:val="000000"/>
        </w:rPr>
      </w:r>
    </w:p>
    <w:tbl>
      <w:tblPr>
        <w:tblW w:w="8926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noHBand="0" w:noVBand="1" w:firstColumn="1" w:lastRow="0" w:lastColumn="0" w:firstRow="1"/>
      </w:tblPr>
      <w:tblGrid>
        <w:gridCol w:w="7365"/>
        <w:gridCol w:w="1561"/>
      </w:tblGrid>
      <w:tr>
        <w:trPr/>
        <w:tc>
          <w:tcPr>
            <w:tcW w:w="73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  <w:color w:val="000000"/>
              </w:rPr>
              <w:t xml:space="preserve">Позиция </w:t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  <w:color w:val="000000"/>
              </w:rPr>
              <w:t>Количество</w:t>
            </w:r>
          </w:p>
        </w:tc>
      </w:tr>
      <w:tr>
        <w:trPr/>
        <w:tc>
          <w:tcPr>
            <w:tcW w:w="73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color w:val="000000"/>
              </w:rPr>
              <w:t>Шкаф настенный антивандальный 9U, 19’’, габариты (ШхВхГ) 600х470х450мм., включая замок с комплектом ключей (3 шт.)</w:t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color w:val="000000"/>
              </w:rPr>
              <w:t>1 шт.</w:t>
            </w:r>
          </w:p>
        </w:tc>
      </w:tr>
      <w:tr>
        <w:trPr/>
        <w:tc>
          <w:tcPr>
            <w:tcW w:w="73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color w:val="000000"/>
              </w:rPr>
              <w:t xml:space="preserve">Монтажная DIN рейка (для контроллера мониторинга шкафа) </w:t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color w:val="000000"/>
              </w:rPr>
              <w:t>1 шт.</w:t>
            </w:r>
          </w:p>
        </w:tc>
      </w:tr>
      <w:tr>
        <w:trPr/>
        <w:tc>
          <w:tcPr>
            <w:tcW w:w="73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color w:val="000000"/>
              </w:rPr>
              <w:t>Крепежный материал для установки оборудования в направляющие 19": винт,шайба, гайка закладная (комплект)</w:t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color w:val="000000"/>
              </w:rPr>
              <w:t>20 шт.</w:t>
            </w:r>
          </w:p>
        </w:tc>
      </w:tr>
      <w:tr>
        <w:trPr/>
        <w:tc>
          <w:tcPr>
            <w:tcW w:w="73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color w:val="000000"/>
              </w:rPr>
              <w:t xml:space="preserve">Датчик открытия двери (геркон-магнит) </w:t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color w:val="000000"/>
              </w:rPr>
              <w:t>1 шт.</w:t>
            </w:r>
          </w:p>
        </w:tc>
      </w:tr>
      <w:tr>
        <w:trPr/>
        <w:tc>
          <w:tcPr>
            <w:tcW w:w="73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color w:val="000000"/>
              </w:rPr>
              <w:t xml:space="preserve">Кабельный ввод (комплект) </w:t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color w:val="000000"/>
              </w:rPr>
              <w:t>6 шт.</w:t>
            </w:r>
          </w:p>
        </w:tc>
      </w:tr>
      <w:tr>
        <w:trPr/>
        <w:tc>
          <w:tcPr>
            <w:tcW w:w="73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</w:rPr>
              <w:t>Вводно-распределительное устройство в составе:</w:t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73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color w:val="000000"/>
              </w:rPr>
              <w:t xml:space="preserve">DIN-рейка 3U с болтом заземления м8 и отсеком для ИБП </w:t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color w:val="000000"/>
              </w:rPr>
              <w:t>1 шт</w:t>
            </w:r>
          </w:p>
        </w:tc>
      </w:tr>
      <w:tr>
        <w:trPr/>
        <w:tc>
          <w:tcPr>
            <w:tcW w:w="73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color w:val="000000"/>
              </w:rPr>
              <w:t xml:space="preserve">Переключатель электропитания розеток «ИБП-сеть» (розетка ИБП-положение I) </w:t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color w:val="000000"/>
              </w:rPr>
              <w:t>1 шт.</w:t>
            </w:r>
          </w:p>
        </w:tc>
      </w:tr>
      <w:tr>
        <w:trPr/>
        <w:tc>
          <w:tcPr>
            <w:tcW w:w="73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color w:val="000000"/>
              </w:rPr>
              <w:t xml:space="preserve">Розетка с заземляющим контактом </w:t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color w:val="000000"/>
              </w:rPr>
              <w:t>5 шт.</w:t>
            </w:r>
          </w:p>
        </w:tc>
      </w:tr>
      <w:tr>
        <w:trPr/>
        <w:tc>
          <w:tcPr>
            <w:tcW w:w="73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color w:val="000000"/>
              </w:rPr>
              <w:t xml:space="preserve">Выключатель на 10А 2 П с возможностью опломбировки </w:t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color w:val="000000"/>
              </w:rPr>
              <w:t>1 шт.</w:t>
            </w:r>
          </w:p>
        </w:tc>
      </w:tr>
      <w:tr>
        <w:trPr/>
        <w:tc>
          <w:tcPr>
            <w:tcW w:w="73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color w:val="000000"/>
              </w:rPr>
              <w:t xml:space="preserve">Шина заземления </w:t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color w:val="000000"/>
              </w:rPr>
              <w:t>1 шт.</w:t>
            </w:r>
          </w:p>
        </w:tc>
      </w:tr>
      <w:tr>
        <w:trPr/>
        <w:tc>
          <w:tcPr>
            <w:tcW w:w="73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color w:val="000000"/>
              </w:rPr>
              <w:t xml:space="preserve">Шина нулевая </w:t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color w:val="000000"/>
              </w:rPr>
              <w:t>1 шт.</w:t>
            </w:r>
          </w:p>
        </w:tc>
      </w:tr>
      <w:tr>
        <w:trPr/>
        <w:tc>
          <w:tcPr>
            <w:tcW w:w="73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color w:val="000000"/>
              </w:rPr>
              <w:t xml:space="preserve">Паспорт изделия </w:t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color w:val="000000"/>
              </w:rPr>
              <w:t>1 шт</w:t>
            </w:r>
          </w:p>
        </w:tc>
      </w:tr>
    </w:tbl>
    <w:p>
      <w:pPr>
        <w:pStyle w:val="Normal"/>
        <w:widowControl w:val="false"/>
        <w:tabs>
          <w:tab w:val="clear" w:pos="708"/>
          <w:tab w:val="left" w:pos="709" w:leader="none"/>
          <w:tab w:val="left" w:pos="851" w:leader="none"/>
        </w:tabs>
        <w:spacing w:lineRule="exact" w:line="277"/>
        <w:ind w:start="360"/>
        <w:jc w:val="both"/>
        <w:rPr>
          <w:rFonts w:ascii="Times New Roman" w:hAnsi="Times New Roman" w:cs="Times New Roman"/>
          <w:lang w:val="en-US" w:eastAsia="en-US"/>
        </w:rPr>
      </w:pPr>
      <w:r>
        <w:rPr>
          <w:rFonts w:cs="Times New Roman" w:ascii="Times New Roman" w:hAnsi="Times New Roman"/>
          <w:lang w:val="en-US" w:eastAsia="en-US"/>
        </w:rPr>
      </w:r>
    </w:p>
    <w:p>
      <w:pPr>
        <w:pStyle w:val="Normal"/>
        <w:widowControl w:val="false"/>
        <w:tabs>
          <w:tab w:val="clear" w:pos="708"/>
          <w:tab w:val="left" w:pos="709" w:leader="none"/>
          <w:tab w:val="left" w:pos="851" w:leader="none"/>
        </w:tabs>
        <w:spacing w:lineRule="exact" w:line="277"/>
        <w:ind w:start="360"/>
        <w:jc w:val="both"/>
        <w:rPr>
          <w:rFonts w:ascii="Times New Roman" w:hAnsi="Times New Roman" w:cs="Times New Roman"/>
          <w:lang w:eastAsia="en-US"/>
        </w:rPr>
      </w:pPr>
      <w:r>
        <w:rPr>
          <w:rFonts w:cs="Times New Roman" w:ascii="Times New Roman" w:hAnsi="Times New Roman"/>
          <w:lang w:eastAsia="en-US"/>
        </w:rPr>
      </w:r>
    </w:p>
    <w:p>
      <w:pPr>
        <w:pStyle w:val="Normal"/>
        <w:widowControl w:val="false"/>
        <w:tabs>
          <w:tab w:val="clear" w:pos="708"/>
          <w:tab w:val="left" w:pos="709" w:leader="none"/>
          <w:tab w:val="left" w:pos="851" w:leader="none"/>
        </w:tabs>
        <w:spacing w:lineRule="exact" w:line="277"/>
        <w:ind w:start="360"/>
        <w:jc w:val="both"/>
        <w:rPr>
          <w:rFonts w:ascii="Times New Roman" w:hAnsi="Times New Roman" w:cs="Times New Roman"/>
          <w:lang w:eastAsia="en-US"/>
        </w:rPr>
      </w:pPr>
      <w:r>
        <w:rPr>
          <w:rFonts w:cs="Times New Roman" w:ascii="Times New Roman" w:hAnsi="Times New Roman"/>
          <w:lang w:eastAsia="en-US"/>
        </w:rPr>
      </w:r>
    </w:p>
    <w:p>
      <w:pPr>
        <w:pStyle w:val="Normal"/>
        <w:keepNext w:val="true"/>
        <w:keepLines/>
        <w:numPr>
          <w:ilvl w:val="0"/>
          <w:numId w:val="1"/>
        </w:numPr>
        <w:tabs>
          <w:tab w:val="clear" w:pos="708"/>
          <w:tab w:val="left" w:pos="1038" w:leader="none"/>
        </w:tabs>
        <w:spacing w:lineRule="exact" w:line="240"/>
        <w:jc w:val="both"/>
        <w:outlineLvl w:val="6"/>
        <w:rPr>
          <w:rFonts w:ascii="Times New Roman" w:hAnsi="Times New Roman" w:cs="Times New Roman"/>
          <w:b/>
          <w:bCs/>
          <w:lang w:eastAsia="en-US"/>
        </w:rPr>
      </w:pPr>
      <w:bookmarkStart w:id="2" w:name="bookmark8"/>
      <w:r>
        <w:rPr>
          <w:rFonts w:cs="Times New Roman" w:ascii="Times New Roman" w:hAnsi="Times New Roman"/>
          <w:b/>
          <w:bCs/>
          <w:lang w:eastAsia="en-US"/>
        </w:rPr>
        <w:t>Требования по гарантийному обслуживанию оборудования</w:t>
      </w:r>
      <w:bookmarkEnd w:id="2"/>
    </w:p>
    <w:p>
      <w:pPr>
        <w:pStyle w:val="Normal"/>
        <w:keepNext w:val="true"/>
        <w:keepLines/>
        <w:numPr>
          <w:ilvl w:val="0"/>
          <w:numId w:val="0"/>
        </w:numPr>
        <w:tabs>
          <w:tab w:val="clear" w:pos="708"/>
          <w:tab w:val="left" w:pos="1038" w:leader="none"/>
        </w:tabs>
        <w:spacing w:lineRule="exact" w:line="240"/>
        <w:jc w:val="both"/>
        <w:outlineLvl w:val="6"/>
        <w:rPr>
          <w:rFonts w:ascii="Times New Roman" w:hAnsi="Times New Roman" w:cs="Times New Roman"/>
          <w:b/>
          <w:bCs/>
          <w:lang w:eastAsia="en-US"/>
        </w:rPr>
      </w:pPr>
      <w:r>
        <w:rPr>
          <w:rFonts w:cs="Times New Roman" w:ascii="Times New Roman" w:hAnsi="Times New Roman"/>
          <w:b/>
          <w:bCs/>
          <w:lang w:eastAsia="en-US"/>
        </w:rPr>
      </w:r>
    </w:p>
    <w:p>
      <w:pPr>
        <w:pStyle w:val="Normal"/>
        <w:keepNext w:val="true"/>
        <w:keepLines/>
        <w:numPr>
          <w:ilvl w:val="1"/>
          <w:numId w:val="1"/>
        </w:numPr>
        <w:spacing w:lineRule="exact" w:line="240"/>
        <w:jc w:val="both"/>
        <w:outlineLvl w:val="6"/>
        <w:rPr>
          <w:rFonts w:ascii="Times New Roman" w:hAnsi="Times New Roman" w:cs="Times New Roman"/>
          <w:b/>
          <w:bCs/>
          <w:lang w:eastAsia="en-US"/>
        </w:rPr>
      </w:pPr>
      <w:r>
        <w:rPr>
          <w:rFonts w:cs="Times New Roman" w:ascii="Times New Roman" w:hAnsi="Times New Roman"/>
          <w:bCs/>
          <w:lang w:eastAsia="en-US"/>
        </w:rPr>
        <w:t xml:space="preserve">Срок официального гарантийного обслуживания от производителя составляет: </w:t>
      </w:r>
      <w:r>
        <w:rPr>
          <w:rFonts w:cs="Times New Roman" w:ascii="Times New Roman" w:hAnsi="Times New Roman"/>
          <w:b/>
          <w:bCs/>
          <w:lang w:eastAsia="en-US"/>
        </w:rPr>
        <w:t>50 мес.</w:t>
      </w:r>
    </w:p>
    <w:p>
      <w:pPr>
        <w:pStyle w:val="Normal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numPr>
          <w:ilvl w:val="1"/>
          <w:numId w:val="1"/>
        </w:numPr>
        <w:spacing w:lineRule="exact" w:line="277"/>
        <w:jc w:val="both"/>
        <w:rPr>
          <w:rFonts w:ascii="Times New Roman" w:hAnsi="Times New Roman" w:cs="Times New Roman"/>
          <w:lang w:eastAsia="en-US"/>
        </w:rPr>
      </w:pPr>
      <w:r>
        <w:rPr>
          <w:rFonts w:cs="Times New Roman" w:ascii="Times New Roman" w:hAnsi="Times New Roman"/>
          <w:lang w:eastAsia="en-US"/>
        </w:rPr>
        <w:t>Поставщик гарантирует соответствие качества поставляемого оборудования государственным стандартам, нормам и должен предоставить подтверждающие документы.</w:t>
      </w:r>
    </w:p>
    <w:p>
      <w:pPr>
        <w:pStyle w:val="Normal"/>
        <w:numPr>
          <w:ilvl w:val="1"/>
          <w:numId w:val="1"/>
        </w:numPr>
        <w:spacing w:lineRule="exact" w:line="277"/>
        <w:jc w:val="both"/>
        <w:rPr>
          <w:rFonts w:ascii="Times New Roman" w:hAnsi="Times New Roman" w:cs="Times New Roman"/>
          <w:lang w:eastAsia="en-US"/>
        </w:rPr>
      </w:pPr>
      <w:r>
        <w:rPr>
          <w:rFonts w:cs="Times New Roman" w:ascii="Times New Roman" w:hAnsi="Times New Roman"/>
          <w:lang w:eastAsia="en-US"/>
        </w:rPr>
        <w:t>Поставщик гарантирует своевременное устранение недостатков и дефектов, выявленных в течение гарантийного срока.</w:t>
      </w:r>
    </w:p>
    <w:p>
      <w:pPr>
        <w:pStyle w:val="Normal"/>
        <w:tabs>
          <w:tab w:val="clear" w:pos="708"/>
          <w:tab w:val="left" w:pos="851" w:leader="none"/>
        </w:tabs>
        <w:spacing w:lineRule="exact" w:line="277"/>
        <w:jc w:val="both"/>
        <w:rPr>
          <w:rFonts w:ascii="Times New Roman" w:hAnsi="Times New Roman" w:cs="Times New Roman"/>
          <w:lang w:eastAsia="en-US"/>
        </w:rPr>
      </w:pPr>
      <w:r>
        <w:rPr>
          <w:rFonts w:cs="Times New Roman" w:ascii="Times New Roman" w:hAnsi="Times New Roman"/>
          <w:lang w:eastAsia="en-US"/>
        </w:rPr>
      </w:r>
    </w:p>
    <w:p>
      <w:pPr>
        <w:pStyle w:val="Normal"/>
        <w:keepNext w:val="true"/>
        <w:keepLines/>
        <w:numPr>
          <w:ilvl w:val="0"/>
          <w:numId w:val="1"/>
        </w:numPr>
        <w:tabs>
          <w:tab w:val="clear" w:pos="708"/>
          <w:tab w:val="left" w:pos="1038" w:leader="none"/>
        </w:tabs>
        <w:spacing w:lineRule="exact" w:line="240"/>
        <w:jc w:val="both"/>
        <w:outlineLvl w:val="6"/>
        <w:rPr>
          <w:rFonts w:ascii="Times New Roman" w:hAnsi="Times New Roman" w:cs="Times New Roman"/>
          <w:b/>
          <w:bCs/>
          <w:lang w:eastAsia="en-US"/>
        </w:rPr>
      </w:pPr>
      <w:r>
        <w:rPr>
          <w:rFonts w:cs="Times New Roman" w:ascii="Times New Roman" w:hAnsi="Times New Roman"/>
          <w:b/>
          <w:bCs/>
          <w:lang w:eastAsia="en-US"/>
        </w:rPr>
        <w:t>Требования к документам при поставке</w:t>
      </w:r>
    </w:p>
    <w:p>
      <w:pPr>
        <w:pStyle w:val="Normal"/>
        <w:keepNext w:val="true"/>
        <w:keepLines/>
        <w:numPr>
          <w:ilvl w:val="0"/>
          <w:numId w:val="0"/>
        </w:numPr>
        <w:tabs>
          <w:tab w:val="clear" w:pos="708"/>
          <w:tab w:val="left" w:pos="1038" w:leader="none"/>
        </w:tabs>
        <w:spacing w:lineRule="exact" w:line="240"/>
        <w:jc w:val="both"/>
        <w:outlineLvl w:val="6"/>
        <w:rPr>
          <w:rFonts w:ascii="Times New Roman" w:hAnsi="Times New Roman" w:cs="Times New Roman"/>
          <w:b/>
          <w:bCs/>
          <w:lang w:eastAsia="en-US"/>
        </w:rPr>
      </w:pPr>
      <w:r>
        <w:rPr>
          <w:rFonts w:cs="Times New Roman" w:ascii="Times New Roman" w:hAnsi="Times New Roman"/>
          <w:b/>
          <w:bCs/>
          <w:lang w:eastAsia="en-US"/>
        </w:rPr>
      </w:r>
    </w:p>
    <w:p>
      <w:pPr>
        <w:pStyle w:val="Normal"/>
        <w:keepNext w:val="true"/>
        <w:keepLines/>
        <w:numPr>
          <w:ilvl w:val="0"/>
          <w:numId w:val="0"/>
        </w:numPr>
        <w:tabs>
          <w:tab w:val="clear" w:pos="708"/>
          <w:tab w:val="left" w:pos="1038" w:leader="none"/>
        </w:tabs>
        <w:spacing w:lineRule="exact" w:line="240"/>
        <w:jc w:val="both"/>
        <w:outlineLvl w:val="6"/>
        <w:rPr>
          <w:rFonts w:ascii="Times New Roman" w:hAnsi="Times New Roman" w:cs="Times New Roman"/>
          <w:b/>
          <w:bCs/>
          <w:lang w:eastAsia="en-US"/>
        </w:rPr>
      </w:pPr>
      <w:r>
        <w:rPr>
          <w:rFonts w:cs="Times New Roman" w:ascii="Times New Roman" w:hAnsi="Times New Roman"/>
          <w:b/>
          <w:bCs/>
          <w:lang w:eastAsia="en-US"/>
        </w:rPr>
      </w:r>
    </w:p>
    <w:p>
      <w:pPr>
        <w:pStyle w:val="ListParagraph"/>
        <w:keepNext w:val="true"/>
        <w:keepLines/>
        <w:numPr>
          <w:ilvl w:val="1"/>
          <w:numId w:val="1"/>
        </w:numPr>
        <w:tabs>
          <w:tab w:val="clear" w:pos="708"/>
          <w:tab w:val="left" w:pos="1038" w:leader="none"/>
        </w:tabs>
        <w:spacing w:lineRule="exact" w:line="240"/>
        <w:jc w:val="both"/>
        <w:outlineLvl w:val="6"/>
        <w:rPr>
          <w:rFonts w:ascii="Times New Roman" w:hAnsi="Times New Roman" w:cs="Times New Roman"/>
          <w:lang w:eastAsia="en-US"/>
        </w:rPr>
      </w:pPr>
      <w:r>
        <w:rPr>
          <w:rFonts w:cs="Times New Roman" w:ascii="Times New Roman" w:hAnsi="Times New Roman"/>
          <w:lang w:eastAsia="en-US"/>
        </w:rPr>
        <w:t>В составе заявки / при поставке товара участник обязан предоставить информацию о номере реестровой записи из реестра Минпромторга РФ, а также документы, подтверждающие соответствие продукции требованиям национального режима».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01" w:characterSet="utf-8"/>
    <w:family w:val="roman"/>
    <w:pitch w:val="variable"/>
  </w:font>
  <w:font w:name="Arial">
    <w:charset w:val="01" w:characterSet="utf-8"/>
    <w:family w:val="swiss"/>
    <w:pitch w:val="variable"/>
  </w:font>
  <w:font w:name="Times New Roman"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0" w:hanging="0"/>
      </w:pPr>
      <w:rPr>
        <w:rFonts w:ascii="Times New Roman" w:hAnsi="Times New Roman" w:eastAsia="Times New Roman" w:cs="Times New Roman"/>
        <w:b/>
        <w:bCs/>
        <w:i w:val="false"/>
        <w:iCs w:val="false"/>
        <w:caps w:val="false"/>
        <w:smallCaps w:val="false"/>
        <w:strike w:val="false"/>
        <w:dstrike w:val="false"/>
        <w:color w:val="000000"/>
        <w:spacing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start"/>
      <w:pPr>
        <w:tabs>
          <w:tab w:val="num" w:pos="0"/>
        </w:tabs>
        <w:ind w:start="0" w:hanging="0"/>
      </w:pPr>
      <w:rPr>
        <w:rFonts w:ascii="Times New Roman" w:hAnsi="Times New Roman" w:eastAsia="Times New Roman" w:cs="Times New Roman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spacing w:val="0"/>
        <w:sz w:val="24"/>
        <w:szCs w:val="24"/>
        <w:u w:val="none"/>
        <w:lang w:val="ru-RU" w:eastAsia="ru-RU" w:bidi="ru-RU"/>
      </w:rPr>
    </w:lvl>
    <w:lvl w:ilvl="2">
      <w:start w:val="1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3">
      <w:start w:val="1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4">
      <w:start w:val="1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5">
      <w:start w:val="1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6">
      <w:start w:val="1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7">
      <w:start w:val="1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8">
      <w:start w:val="1"/>
      <w:numFmt w:val="decimal"/>
      <w:lvlText w:val=""/>
      <w:lvlJc w:val="start"/>
      <w:pPr>
        <w:tabs>
          <w:tab w:val="num" w:pos="0"/>
        </w:tabs>
        <w:ind w:star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33bbe"/>
    <w:pPr>
      <w:widowControl/>
      <w:bidi w:val="0"/>
      <w:spacing w:lineRule="auto" w:line="240" w:before="0" w:after="0"/>
      <w:jc w:val="start"/>
    </w:pPr>
    <w:rPr>
      <w:rFonts w:ascii="Arial" w:hAnsi="Arial" w:eastAsia="Times New Roman" w:cs="Arial"/>
      <w:color w:val="auto"/>
      <w:kern w:val="0"/>
      <w:sz w:val="24"/>
      <w:szCs w:val="24"/>
      <w:lang w:eastAsia="ru-RU" w:val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Абзац списка Знак"/>
    <w:link w:val="ListParagraph"/>
    <w:uiPriority w:val="34"/>
    <w:qFormat/>
    <w:rsid w:val="00b42491"/>
    <w:rPr>
      <w:rFonts w:ascii="Arial" w:hAnsi="Arial" w:eastAsia="Times New Roman" w:cs="Arial"/>
      <w:sz w:val="24"/>
      <w:szCs w:val="24"/>
      <w:lang w:eastAsia="ru-RU"/>
    </w:rPr>
  </w:style>
  <w:style w:type="character" w:styleId="fontstyle01" w:customStyle="1">
    <w:name w:val="fontstyle01"/>
    <w:basedOn w:val="DefaultParagraphFont"/>
    <w:qFormat/>
    <w:rsid w:val="001e4db3"/>
    <w:rPr>
      <w:rFonts w:ascii="Times New Roman" w:hAnsi="Times New Roman" w:cs="Times New Roman"/>
      <w:b w:val="false"/>
      <w:bCs w:val="false"/>
      <w:i w:val="false"/>
      <w:iCs w:val="false"/>
      <w:color w:val="000000"/>
      <w:sz w:val="24"/>
      <w:szCs w:val="24"/>
    </w:rPr>
  </w:style>
  <w:style w:type="character" w:styleId="fontstyle21" w:customStyle="1">
    <w:name w:val="fontstyle21"/>
    <w:basedOn w:val="DefaultParagraphFont"/>
    <w:qFormat/>
    <w:rsid w:val="00565bac"/>
    <w:rPr>
      <w:rFonts w:ascii="Times New Roman" w:hAnsi="Times New Roman" w:cs="Times New Roman"/>
      <w:b w:val="false"/>
      <w:bCs w:val="false"/>
      <w:i w:val="false"/>
      <w:iCs w:val="false"/>
      <w:color w:val="000000"/>
      <w:sz w:val="24"/>
      <w:szCs w:val="24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Noto Sans"/>
    </w:rPr>
  </w:style>
  <w:style w:type="paragraph" w:styleId="ListParagraph">
    <w:name w:val="List Paragraph"/>
    <w:basedOn w:val="Normal"/>
    <w:link w:val="Style14"/>
    <w:uiPriority w:val="34"/>
    <w:qFormat/>
    <w:rsid w:val="00a33bbe"/>
    <w:pPr>
      <w:spacing w:before="0" w:after="0"/>
      <w:ind w:start="720"/>
      <w:contextualSpacing/>
    </w:pPr>
    <w:rPr/>
  </w:style>
  <w:style w:type="numbering" w:styleId="Style17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Application>LibreOffice/25.8.7.3$Linux_X86_64 LibreOffice_project/30742500f2d3eb4366ac312fa33d3dcabdb3eba5</Application>
  <AppVersion>15.0000</AppVersion>
  <Pages>4</Pages>
  <Words>818</Words>
  <Characters>5559</Characters>
  <CharactersWithSpaces>6309</CharactersWithSpaces>
  <Paragraphs>108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2026-10-30T10:14:00Z</dcterms:created>
  <dc:creator>Осюковская Юлия Анатольевна</dc:creator>
  <dc:description/>
  <dc:language>ru-RU</dc:language>
  <cp:lastModifiedBy/>
  <dcterms:modified xsi:type="dcterms:W3CDTF">2026-11-06T14:03:16Z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